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9E9FC" w14:textId="3DF956CE" w:rsidR="00F239C1" w:rsidRDefault="00F239C1" w:rsidP="00F239C1">
      <w:pPr>
        <w:pStyle w:val="EC-Title-5"/>
      </w:pPr>
      <w:bookmarkStart w:id="0" w:name="_Toc437442004"/>
      <w:r>
        <w:t>Su</w:t>
      </w:r>
      <w:r w:rsidR="000B205C">
        <w:t>rveillance Atlas of Infectious</w:t>
      </w:r>
      <w:r>
        <w:t xml:space="preserve"> Diseases FWD</w:t>
      </w:r>
      <w:bookmarkEnd w:id="0"/>
      <w:r w:rsidR="003378A6">
        <w:t xml:space="preserve"> (20</w:t>
      </w:r>
      <w:r w:rsidR="007421E3">
        <w:t>2</w:t>
      </w:r>
      <w:r w:rsidR="00B85C07">
        <w:t>3</w:t>
      </w:r>
      <w:r w:rsidR="003378A6">
        <w:t xml:space="preserve"> data)</w:t>
      </w:r>
    </w:p>
    <w:p w14:paraId="18C2FB5F" w14:textId="04C45BB7" w:rsidR="00F239C1" w:rsidRPr="00F239C1" w:rsidRDefault="00F239C1" w:rsidP="00F239C1">
      <w:pPr>
        <w:pStyle w:val="EC-Title-6"/>
        <w:rPr>
          <w:rFonts w:cs="Tahoma"/>
          <w:b w:val="0"/>
        </w:rPr>
      </w:pPr>
      <w:r>
        <w:rPr>
          <w:rFonts w:cs="Tahoma"/>
          <w:b w:val="0"/>
        </w:rPr>
        <w:t>Information about the D</w:t>
      </w:r>
      <w:r w:rsidRPr="00F239C1">
        <w:rPr>
          <w:rFonts w:cs="Tahoma"/>
          <w:b w:val="0"/>
        </w:rPr>
        <w:t>ata</w:t>
      </w:r>
    </w:p>
    <w:p w14:paraId="084F2CC2" w14:textId="77777777" w:rsidR="00F239C1" w:rsidRDefault="00F239C1" w:rsidP="00F239C1">
      <w:pPr>
        <w:pStyle w:val="EC-Para"/>
        <w:rPr>
          <w:lang w:eastAsia="en-US"/>
        </w:rPr>
      </w:pPr>
    </w:p>
    <w:p w14:paraId="7935A98E" w14:textId="7E4A9BD4" w:rsidR="007013FD" w:rsidRDefault="001711E6" w:rsidP="00E8227E">
      <w:pPr>
        <w:pStyle w:val="TOC1"/>
        <w:rPr>
          <w:noProof/>
          <w:lang w:eastAsia="en-GB"/>
        </w:rPr>
      </w:pPr>
      <w:r>
        <w:fldChar w:fldCharType="begin"/>
      </w:r>
      <w:r>
        <w:instrText xml:space="preserve"> TOC \o "1-1" \h \z \u </w:instrText>
      </w:r>
      <w:r>
        <w:fldChar w:fldCharType="separate"/>
      </w:r>
      <w:hyperlink w:anchor="_Toc127531815" w:history="1">
        <w:r w:rsidR="007013FD" w:rsidRPr="00BC00F1">
          <w:rPr>
            <w:rStyle w:val="Hyperlink"/>
            <w:noProof/>
          </w:rPr>
          <w:t>Anthrax</w:t>
        </w:r>
        <w:r w:rsidR="007013FD">
          <w:rPr>
            <w:noProof/>
            <w:webHidden/>
          </w:rPr>
          <w:tab/>
        </w:r>
        <w:r w:rsidR="007013FD">
          <w:rPr>
            <w:noProof/>
            <w:webHidden/>
          </w:rPr>
          <w:fldChar w:fldCharType="begin"/>
        </w:r>
        <w:r w:rsidR="007013FD">
          <w:rPr>
            <w:noProof/>
            <w:webHidden/>
          </w:rPr>
          <w:instrText xml:space="preserve"> PAGEREF _Toc127531815 \h </w:instrText>
        </w:r>
        <w:r w:rsidR="007013FD">
          <w:rPr>
            <w:noProof/>
            <w:webHidden/>
          </w:rPr>
        </w:r>
        <w:r w:rsidR="007013FD">
          <w:rPr>
            <w:noProof/>
            <w:webHidden/>
          </w:rPr>
          <w:fldChar w:fldCharType="separate"/>
        </w:r>
        <w:r w:rsidR="007906B1">
          <w:rPr>
            <w:noProof/>
            <w:webHidden/>
          </w:rPr>
          <w:t>2</w:t>
        </w:r>
        <w:r w:rsidR="007013FD">
          <w:rPr>
            <w:noProof/>
            <w:webHidden/>
          </w:rPr>
          <w:fldChar w:fldCharType="end"/>
        </w:r>
      </w:hyperlink>
    </w:p>
    <w:p w14:paraId="1AB6B389" w14:textId="010CA082" w:rsidR="007013FD" w:rsidRDefault="00000000" w:rsidP="00E8227E">
      <w:pPr>
        <w:pStyle w:val="TOC1"/>
        <w:rPr>
          <w:noProof/>
          <w:lang w:eastAsia="en-GB"/>
        </w:rPr>
      </w:pPr>
      <w:hyperlink w:anchor="_Toc127531816" w:history="1">
        <w:r w:rsidR="007013FD" w:rsidRPr="00BC00F1">
          <w:rPr>
            <w:rStyle w:val="Hyperlink"/>
            <w:noProof/>
          </w:rPr>
          <w:t>Botulism</w:t>
        </w:r>
        <w:r w:rsidR="007013FD">
          <w:rPr>
            <w:noProof/>
            <w:webHidden/>
          </w:rPr>
          <w:tab/>
        </w:r>
        <w:r w:rsidR="007013FD">
          <w:rPr>
            <w:noProof/>
            <w:webHidden/>
          </w:rPr>
          <w:fldChar w:fldCharType="begin"/>
        </w:r>
        <w:r w:rsidR="007013FD">
          <w:rPr>
            <w:noProof/>
            <w:webHidden/>
          </w:rPr>
          <w:instrText xml:space="preserve"> PAGEREF _Toc127531816 \h </w:instrText>
        </w:r>
        <w:r w:rsidR="007013FD">
          <w:rPr>
            <w:noProof/>
            <w:webHidden/>
          </w:rPr>
        </w:r>
        <w:r w:rsidR="007013FD">
          <w:rPr>
            <w:noProof/>
            <w:webHidden/>
          </w:rPr>
          <w:fldChar w:fldCharType="separate"/>
        </w:r>
        <w:r w:rsidR="007906B1">
          <w:rPr>
            <w:noProof/>
            <w:webHidden/>
          </w:rPr>
          <w:t>6</w:t>
        </w:r>
        <w:r w:rsidR="007013FD">
          <w:rPr>
            <w:noProof/>
            <w:webHidden/>
          </w:rPr>
          <w:fldChar w:fldCharType="end"/>
        </w:r>
      </w:hyperlink>
    </w:p>
    <w:p w14:paraId="6E12477D" w14:textId="3F7FDA8B" w:rsidR="007013FD" w:rsidRDefault="00000000" w:rsidP="00E8227E">
      <w:pPr>
        <w:pStyle w:val="TOC1"/>
        <w:rPr>
          <w:noProof/>
          <w:lang w:eastAsia="en-GB"/>
        </w:rPr>
      </w:pPr>
      <w:hyperlink w:anchor="_Toc127531817" w:history="1">
        <w:r w:rsidR="007013FD" w:rsidRPr="00BC00F1">
          <w:rPr>
            <w:rStyle w:val="Hyperlink"/>
            <w:noProof/>
          </w:rPr>
          <w:t>Brucellosis</w:t>
        </w:r>
        <w:r w:rsidR="007013FD">
          <w:rPr>
            <w:noProof/>
            <w:webHidden/>
          </w:rPr>
          <w:tab/>
        </w:r>
        <w:r w:rsidR="007013FD">
          <w:rPr>
            <w:noProof/>
            <w:webHidden/>
          </w:rPr>
          <w:fldChar w:fldCharType="begin"/>
        </w:r>
        <w:r w:rsidR="007013FD">
          <w:rPr>
            <w:noProof/>
            <w:webHidden/>
          </w:rPr>
          <w:instrText xml:space="preserve"> PAGEREF _Toc127531817 \h </w:instrText>
        </w:r>
        <w:r w:rsidR="007013FD">
          <w:rPr>
            <w:noProof/>
            <w:webHidden/>
          </w:rPr>
        </w:r>
        <w:r w:rsidR="007013FD">
          <w:rPr>
            <w:noProof/>
            <w:webHidden/>
          </w:rPr>
          <w:fldChar w:fldCharType="separate"/>
        </w:r>
        <w:r w:rsidR="007906B1">
          <w:rPr>
            <w:noProof/>
            <w:webHidden/>
          </w:rPr>
          <w:t>10</w:t>
        </w:r>
        <w:r w:rsidR="007013FD">
          <w:rPr>
            <w:noProof/>
            <w:webHidden/>
          </w:rPr>
          <w:fldChar w:fldCharType="end"/>
        </w:r>
      </w:hyperlink>
    </w:p>
    <w:p w14:paraId="4E4D7381" w14:textId="58537962" w:rsidR="007013FD" w:rsidRDefault="00000000" w:rsidP="00E8227E">
      <w:pPr>
        <w:pStyle w:val="TOC1"/>
        <w:rPr>
          <w:noProof/>
          <w:lang w:eastAsia="en-GB"/>
        </w:rPr>
      </w:pPr>
      <w:hyperlink w:anchor="_Toc127531818" w:history="1">
        <w:r w:rsidR="007013FD" w:rsidRPr="00BC00F1">
          <w:rPr>
            <w:rStyle w:val="Hyperlink"/>
            <w:noProof/>
          </w:rPr>
          <w:t>Campylobacteriosis</w:t>
        </w:r>
        <w:r w:rsidR="007013FD">
          <w:rPr>
            <w:noProof/>
            <w:webHidden/>
          </w:rPr>
          <w:tab/>
        </w:r>
        <w:r w:rsidR="007013FD">
          <w:rPr>
            <w:noProof/>
            <w:webHidden/>
          </w:rPr>
          <w:fldChar w:fldCharType="begin"/>
        </w:r>
        <w:r w:rsidR="007013FD">
          <w:rPr>
            <w:noProof/>
            <w:webHidden/>
          </w:rPr>
          <w:instrText xml:space="preserve"> PAGEREF _Toc127531818 \h </w:instrText>
        </w:r>
        <w:r w:rsidR="007013FD">
          <w:rPr>
            <w:noProof/>
            <w:webHidden/>
          </w:rPr>
        </w:r>
        <w:r w:rsidR="007013FD">
          <w:rPr>
            <w:noProof/>
            <w:webHidden/>
          </w:rPr>
          <w:fldChar w:fldCharType="separate"/>
        </w:r>
        <w:r w:rsidR="007906B1">
          <w:rPr>
            <w:noProof/>
            <w:webHidden/>
          </w:rPr>
          <w:t>14</w:t>
        </w:r>
        <w:r w:rsidR="007013FD">
          <w:rPr>
            <w:noProof/>
            <w:webHidden/>
          </w:rPr>
          <w:fldChar w:fldCharType="end"/>
        </w:r>
      </w:hyperlink>
    </w:p>
    <w:p w14:paraId="0C5507B0" w14:textId="4CF17419" w:rsidR="007013FD" w:rsidRDefault="00000000" w:rsidP="00E8227E">
      <w:pPr>
        <w:pStyle w:val="TOC1"/>
        <w:rPr>
          <w:noProof/>
          <w:lang w:eastAsia="en-GB"/>
        </w:rPr>
      </w:pPr>
      <w:hyperlink w:anchor="_Toc127531819" w:history="1">
        <w:r w:rsidR="007013FD" w:rsidRPr="00BC00F1">
          <w:rPr>
            <w:rStyle w:val="Hyperlink"/>
            <w:noProof/>
          </w:rPr>
          <w:t xml:space="preserve">Antimicrobial resistance in </w:t>
        </w:r>
        <w:r w:rsidR="007013FD" w:rsidRPr="00BC00F1">
          <w:rPr>
            <w:rStyle w:val="Hyperlink"/>
            <w:i/>
            <w:iCs/>
            <w:noProof/>
          </w:rPr>
          <w:t>Campylobacter jejuni</w:t>
        </w:r>
        <w:r w:rsidR="007013FD" w:rsidRPr="00BC00F1">
          <w:rPr>
            <w:rStyle w:val="Hyperlink"/>
            <w:noProof/>
          </w:rPr>
          <w:t xml:space="preserve"> and </w:t>
        </w:r>
        <w:r w:rsidR="007013FD" w:rsidRPr="00BC00F1">
          <w:rPr>
            <w:rStyle w:val="Hyperlink"/>
            <w:i/>
            <w:iCs/>
            <w:noProof/>
          </w:rPr>
          <w:t>C. coli</w:t>
        </w:r>
        <w:r w:rsidR="007013FD">
          <w:rPr>
            <w:noProof/>
            <w:webHidden/>
          </w:rPr>
          <w:tab/>
        </w:r>
        <w:r w:rsidR="007013FD">
          <w:rPr>
            <w:noProof/>
            <w:webHidden/>
          </w:rPr>
          <w:fldChar w:fldCharType="begin"/>
        </w:r>
        <w:r w:rsidR="007013FD">
          <w:rPr>
            <w:noProof/>
            <w:webHidden/>
          </w:rPr>
          <w:instrText xml:space="preserve"> PAGEREF _Toc127531819 \h </w:instrText>
        </w:r>
        <w:r w:rsidR="007013FD">
          <w:rPr>
            <w:noProof/>
            <w:webHidden/>
          </w:rPr>
        </w:r>
        <w:r w:rsidR="007013FD">
          <w:rPr>
            <w:noProof/>
            <w:webHidden/>
          </w:rPr>
          <w:fldChar w:fldCharType="separate"/>
        </w:r>
        <w:r w:rsidR="007906B1">
          <w:rPr>
            <w:noProof/>
            <w:webHidden/>
          </w:rPr>
          <w:t>19</w:t>
        </w:r>
        <w:r w:rsidR="007013FD">
          <w:rPr>
            <w:noProof/>
            <w:webHidden/>
          </w:rPr>
          <w:fldChar w:fldCharType="end"/>
        </w:r>
      </w:hyperlink>
    </w:p>
    <w:p w14:paraId="3514AD06" w14:textId="21FC1902" w:rsidR="007013FD" w:rsidRDefault="00000000" w:rsidP="00E8227E">
      <w:pPr>
        <w:pStyle w:val="TOC1"/>
        <w:rPr>
          <w:noProof/>
          <w:lang w:eastAsia="en-GB"/>
        </w:rPr>
      </w:pPr>
      <w:hyperlink w:anchor="_Toc127531820" w:history="1">
        <w:r w:rsidR="007013FD" w:rsidRPr="00B51D8C">
          <w:rPr>
            <w:rStyle w:val="Hyperlink"/>
            <w:noProof/>
          </w:rPr>
          <w:t>Cholera</w:t>
        </w:r>
        <w:r w:rsidR="007013FD" w:rsidRPr="00B51D8C">
          <w:rPr>
            <w:noProof/>
            <w:webHidden/>
          </w:rPr>
          <w:tab/>
        </w:r>
        <w:r w:rsidR="007013FD" w:rsidRPr="00B51D8C">
          <w:rPr>
            <w:noProof/>
            <w:webHidden/>
          </w:rPr>
          <w:fldChar w:fldCharType="begin"/>
        </w:r>
        <w:r w:rsidR="007013FD" w:rsidRPr="00B51D8C">
          <w:rPr>
            <w:noProof/>
            <w:webHidden/>
          </w:rPr>
          <w:instrText xml:space="preserve"> PAGEREF _Toc127531820 \h </w:instrText>
        </w:r>
        <w:r w:rsidR="007013FD" w:rsidRPr="00B51D8C">
          <w:rPr>
            <w:noProof/>
            <w:webHidden/>
          </w:rPr>
        </w:r>
        <w:r w:rsidR="007013FD" w:rsidRPr="00B51D8C">
          <w:rPr>
            <w:noProof/>
            <w:webHidden/>
          </w:rPr>
          <w:fldChar w:fldCharType="separate"/>
        </w:r>
        <w:r w:rsidR="007906B1">
          <w:rPr>
            <w:noProof/>
            <w:webHidden/>
          </w:rPr>
          <w:t>23</w:t>
        </w:r>
        <w:r w:rsidR="007013FD" w:rsidRPr="00B51D8C">
          <w:rPr>
            <w:noProof/>
            <w:webHidden/>
          </w:rPr>
          <w:fldChar w:fldCharType="end"/>
        </w:r>
      </w:hyperlink>
    </w:p>
    <w:p w14:paraId="753EA0F5" w14:textId="5393A225" w:rsidR="007013FD" w:rsidRDefault="00000000" w:rsidP="00E8227E">
      <w:pPr>
        <w:pStyle w:val="TOC1"/>
        <w:rPr>
          <w:noProof/>
          <w:lang w:eastAsia="en-GB"/>
        </w:rPr>
      </w:pPr>
      <w:hyperlink w:anchor="_Toc127531821" w:history="1">
        <w:r w:rsidR="007013FD" w:rsidRPr="00BC00F1">
          <w:rPr>
            <w:rStyle w:val="Hyperlink"/>
            <w:noProof/>
          </w:rPr>
          <w:t>Cryptosporidiosis</w:t>
        </w:r>
        <w:r w:rsidR="007013FD">
          <w:rPr>
            <w:noProof/>
            <w:webHidden/>
          </w:rPr>
          <w:tab/>
        </w:r>
        <w:r w:rsidR="007013FD">
          <w:rPr>
            <w:noProof/>
            <w:webHidden/>
          </w:rPr>
          <w:fldChar w:fldCharType="begin"/>
        </w:r>
        <w:r w:rsidR="007013FD">
          <w:rPr>
            <w:noProof/>
            <w:webHidden/>
          </w:rPr>
          <w:instrText xml:space="preserve"> PAGEREF _Toc127531821 \h </w:instrText>
        </w:r>
        <w:r w:rsidR="007013FD">
          <w:rPr>
            <w:noProof/>
            <w:webHidden/>
          </w:rPr>
        </w:r>
        <w:r w:rsidR="007013FD">
          <w:rPr>
            <w:noProof/>
            <w:webHidden/>
          </w:rPr>
          <w:fldChar w:fldCharType="separate"/>
        </w:r>
        <w:r w:rsidR="007906B1">
          <w:rPr>
            <w:noProof/>
            <w:webHidden/>
          </w:rPr>
          <w:t>27</w:t>
        </w:r>
        <w:r w:rsidR="007013FD">
          <w:rPr>
            <w:noProof/>
            <w:webHidden/>
          </w:rPr>
          <w:fldChar w:fldCharType="end"/>
        </w:r>
      </w:hyperlink>
    </w:p>
    <w:p w14:paraId="7EB1D8C7" w14:textId="2884B09B" w:rsidR="007013FD" w:rsidRDefault="00000000" w:rsidP="00E8227E">
      <w:pPr>
        <w:pStyle w:val="TOC1"/>
        <w:rPr>
          <w:noProof/>
          <w:lang w:eastAsia="en-GB"/>
        </w:rPr>
      </w:pPr>
      <w:hyperlink w:anchor="_Toc127531822" w:history="1">
        <w:r w:rsidR="007013FD" w:rsidRPr="00BC00F1">
          <w:rPr>
            <w:rStyle w:val="Hyperlink"/>
            <w:noProof/>
          </w:rPr>
          <w:t>Echinococcosis</w:t>
        </w:r>
        <w:r w:rsidR="007013FD">
          <w:rPr>
            <w:noProof/>
            <w:webHidden/>
          </w:rPr>
          <w:tab/>
        </w:r>
        <w:r w:rsidR="007013FD">
          <w:rPr>
            <w:noProof/>
            <w:webHidden/>
          </w:rPr>
          <w:fldChar w:fldCharType="begin"/>
        </w:r>
        <w:r w:rsidR="007013FD">
          <w:rPr>
            <w:noProof/>
            <w:webHidden/>
          </w:rPr>
          <w:instrText xml:space="preserve"> PAGEREF _Toc127531822 \h </w:instrText>
        </w:r>
        <w:r w:rsidR="007013FD">
          <w:rPr>
            <w:noProof/>
            <w:webHidden/>
          </w:rPr>
        </w:r>
        <w:r w:rsidR="007013FD">
          <w:rPr>
            <w:noProof/>
            <w:webHidden/>
          </w:rPr>
          <w:fldChar w:fldCharType="separate"/>
        </w:r>
        <w:r w:rsidR="007906B1">
          <w:rPr>
            <w:noProof/>
            <w:webHidden/>
          </w:rPr>
          <w:t>31</w:t>
        </w:r>
        <w:r w:rsidR="007013FD">
          <w:rPr>
            <w:noProof/>
            <w:webHidden/>
          </w:rPr>
          <w:fldChar w:fldCharType="end"/>
        </w:r>
      </w:hyperlink>
    </w:p>
    <w:p w14:paraId="07D63B37" w14:textId="63812E4F" w:rsidR="007013FD" w:rsidRDefault="00000000" w:rsidP="00E8227E">
      <w:pPr>
        <w:pStyle w:val="TOC1"/>
        <w:rPr>
          <w:noProof/>
          <w:lang w:eastAsia="en-GB"/>
        </w:rPr>
      </w:pPr>
      <w:hyperlink w:anchor="_Toc127531823" w:history="1">
        <w:r w:rsidR="007013FD" w:rsidRPr="00BC00F1">
          <w:rPr>
            <w:rStyle w:val="Hyperlink"/>
            <w:noProof/>
          </w:rPr>
          <w:t>Giardiasis (lambliasis)</w:t>
        </w:r>
        <w:r w:rsidR="007013FD">
          <w:rPr>
            <w:noProof/>
            <w:webHidden/>
          </w:rPr>
          <w:tab/>
        </w:r>
        <w:r w:rsidR="007013FD">
          <w:rPr>
            <w:noProof/>
            <w:webHidden/>
          </w:rPr>
          <w:fldChar w:fldCharType="begin"/>
        </w:r>
        <w:r w:rsidR="007013FD">
          <w:rPr>
            <w:noProof/>
            <w:webHidden/>
          </w:rPr>
          <w:instrText xml:space="preserve"> PAGEREF _Toc127531823 \h </w:instrText>
        </w:r>
        <w:r w:rsidR="007013FD">
          <w:rPr>
            <w:noProof/>
            <w:webHidden/>
          </w:rPr>
        </w:r>
        <w:r w:rsidR="007013FD">
          <w:rPr>
            <w:noProof/>
            <w:webHidden/>
          </w:rPr>
          <w:fldChar w:fldCharType="separate"/>
        </w:r>
        <w:r w:rsidR="007906B1">
          <w:rPr>
            <w:noProof/>
            <w:webHidden/>
          </w:rPr>
          <w:t>35</w:t>
        </w:r>
        <w:r w:rsidR="007013FD">
          <w:rPr>
            <w:noProof/>
            <w:webHidden/>
          </w:rPr>
          <w:fldChar w:fldCharType="end"/>
        </w:r>
      </w:hyperlink>
    </w:p>
    <w:p w14:paraId="40AA5644" w14:textId="71B02A5E" w:rsidR="007013FD" w:rsidRDefault="00000000" w:rsidP="00E8227E">
      <w:pPr>
        <w:pStyle w:val="TOC1"/>
        <w:rPr>
          <w:noProof/>
          <w:lang w:eastAsia="en-GB"/>
        </w:rPr>
      </w:pPr>
      <w:hyperlink w:anchor="_Toc127531824" w:history="1">
        <w:r w:rsidR="007013FD" w:rsidRPr="00BC00F1">
          <w:rPr>
            <w:rStyle w:val="Hyperlink"/>
            <w:noProof/>
          </w:rPr>
          <w:t>Hepatitis A</w:t>
        </w:r>
        <w:r w:rsidR="007013FD">
          <w:rPr>
            <w:noProof/>
            <w:webHidden/>
          </w:rPr>
          <w:tab/>
        </w:r>
        <w:r w:rsidR="007013FD">
          <w:rPr>
            <w:noProof/>
            <w:webHidden/>
          </w:rPr>
          <w:fldChar w:fldCharType="begin"/>
        </w:r>
        <w:r w:rsidR="007013FD">
          <w:rPr>
            <w:noProof/>
            <w:webHidden/>
          </w:rPr>
          <w:instrText xml:space="preserve"> PAGEREF _Toc127531824 \h </w:instrText>
        </w:r>
        <w:r w:rsidR="007013FD">
          <w:rPr>
            <w:noProof/>
            <w:webHidden/>
          </w:rPr>
        </w:r>
        <w:r w:rsidR="007013FD">
          <w:rPr>
            <w:noProof/>
            <w:webHidden/>
          </w:rPr>
          <w:fldChar w:fldCharType="separate"/>
        </w:r>
        <w:r w:rsidR="007906B1">
          <w:rPr>
            <w:noProof/>
            <w:webHidden/>
          </w:rPr>
          <w:t>39</w:t>
        </w:r>
        <w:r w:rsidR="007013FD">
          <w:rPr>
            <w:noProof/>
            <w:webHidden/>
          </w:rPr>
          <w:fldChar w:fldCharType="end"/>
        </w:r>
      </w:hyperlink>
    </w:p>
    <w:p w14:paraId="61BC4BC3" w14:textId="1EF8E3EE" w:rsidR="007013FD" w:rsidRDefault="00000000" w:rsidP="00E8227E">
      <w:pPr>
        <w:pStyle w:val="TOC1"/>
        <w:rPr>
          <w:noProof/>
          <w:lang w:eastAsia="en-GB"/>
        </w:rPr>
      </w:pPr>
      <w:hyperlink w:anchor="_Toc127531825" w:history="1">
        <w:r w:rsidR="007013FD" w:rsidRPr="00BC00F1">
          <w:rPr>
            <w:rStyle w:val="Hyperlink"/>
            <w:noProof/>
          </w:rPr>
          <w:t>Leptospirosis</w:t>
        </w:r>
        <w:r w:rsidR="007013FD">
          <w:rPr>
            <w:noProof/>
            <w:webHidden/>
          </w:rPr>
          <w:tab/>
        </w:r>
        <w:r w:rsidR="007013FD">
          <w:rPr>
            <w:noProof/>
            <w:webHidden/>
          </w:rPr>
          <w:fldChar w:fldCharType="begin"/>
        </w:r>
        <w:r w:rsidR="007013FD">
          <w:rPr>
            <w:noProof/>
            <w:webHidden/>
          </w:rPr>
          <w:instrText xml:space="preserve"> PAGEREF _Toc127531825 \h </w:instrText>
        </w:r>
        <w:r w:rsidR="007013FD">
          <w:rPr>
            <w:noProof/>
            <w:webHidden/>
          </w:rPr>
        </w:r>
        <w:r w:rsidR="007013FD">
          <w:rPr>
            <w:noProof/>
            <w:webHidden/>
          </w:rPr>
          <w:fldChar w:fldCharType="separate"/>
        </w:r>
        <w:r w:rsidR="007906B1">
          <w:rPr>
            <w:noProof/>
            <w:webHidden/>
          </w:rPr>
          <w:t>43</w:t>
        </w:r>
        <w:r w:rsidR="007013FD">
          <w:rPr>
            <w:noProof/>
            <w:webHidden/>
          </w:rPr>
          <w:fldChar w:fldCharType="end"/>
        </w:r>
      </w:hyperlink>
    </w:p>
    <w:p w14:paraId="0FB3689C" w14:textId="1B604105" w:rsidR="007013FD" w:rsidRDefault="00000000" w:rsidP="00E8227E">
      <w:pPr>
        <w:pStyle w:val="TOC1"/>
        <w:rPr>
          <w:noProof/>
          <w:lang w:eastAsia="en-GB"/>
        </w:rPr>
      </w:pPr>
      <w:hyperlink w:anchor="_Toc127531826" w:history="1">
        <w:r w:rsidR="007013FD" w:rsidRPr="00BC00F1">
          <w:rPr>
            <w:rStyle w:val="Hyperlink"/>
            <w:noProof/>
          </w:rPr>
          <w:t>Listeriosis</w:t>
        </w:r>
        <w:r w:rsidR="007013FD">
          <w:rPr>
            <w:noProof/>
            <w:webHidden/>
          </w:rPr>
          <w:tab/>
        </w:r>
        <w:r w:rsidR="007013FD">
          <w:rPr>
            <w:noProof/>
            <w:webHidden/>
          </w:rPr>
          <w:fldChar w:fldCharType="begin"/>
        </w:r>
        <w:r w:rsidR="007013FD">
          <w:rPr>
            <w:noProof/>
            <w:webHidden/>
          </w:rPr>
          <w:instrText xml:space="preserve"> PAGEREF _Toc127531826 \h </w:instrText>
        </w:r>
        <w:r w:rsidR="007013FD">
          <w:rPr>
            <w:noProof/>
            <w:webHidden/>
          </w:rPr>
        </w:r>
        <w:r w:rsidR="007013FD">
          <w:rPr>
            <w:noProof/>
            <w:webHidden/>
          </w:rPr>
          <w:fldChar w:fldCharType="separate"/>
        </w:r>
        <w:r w:rsidR="007906B1">
          <w:rPr>
            <w:noProof/>
            <w:webHidden/>
          </w:rPr>
          <w:t>47</w:t>
        </w:r>
        <w:r w:rsidR="007013FD">
          <w:rPr>
            <w:noProof/>
            <w:webHidden/>
          </w:rPr>
          <w:fldChar w:fldCharType="end"/>
        </w:r>
      </w:hyperlink>
    </w:p>
    <w:p w14:paraId="70C0EA4E" w14:textId="7EE71906" w:rsidR="007013FD" w:rsidRDefault="00000000" w:rsidP="00E8227E">
      <w:pPr>
        <w:pStyle w:val="TOC1"/>
        <w:rPr>
          <w:noProof/>
          <w:lang w:eastAsia="en-GB"/>
        </w:rPr>
      </w:pPr>
      <w:hyperlink w:anchor="_Toc127531827" w:history="1">
        <w:r w:rsidR="007013FD" w:rsidRPr="00BC00F1">
          <w:rPr>
            <w:rStyle w:val="Hyperlink"/>
            <w:noProof/>
          </w:rPr>
          <w:t>Salmonellosis and typhoid/paratyphoid fever</w:t>
        </w:r>
        <w:r w:rsidR="007013FD">
          <w:rPr>
            <w:noProof/>
            <w:webHidden/>
          </w:rPr>
          <w:tab/>
        </w:r>
        <w:r w:rsidR="007013FD">
          <w:rPr>
            <w:noProof/>
            <w:webHidden/>
          </w:rPr>
          <w:fldChar w:fldCharType="begin"/>
        </w:r>
        <w:r w:rsidR="007013FD">
          <w:rPr>
            <w:noProof/>
            <w:webHidden/>
          </w:rPr>
          <w:instrText xml:space="preserve"> PAGEREF _Toc127531827 \h </w:instrText>
        </w:r>
        <w:r w:rsidR="007013FD">
          <w:rPr>
            <w:noProof/>
            <w:webHidden/>
          </w:rPr>
        </w:r>
        <w:r w:rsidR="007013FD">
          <w:rPr>
            <w:noProof/>
            <w:webHidden/>
          </w:rPr>
          <w:fldChar w:fldCharType="separate"/>
        </w:r>
        <w:r w:rsidR="007906B1">
          <w:rPr>
            <w:noProof/>
            <w:webHidden/>
          </w:rPr>
          <w:t>52</w:t>
        </w:r>
        <w:r w:rsidR="007013FD">
          <w:rPr>
            <w:noProof/>
            <w:webHidden/>
          </w:rPr>
          <w:fldChar w:fldCharType="end"/>
        </w:r>
      </w:hyperlink>
    </w:p>
    <w:p w14:paraId="33E9B709" w14:textId="6467F0A0" w:rsidR="007013FD" w:rsidRDefault="00000000" w:rsidP="00E8227E">
      <w:pPr>
        <w:pStyle w:val="TOC1"/>
        <w:rPr>
          <w:noProof/>
          <w:lang w:eastAsia="en-GB"/>
        </w:rPr>
      </w:pPr>
      <w:hyperlink w:anchor="_Toc127531828" w:history="1">
        <w:r w:rsidR="007013FD" w:rsidRPr="00BC00F1">
          <w:rPr>
            <w:rStyle w:val="Hyperlink"/>
            <w:noProof/>
          </w:rPr>
          <w:t xml:space="preserve">Antimicrobial resistance in </w:t>
        </w:r>
        <w:r w:rsidR="007013FD" w:rsidRPr="00BC00F1">
          <w:rPr>
            <w:rStyle w:val="Hyperlink"/>
            <w:i/>
            <w:iCs/>
            <w:noProof/>
          </w:rPr>
          <w:t>Salmonella</w:t>
        </w:r>
        <w:r w:rsidR="007013FD" w:rsidRPr="00BC00F1">
          <w:rPr>
            <w:rStyle w:val="Hyperlink"/>
            <w:noProof/>
          </w:rPr>
          <w:t xml:space="preserve"> spp.</w:t>
        </w:r>
        <w:r w:rsidR="007013FD">
          <w:rPr>
            <w:noProof/>
            <w:webHidden/>
          </w:rPr>
          <w:tab/>
        </w:r>
        <w:r w:rsidR="007013FD">
          <w:rPr>
            <w:noProof/>
            <w:webHidden/>
          </w:rPr>
          <w:fldChar w:fldCharType="begin"/>
        </w:r>
        <w:r w:rsidR="007013FD">
          <w:rPr>
            <w:noProof/>
            <w:webHidden/>
          </w:rPr>
          <w:instrText xml:space="preserve"> PAGEREF _Toc127531828 \h </w:instrText>
        </w:r>
        <w:r w:rsidR="007013FD">
          <w:rPr>
            <w:noProof/>
            <w:webHidden/>
          </w:rPr>
        </w:r>
        <w:r w:rsidR="007013FD">
          <w:rPr>
            <w:noProof/>
            <w:webHidden/>
          </w:rPr>
          <w:fldChar w:fldCharType="separate"/>
        </w:r>
        <w:r w:rsidR="007906B1">
          <w:rPr>
            <w:noProof/>
            <w:webHidden/>
          </w:rPr>
          <w:t>59</w:t>
        </w:r>
        <w:r w:rsidR="007013FD">
          <w:rPr>
            <w:noProof/>
            <w:webHidden/>
          </w:rPr>
          <w:fldChar w:fldCharType="end"/>
        </w:r>
      </w:hyperlink>
    </w:p>
    <w:p w14:paraId="281FA21F" w14:textId="11429CD0" w:rsidR="007013FD" w:rsidRDefault="00000000" w:rsidP="00E8227E">
      <w:pPr>
        <w:pStyle w:val="TOC1"/>
        <w:rPr>
          <w:noProof/>
          <w:lang w:eastAsia="en-GB"/>
        </w:rPr>
      </w:pPr>
      <w:hyperlink w:anchor="_Toc127531829" w:history="1">
        <w:r w:rsidR="007013FD" w:rsidRPr="00BC00F1">
          <w:rPr>
            <w:rStyle w:val="Hyperlink"/>
            <w:noProof/>
          </w:rPr>
          <w:t>Shigellosis</w:t>
        </w:r>
        <w:r w:rsidR="007013FD">
          <w:rPr>
            <w:noProof/>
            <w:webHidden/>
          </w:rPr>
          <w:tab/>
        </w:r>
        <w:r w:rsidR="007013FD">
          <w:rPr>
            <w:noProof/>
            <w:webHidden/>
          </w:rPr>
          <w:fldChar w:fldCharType="begin"/>
        </w:r>
        <w:r w:rsidR="007013FD">
          <w:rPr>
            <w:noProof/>
            <w:webHidden/>
          </w:rPr>
          <w:instrText xml:space="preserve"> PAGEREF _Toc127531829 \h </w:instrText>
        </w:r>
        <w:r w:rsidR="007013FD">
          <w:rPr>
            <w:noProof/>
            <w:webHidden/>
          </w:rPr>
        </w:r>
        <w:r w:rsidR="007013FD">
          <w:rPr>
            <w:noProof/>
            <w:webHidden/>
          </w:rPr>
          <w:fldChar w:fldCharType="separate"/>
        </w:r>
        <w:r w:rsidR="007906B1">
          <w:rPr>
            <w:noProof/>
            <w:webHidden/>
          </w:rPr>
          <w:t>63</w:t>
        </w:r>
        <w:r w:rsidR="007013FD">
          <w:rPr>
            <w:noProof/>
            <w:webHidden/>
          </w:rPr>
          <w:fldChar w:fldCharType="end"/>
        </w:r>
      </w:hyperlink>
    </w:p>
    <w:p w14:paraId="609B4E89" w14:textId="1D235534" w:rsidR="007013FD" w:rsidRDefault="00000000" w:rsidP="00E8227E">
      <w:pPr>
        <w:pStyle w:val="TOC1"/>
        <w:rPr>
          <w:noProof/>
          <w:lang w:eastAsia="en-GB"/>
        </w:rPr>
      </w:pPr>
      <w:hyperlink w:anchor="_Toc127531830" w:history="1">
        <w:r w:rsidR="007013FD" w:rsidRPr="00BC00F1">
          <w:rPr>
            <w:rStyle w:val="Hyperlink"/>
            <w:noProof/>
          </w:rPr>
          <w:t xml:space="preserve">Antimicrobial resistance in </w:t>
        </w:r>
        <w:r w:rsidR="007013FD" w:rsidRPr="00BC00F1">
          <w:rPr>
            <w:rStyle w:val="Hyperlink"/>
            <w:i/>
            <w:noProof/>
          </w:rPr>
          <w:t>Shigella spp.</w:t>
        </w:r>
        <w:r w:rsidR="007013FD">
          <w:rPr>
            <w:noProof/>
            <w:webHidden/>
          </w:rPr>
          <w:tab/>
        </w:r>
        <w:r w:rsidR="007013FD">
          <w:rPr>
            <w:noProof/>
            <w:webHidden/>
          </w:rPr>
          <w:fldChar w:fldCharType="begin"/>
        </w:r>
        <w:r w:rsidR="007013FD">
          <w:rPr>
            <w:noProof/>
            <w:webHidden/>
          </w:rPr>
          <w:instrText xml:space="preserve"> PAGEREF _Toc127531830 \h </w:instrText>
        </w:r>
        <w:r w:rsidR="007013FD">
          <w:rPr>
            <w:noProof/>
            <w:webHidden/>
          </w:rPr>
        </w:r>
        <w:r w:rsidR="007013FD">
          <w:rPr>
            <w:noProof/>
            <w:webHidden/>
          </w:rPr>
          <w:fldChar w:fldCharType="separate"/>
        </w:r>
        <w:r w:rsidR="007906B1">
          <w:rPr>
            <w:noProof/>
            <w:webHidden/>
          </w:rPr>
          <w:t>67</w:t>
        </w:r>
        <w:r w:rsidR="007013FD">
          <w:rPr>
            <w:noProof/>
            <w:webHidden/>
          </w:rPr>
          <w:fldChar w:fldCharType="end"/>
        </w:r>
      </w:hyperlink>
    </w:p>
    <w:p w14:paraId="4120BE5A" w14:textId="61D89B9D" w:rsidR="007013FD" w:rsidRDefault="00000000" w:rsidP="00E8227E">
      <w:pPr>
        <w:pStyle w:val="TOC1"/>
        <w:rPr>
          <w:noProof/>
          <w:lang w:eastAsia="en-GB"/>
        </w:rPr>
      </w:pPr>
      <w:hyperlink w:anchor="_Toc127531831" w:history="1">
        <w:r w:rsidR="007013FD" w:rsidRPr="00BC00F1">
          <w:rPr>
            <w:rStyle w:val="Hyperlink"/>
            <w:noProof/>
          </w:rPr>
          <w:t>STEC/VTEC infection</w:t>
        </w:r>
        <w:r w:rsidR="007013FD">
          <w:rPr>
            <w:noProof/>
            <w:webHidden/>
          </w:rPr>
          <w:tab/>
        </w:r>
        <w:r w:rsidR="007013FD">
          <w:rPr>
            <w:noProof/>
            <w:webHidden/>
          </w:rPr>
          <w:fldChar w:fldCharType="begin"/>
        </w:r>
        <w:r w:rsidR="007013FD">
          <w:rPr>
            <w:noProof/>
            <w:webHidden/>
          </w:rPr>
          <w:instrText xml:space="preserve"> PAGEREF _Toc127531831 \h </w:instrText>
        </w:r>
        <w:r w:rsidR="007013FD">
          <w:rPr>
            <w:noProof/>
            <w:webHidden/>
          </w:rPr>
        </w:r>
        <w:r w:rsidR="007013FD">
          <w:rPr>
            <w:noProof/>
            <w:webHidden/>
          </w:rPr>
          <w:fldChar w:fldCharType="separate"/>
        </w:r>
        <w:r w:rsidR="007906B1">
          <w:rPr>
            <w:noProof/>
            <w:webHidden/>
          </w:rPr>
          <w:t>70</w:t>
        </w:r>
        <w:r w:rsidR="007013FD">
          <w:rPr>
            <w:noProof/>
            <w:webHidden/>
          </w:rPr>
          <w:fldChar w:fldCharType="end"/>
        </w:r>
      </w:hyperlink>
    </w:p>
    <w:p w14:paraId="203361B5" w14:textId="44A3C251" w:rsidR="007013FD" w:rsidRDefault="00000000" w:rsidP="00E8227E">
      <w:pPr>
        <w:pStyle w:val="TOC1"/>
        <w:rPr>
          <w:noProof/>
          <w:lang w:eastAsia="en-GB"/>
        </w:rPr>
      </w:pPr>
      <w:hyperlink w:anchor="_Toc127531832" w:history="1">
        <w:r w:rsidR="007013FD" w:rsidRPr="00BC00F1">
          <w:rPr>
            <w:rStyle w:val="Hyperlink"/>
            <w:noProof/>
          </w:rPr>
          <w:t>Congenital toxoplasmosis</w:t>
        </w:r>
        <w:r w:rsidR="007013FD">
          <w:rPr>
            <w:noProof/>
            <w:webHidden/>
          </w:rPr>
          <w:tab/>
        </w:r>
        <w:r w:rsidR="007013FD">
          <w:rPr>
            <w:noProof/>
            <w:webHidden/>
          </w:rPr>
          <w:fldChar w:fldCharType="begin"/>
        </w:r>
        <w:r w:rsidR="007013FD">
          <w:rPr>
            <w:noProof/>
            <w:webHidden/>
          </w:rPr>
          <w:instrText xml:space="preserve"> PAGEREF _Toc127531832 \h </w:instrText>
        </w:r>
        <w:r w:rsidR="007013FD">
          <w:rPr>
            <w:noProof/>
            <w:webHidden/>
          </w:rPr>
        </w:r>
        <w:r w:rsidR="007013FD">
          <w:rPr>
            <w:noProof/>
            <w:webHidden/>
          </w:rPr>
          <w:fldChar w:fldCharType="separate"/>
        </w:r>
        <w:r w:rsidR="007906B1">
          <w:rPr>
            <w:noProof/>
            <w:webHidden/>
          </w:rPr>
          <w:t>75</w:t>
        </w:r>
        <w:r w:rsidR="007013FD">
          <w:rPr>
            <w:noProof/>
            <w:webHidden/>
          </w:rPr>
          <w:fldChar w:fldCharType="end"/>
        </w:r>
      </w:hyperlink>
    </w:p>
    <w:p w14:paraId="6E381C84" w14:textId="31A2FC15" w:rsidR="007013FD" w:rsidRDefault="00000000" w:rsidP="00E8227E">
      <w:pPr>
        <w:pStyle w:val="TOC1"/>
        <w:rPr>
          <w:noProof/>
          <w:lang w:eastAsia="en-GB"/>
        </w:rPr>
      </w:pPr>
      <w:hyperlink w:anchor="_Toc127531833" w:history="1">
        <w:r w:rsidR="007013FD" w:rsidRPr="00BC00F1">
          <w:rPr>
            <w:rStyle w:val="Hyperlink"/>
            <w:noProof/>
          </w:rPr>
          <w:t>Trichinellosis</w:t>
        </w:r>
        <w:r w:rsidR="007013FD">
          <w:rPr>
            <w:noProof/>
            <w:webHidden/>
          </w:rPr>
          <w:tab/>
        </w:r>
        <w:r w:rsidR="007013FD">
          <w:rPr>
            <w:noProof/>
            <w:webHidden/>
          </w:rPr>
          <w:fldChar w:fldCharType="begin"/>
        </w:r>
        <w:r w:rsidR="007013FD">
          <w:rPr>
            <w:noProof/>
            <w:webHidden/>
          </w:rPr>
          <w:instrText xml:space="preserve"> PAGEREF _Toc127531833 \h </w:instrText>
        </w:r>
        <w:r w:rsidR="007013FD">
          <w:rPr>
            <w:noProof/>
            <w:webHidden/>
          </w:rPr>
        </w:r>
        <w:r w:rsidR="007013FD">
          <w:rPr>
            <w:noProof/>
            <w:webHidden/>
          </w:rPr>
          <w:fldChar w:fldCharType="separate"/>
        </w:r>
        <w:r w:rsidR="007906B1">
          <w:rPr>
            <w:noProof/>
            <w:webHidden/>
          </w:rPr>
          <w:t>79</w:t>
        </w:r>
        <w:r w:rsidR="007013FD">
          <w:rPr>
            <w:noProof/>
            <w:webHidden/>
          </w:rPr>
          <w:fldChar w:fldCharType="end"/>
        </w:r>
      </w:hyperlink>
    </w:p>
    <w:p w14:paraId="79AAE3E5" w14:textId="204DD1F5" w:rsidR="007013FD" w:rsidRDefault="00000000" w:rsidP="00E8227E">
      <w:pPr>
        <w:pStyle w:val="TOC1"/>
        <w:rPr>
          <w:noProof/>
          <w:lang w:eastAsia="en-GB"/>
        </w:rPr>
      </w:pPr>
      <w:hyperlink w:anchor="_Toc127531834" w:history="1">
        <w:r w:rsidR="007013FD" w:rsidRPr="00BC00F1">
          <w:rPr>
            <w:rStyle w:val="Hyperlink"/>
            <w:noProof/>
          </w:rPr>
          <w:t>Variant Creutzfeldt-Jakob disease (vCJD)</w:t>
        </w:r>
        <w:r w:rsidR="007013FD">
          <w:rPr>
            <w:noProof/>
            <w:webHidden/>
          </w:rPr>
          <w:tab/>
        </w:r>
        <w:r w:rsidR="007013FD">
          <w:rPr>
            <w:noProof/>
            <w:webHidden/>
          </w:rPr>
          <w:fldChar w:fldCharType="begin"/>
        </w:r>
        <w:r w:rsidR="007013FD">
          <w:rPr>
            <w:noProof/>
            <w:webHidden/>
          </w:rPr>
          <w:instrText xml:space="preserve"> PAGEREF _Toc127531834 \h </w:instrText>
        </w:r>
        <w:r w:rsidR="007013FD">
          <w:rPr>
            <w:noProof/>
            <w:webHidden/>
          </w:rPr>
        </w:r>
        <w:r w:rsidR="007013FD">
          <w:rPr>
            <w:noProof/>
            <w:webHidden/>
          </w:rPr>
          <w:fldChar w:fldCharType="separate"/>
        </w:r>
        <w:r w:rsidR="007906B1">
          <w:rPr>
            <w:noProof/>
            <w:webHidden/>
          </w:rPr>
          <w:t>83</w:t>
        </w:r>
        <w:r w:rsidR="007013FD">
          <w:rPr>
            <w:noProof/>
            <w:webHidden/>
          </w:rPr>
          <w:fldChar w:fldCharType="end"/>
        </w:r>
      </w:hyperlink>
    </w:p>
    <w:p w14:paraId="2BF5B06B" w14:textId="1550EC06" w:rsidR="007013FD" w:rsidRDefault="00000000" w:rsidP="00E8227E">
      <w:pPr>
        <w:pStyle w:val="TOC1"/>
        <w:rPr>
          <w:noProof/>
          <w:lang w:eastAsia="en-GB"/>
        </w:rPr>
      </w:pPr>
      <w:hyperlink w:anchor="_Toc127531835" w:history="1">
        <w:r w:rsidR="007013FD" w:rsidRPr="00BC00F1">
          <w:rPr>
            <w:rStyle w:val="Hyperlink"/>
            <w:noProof/>
          </w:rPr>
          <w:t>Yersiniosis</w:t>
        </w:r>
        <w:r w:rsidR="007013FD">
          <w:rPr>
            <w:noProof/>
            <w:webHidden/>
          </w:rPr>
          <w:tab/>
        </w:r>
        <w:r w:rsidR="007013FD">
          <w:rPr>
            <w:noProof/>
            <w:webHidden/>
          </w:rPr>
          <w:fldChar w:fldCharType="begin"/>
        </w:r>
        <w:r w:rsidR="007013FD">
          <w:rPr>
            <w:noProof/>
            <w:webHidden/>
          </w:rPr>
          <w:instrText xml:space="preserve"> PAGEREF _Toc127531835 \h </w:instrText>
        </w:r>
        <w:r w:rsidR="007013FD">
          <w:rPr>
            <w:noProof/>
            <w:webHidden/>
          </w:rPr>
        </w:r>
        <w:r w:rsidR="007013FD">
          <w:rPr>
            <w:noProof/>
            <w:webHidden/>
          </w:rPr>
          <w:fldChar w:fldCharType="separate"/>
        </w:r>
        <w:r w:rsidR="007906B1">
          <w:rPr>
            <w:noProof/>
            <w:webHidden/>
          </w:rPr>
          <w:t>87</w:t>
        </w:r>
        <w:r w:rsidR="007013FD">
          <w:rPr>
            <w:noProof/>
            <w:webHidden/>
          </w:rPr>
          <w:fldChar w:fldCharType="end"/>
        </w:r>
      </w:hyperlink>
    </w:p>
    <w:p w14:paraId="5EBD8E78" w14:textId="0B7DC5D3" w:rsidR="00F239C1" w:rsidRDefault="001711E6">
      <w:pPr>
        <w:spacing w:after="200" w:line="276" w:lineRule="auto"/>
        <w:rPr>
          <w:rFonts w:cs="Tahoma"/>
          <w:b/>
          <w:bCs/>
          <w:color w:val="69AE23"/>
          <w:sz w:val="30"/>
          <w:szCs w:val="30"/>
        </w:rPr>
      </w:pPr>
      <w:r>
        <w:fldChar w:fldCharType="end"/>
      </w:r>
      <w:r w:rsidR="00F239C1">
        <w:br w:type="page"/>
      </w:r>
    </w:p>
    <w:p w14:paraId="43E95082" w14:textId="00393047" w:rsidR="008743FC" w:rsidRDefault="008743FC" w:rsidP="008743FC">
      <w:pPr>
        <w:pStyle w:val="EC-Title-5"/>
        <w:outlineLvl w:val="0"/>
        <w:rPr>
          <w:i/>
        </w:rPr>
      </w:pPr>
      <w:bookmarkStart w:id="1" w:name="_Toc127531815"/>
      <w:bookmarkStart w:id="2" w:name="_Toc437442005"/>
      <w:r>
        <w:lastRenderedPageBreak/>
        <w:t>Anthrax</w:t>
      </w:r>
      <w:bookmarkEnd w:id="1"/>
    </w:p>
    <w:p w14:paraId="68C2642A" w14:textId="6B168886" w:rsidR="008743FC" w:rsidRPr="005A6584" w:rsidRDefault="00CB3144" w:rsidP="008743FC">
      <w:pPr>
        <w:pStyle w:val="EC-Para"/>
        <w:jc w:val="right"/>
        <w:rPr>
          <w:b/>
          <w:lang w:eastAsia="en-US"/>
        </w:rPr>
      </w:pPr>
      <w:r w:rsidRPr="005A6584">
        <w:rPr>
          <w:b/>
          <w:lang w:eastAsia="en-US"/>
        </w:rPr>
        <w:t>Last updated: 13 August 2024</w:t>
      </w:r>
    </w:p>
    <w:p w14:paraId="04899067" w14:textId="76AA1A8D" w:rsidR="008743FC" w:rsidRDefault="005A6584" w:rsidP="008743FC">
      <w:pPr>
        <w:pStyle w:val="EC-Para"/>
        <w:jc w:val="right"/>
        <w:rPr>
          <w:b/>
          <w:lang w:eastAsia="en-US"/>
        </w:rPr>
      </w:pPr>
      <w:r w:rsidRPr="005A6584">
        <w:rPr>
          <w:b/>
          <w:lang w:eastAsia="en-US"/>
        </w:rPr>
        <w:t xml:space="preserve">Data retrieval from </w:t>
      </w:r>
      <w:proofErr w:type="spellStart"/>
      <w:r w:rsidRPr="005A6584">
        <w:rPr>
          <w:b/>
          <w:lang w:eastAsia="en-US"/>
        </w:rPr>
        <w:t>TESSy</w:t>
      </w:r>
      <w:proofErr w:type="spellEnd"/>
      <w:r w:rsidRPr="005A6584">
        <w:rPr>
          <w:b/>
          <w:lang w:eastAsia="en-US"/>
        </w:rPr>
        <w:t>: 13 August 2024</w:t>
      </w:r>
    </w:p>
    <w:p w14:paraId="2C757D89" w14:textId="77777777" w:rsidR="008743FC" w:rsidRDefault="008743FC" w:rsidP="008743FC">
      <w:pPr>
        <w:pStyle w:val="EC-Para"/>
        <w:jc w:val="right"/>
        <w:rPr>
          <w:b/>
          <w:lang w:eastAsia="en-US"/>
        </w:rPr>
      </w:pPr>
    </w:p>
    <w:p w14:paraId="325DBA80" w14:textId="5C558A3B" w:rsidR="008743FC" w:rsidRPr="003A5F3A" w:rsidRDefault="00043036" w:rsidP="008743FC">
      <w:pPr>
        <w:autoSpaceDE w:val="0"/>
        <w:autoSpaceDN w:val="0"/>
        <w:adjustRightInd w:val="0"/>
        <w:jc w:val="both"/>
        <w:rPr>
          <w:rFonts w:eastAsiaTheme="minorHAnsi" w:cs="Tahoma"/>
          <w:szCs w:val="18"/>
        </w:rPr>
      </w:pPr>
      <w:r w:rsidRPr="00043036">
        <w:rPr>
          <w:rFonts w:cs="Tahoma"/>
          <w:color w:val="000000"/>
          <w:szCs w:val="18"/>
          <w:shd w:val="clear" w:color="auto" w:fill="FFFFFF"/>
        </w:rPr>
        <w:t xml:space="preserve">Anthrax is a zoonotic disease caused by the spore-producing bacterium </w:t>
      </w:r>
      <w:r w:rsidRPr="00043036">
        <w:rPr>
          <w:rFonts w:cs="Tahoma"/>
          <w:i/>
          <w:color w:val="000000"/>
          <w:szCs w:val="18"/>
          <w:shd w:val="clear" w:color="auto" w:fill="FFFFFF"/>
        </w:rPr>
        <w:t>Bacillus anthracis</w:t>
      </w:r>
      <w:r w:rsidRPr="00043036">
        <w:rPr>
          <w:rFonts w:cs="Tahoma"/>
          <w:color w:val="000000"/>
          <w:szCs w:val="18"/>
          <w:shd w:val="clear" w:color="auto" w:fill="FFFFFF"/>
        </w:rPr>
        <w:t>.</w:t>
      </w:r>
      <w:r w:rsidR="008743FC" w:rsidRPr="003A5F3A">
        <w:rPr>
          <w:rFonts w:eastAsiaTheme="minorHAnsi" w:cs="Tahoma"/>
          <w:szCs w:val="18"/>
        </w:rPr>
        <w:t xml:space="preserve"> </w:t>
      </w:r>
      <w:r w:rsidRPr="00043036">
        <w:rPr>
          <w:rFonts w:eastAsiaTheme="minorHAnsi" w:cs="Tahoma"/>
          <w:szCs w:val="18"/>
        </w:rPr>
        <w:t>Humans may acquire the infection after exposure to spores</w:t>
      </w:r>
      <w:r>
        <w:rPr>
          <w:rFonts w:eastAsiaTheme="minorHAnsi" w:cs="Tahoma"/>
          <w:szCs w:val="18"/>
        </w:rPr>
        <w:t xml:space="preserve"> in the soil</w:t>
      </w:r>
      <w:r w:rsidR="0037106B">
        <w:rPr>
          <w:rFonts w:eastAsiaTheme="minorHAnsi" w:cs="Tahoma"/>
          <w:szCs w:val="18"/>
        </w:rPr>
        <w:t xml:space="preserve"> or in animals</w:t>
      </w:r>
      <w:r w:rsidR="008743FC">
        <w:rPr>
          <w:rFonts w:eastAsiaTheme="minorHAnsi" w:cs="Tahoma"/>
          <w:szCs w:val="18"/>
        </w:rPr>
        <w:t>.</w:t>
      </w:r>
      <w:r w:rsidR="0037106B">
        <w:rPr>
          <w:rFonts w:eastAsiaTheme="minorHAnsi" w:cs="Tahoma"/>
          <w:szCs w:val="18"/>
        </w:rPr>
        <w:t xml:space="preserve"> </w:t>
      </w:r>
      <w:r w:rsidR="008743FC" w:rsidRPr="003A5F3A">
        <w:rPr>
          <w:rFonts w:eastAsiaTheme="minorHAnsi" w:cs="Tahoma"/>
          <w:szCs w:val="18"/>
        </w:rPr>
        <w:t>For a more detailed description of the disease and its epidemiology</w:t>
      </w:r>
      <w:r w:rsidR="008743FC">
        <w:rPr>
          <w:rFonts w:eastAsiaTheme="minorHAnsi" w:cs="Tahoma"/>
          <w:szCs w:val="18"/>
        </w:rPr>
        <w:t>,</w:t>
      </w:r>
      <w:r w:rsidR="008743FC" w:rsidRPr="003A5F3A">
        <w:rPr>
          <w:rFonts w:eastAsiaTheme="minorHAnsi" w:cs="Tahoma"/>
          <w:szCs w:val="18"/>
        </w:rPr>
        <w:t xml:space="preserve"> please </w:t>
      </w:r>
      <w:r w:rsidR="008743FC" w:rsidRPr="00D1043F">
        <w:rPr>
          <w:rFonts w:eastAsiaTheme="minorHAnsi" w:cs="Tahoma"/>
          <w:szCs w:val="18"/>
        </w:rPr>
        <w:t>click</w:t>
      </w:r>
      <w:r w:rsidR="008743FC" w:rsidRPr="00D1043F">
        <w:rPr>
          <w:rFonts w:cs="Tahoma"/>
          <w:szCs w:val="18"/>
        </w:rPr>
        <w:t xml:space="preserve"> </w:t>
      </w:r>
      <w:hyperlink r:id="rId13" w:history="1">
        <w:r w:rsidR="008743FC" w:rsidRPr="00D1043F">
          <w:rPr>
            <w:rStyle w:val="Hyperlink"/>
            <w:i/>
            <w:iCs/>
            <w:sz w:val="18"/>
            <w:szCs w:val="18"/>
          </w:rPr>
          <w:t>here</w:t>
        </w:r>
      </w:hyperlink>
      <w:r w:rsidR="008743FC" w:rsidRPr="00D1043F">
        <w:rPr>
          <w:rStyle w:val="Hyperlink"/>
          <w:i/>
          <w:iCs/>
          <w:sz w:val="18"/>
          <w:szCs w:val="18"/>
        </w:rPr>
        <w:t>.</w:t>
      </w:r>
      <w:r w:rsidR="008743FC" w:rsidRPr="003A5F3A">
        <w:rPr>
          <w:rStyle w:val="Hyperlink"/>
          <w:i/>
        </w:rPr>
        <w:t xml:space="preserve">  </w:t>
      </w:r>
    </w:p>
    <w:p w14:paraId="112301DB" w14:textId="53EFE331" w:rsidR="008743FC" w:rsidRDefault="008743FC" w:rsidP="008743FC">
      <w:pPr>
        <w:pStyle w:val="EC-Title-6"/>
        <w:outlineLvl w:val="1"/>
        <w:rPr>
          <w:rFonts w:cs="Tahoma"/>
        </w:rPr>
      </w:pPr>
      <w:r>
        <w:rPr>
          <w:rFonts w:cs="Tahoma"/>
        </w:rPr>
        <w:t>Data</w:t>
      </w:r>
    </w:p>
    <w:p w14:paraId="070AE09D" w14:textId="5F9AEC7C" w:rsidR="008743FC" w:rsidRPr="005E139C" w:rsidRDefault="008743FC" w:rsidP="001C402E">
      <w:pPr>
        <w:rPr>
          <w:rFonts w:eastAsia="Batang"/>
          <w:shd w:val="clear" w:color="auto" w:fill="FFFFFF"/>
        </w:rPr>
      </w:pPr>
      <w:r w:rsidRPr="005E139C">
        <w:rPr>
          <w:rFonts w:eastAsia="Batang"/>
          <w:shd w:val="clear" w:color="auto" w:fill="FFFFFF"/>
        </w:rPr>
        <w:t xml:space="preserve">The Surveillance Atlas of Infectious Diseases displays data on </w:t>
      </w:r>
      <w:r>
        <w:rPr>
          <w:rFonts w:eastAsia="Batang"/>
          <w:shd w:val="clear" w:color="auto" w:fill="FFFFFF"/>
        </w:rPr>
        <w:t>anthrax</w:t>
      </w:r>
      <w:r w:rsidRPr="005E139C">
        <w:rPr>
          <w:rFonts w:eastAsia="Batang"/>
          <w:shd w:val="clear" w:color="auto" w:fill="FFFFFF"/>
        </w:rPr>
        <w:t xml:space="preserve"> reported by the </w:t>
      </w:r>
      <w:r>
        <w:rPr>
          <w:rFonts w:eastAsia="Batang"/>
          <w:shd w:val="clear" w:color="auto" w:fill="FFFFFF"/>
        </w:rPr>
        <w:t>EU/EEA countries</w:t>
      </w:r>
      <w:r w:rsidRPr="005E139C">
        <w:rPr>
          <w:rFonts w:eastAsia="Batang"/>
          <w:shd w:val="clear" w:color="auto" w:fill="FFFFFF"/>
        </w:rPr>
        <w:t xml:space="preserve">. </w:t>
      </w:r>
      <w:r>
        <w:rPr>
          <w:rFonts w:eastAsia="Batang"/>
          <w:shd w:val="clear" w:color="auto" w:fill="FFFFFF"/>
        </w:rPr>
        <w:t>C</w:t>
      </w:r>
      <w:r w:rsidRPr="005E139C">
        <w:rPr>
          <w:rFonts w:eastAsia="Batang"/>
          <w:shd w:val="clear" w:color="auto" w:fill="FFFFFF"/>
        </w:rPr>
        <w:t>ases are to be reported according to the 201</w:t>
      </w:r>
      <w:r w:rsidR="00601E41">
        <w:rPr>
          <w:rFonts w:eastAsia="Batang"/>
          <w:shd w:val="clear" w:color="auto" w:fill="FFFFFF"/>
        </w:rPr>
        <w:t>8</w:t>
      </w:r>
      <w:r w:rsidRPr="005E139C">
        <w:rPr>
          <w:rFonts w:eastAsia="Batang"/>
          <w:shd w:val="clear" w:color="auto" w:fill="FFFFFF"/>
        </w:rPr>
        <w:t xml:space="preserve"> EU case definition for </w:t>
      </w:r>
      <w:r>
        <w:rPr>
          <w:rFonts w:eastAsia="Batang"/>
          <w:shd w:val="clear" w:color="auto" w:fill="FFFFFF"/>
        </w:rPr>
        <w:t>anthrax</w:t>
      </w:r>
      <w:r>
        <w:rPr>
          <w:rStyle w:val="FootnoteReference"/>
          <w:rFonts w:eastAsia="Batang" w:cs="Tahoma"/>
          <w:color w:val="000000"/>
          <w:shd w:val="clear" w:color="auto" w:fill="FFFFFF"/>
        </w:rPr>
        <w:footnoteReference w:id="2"/>
      </w:r>
      <w:r>
        <w:rPr>
          <w:rFonts w:eastAsia="Batang"/>
          <w:shd w:val="clear" w:color="auto" w:fill="FFFFFF"/>
        </w:rPr>
        <w:t>:</w:t>
      </w:r>
      <w:r w:rsidRPr="005E139C">
        <w:rPr>
          <w:rFonts w:eastAsia="Batang"/>
          <w:shd w:val="clear" w:color="auto" w:fill="FFFFFF"/>
        </w:rPr>
        <w:t xml:space="preserve"> </w:t>
      </w:r>
    </w:p>
    <w:p w14:paraId="4757A766" w14:textId="77777777" w:rsidR="008743FC" w:rsidRPr="00683B90" w:rsidRDefault="008743FC" w:rsidP="008743FC">
      <w:pPr>
        <w:autoSpaceDE w:val="0"/>
        <w:autoSpaceDN w:val="0"/>
        <w:adjustRightInd w:val="0"/>
        <w:spacing w:before="60" w:after="60"/>
        <w:rPr>
          <w:rFonts w:eastAsiaTheme="minorHAnsi" w:cs="Tahoma"/>
          <w:color w:val="000000"/>
          <w:szCs w:val="18"/>
        </w:rPr>
      </w:pPr>
      <w:r w:rsidRPr="00683B90">
        <w:rPr>
          <w:rFonts w:eastAsiaTheme="minorHAnsi" w:cs="Tahoma"/>
          <w:b/>
          <w:bCs/>
          <w:color w:val="000000"/>
          <w:szCs w:val="18"/>
        </w:rPr>
        <w:t xml:space="preserve">Clinical </w:t>
      </w:r>
      <w:r>
        <w:rPr>
          <w:rFonts w:eastAsiaTheme="minorHAnsi" w:cs="Tahoma"/>
          <w:b/>
          <w:bCs/>
          <w:color w:val="000000"/>
          <w:szCs w:val="18"/>
        </w:rPr>
        <w:t>c</w:t>
      </w:r>
      <w:r w:rsidRPr="00683B90">
        <w:rPr>
          <w:rFonts w:eastAsiaTheme="minorHAnsi" w:cs="Tahoma"/>
          <w:b/>
          <w:bCs/>
          <w:color w:val="000000"/>
          <w:szCs w:val="18"/>
        </w:rPr>
        <w:t xml:space="preserve">riteria </w:t>
      </w:r>
    </w:p>
    <w:p w14:paraId="08BDCF05" w14:textId="77777777" w:rsidR="008743FC" w:rsidRPr="00683B90" w:rsidRDefault="008743FC" w:rsidP="008743FC">
      <w:pPr>
        <w:autoSpaceDE w:val="0"/>
        <w:autoSpaceDN w:val="0"/>
        <w:adjustRightInd w:val="0"/>
        <w:spacing w:before="60" w:after="60"/>
        <w:rPr>
          <w:rFonts w:eastAsiaTheme="minorHAnsi" w:cs="Tahoma"/>
          <w:color w:val="000000"/>
          <w:szCs w:val="18"/>
        </w:rPr>
      </w:pPr>
      <w:r w:rsidRPr="00683B90">
        <w:rPr>
          <w:rFonts w:eastAsiaTheme="minorHAnsi" w:cs="Tahoma"/>
          <w:color w:val="000000"/>
          <w:szCs w:val="18"/>
        </w:rPr>
        <w:t xml:space="preserve">Any person with at least one of the following clinical forms: </w:t>
      </w:r>
    </w:p>
    <w:p w14:paraId="74BBB9EC" w14:textId="776C2B73" w:rsidR="008743FC" w:rsidRPr="00683B90" w:rsidRDefault="008743FC" w:rsidP="008743FC">
      <w:pPr>
        <w:autoSpaceDE w:val="0"/>
        <w:autoSpaceDN w:val="0"/>
        <w:adjustRightInd w:val="0"/>
        <w:spacing w:before="60" w:after="60"/>
        <w:rPr>
          <w:rFonts w:eastAsiaTheme="minorHAnsi" w:cs="Tahoma"/>
          <w:color w:val="000000"/>
          <w:szCs w:val="18"/>
          <w:u w:val="single"/>
        </w:rPr>
      </w:pPr>
      <w:r w:rsidRPr="008743FC">
        <w:rPr>
          <w:rFonts w:eastAsiaTheme="minorHAnsi" w:cs="Tahoma"/>
          <w:iCs/>
          <w:color w:val="000000"/>
          <w:szCs w:val="18"/>
          <w:u w:val="single"/>
        </w:rPr>
        <w:t>Cutaneous anthrax</w:t>
      </w:r>
      <w:r w:rsidRPr="00683B90">
        <w:rPr>
          <w:rFonts w:eastAsiaTheme="minorHAnsi" w:cs="Tahoma"/>
          <w:iCs/>
          <w:color w:val="000000"/>
          <w:szCs w:val="18"/>
          <w:u w:val="single"/>
        </w:rPr>
        <w:t xml:space="preserve"> </w:t>
      </w:r>
    </w:p>
    <w:p w14:paraId="60D87B08" w14:textId="77777777" w:rsidR="008743FC" w:rsidRPr="00683B90" w:rsidRDefault="008743FC" w:rsidP="008743FC">
      <w:pPr>
        <w:autoSpaceDE w:val="0"/>
        <w:autoSpaceDN w:val="0"/>
        <w:adjustRightInd w:val="0"/>
        <w:spacing w:before="60" w:after="60"/>
        <w:rPr>
          <w:rFonts w:eastAsiaTheme="minorHAnsi" w:cs="Tahoma"/>
          <w:color w:val="000000"/>
          <w:szCs w:val="18"/>
        </w:rPr>
      </w:pPr>
      <w:r w:rsidRPr="00683B90">
        <w:rPr>
          <w:rFonts w:eastAsiaTheme="minorHAnsi" w:cs="Tahoma"/>
          <w:color w:val="000000"/>
          <w:szCs w:val="18"/>
        </w:rPr>
        <w:t xml:space="preserve">At least one of the following two: </w:t>
      </w:r>
    </w:p>
    <w:p w14:paraId="0B6CADAF"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xml:space="preserve">— </w:t>
      </w:r>
      <w:proofErr w:type="spellStart"/>
      <w:r w:rsidRPr="008743FC">
        <w:rPr>
          <w:rFonts w:eastAsiaTheme="minorHAnsi" w:cs="Tahoma"/>
          <w:color w:val="000000"/>
          <w:szCs w:val="18"/>
        </w:rPr>
        <w:t>Papular</w:t>
      </w:r>
      <w:proofErr w:type="spellEnd"/>
      <w:r w:rsidRPr="008743FC">
        <w:rPr>
          <w:rFonts w:eastAsiaTheme="minorHAnsi" w:cs="Tahoma"/>
          <w:color w:val="000000"/>
          <w:szCs w:val="18"/>
        </w:rPr>
        <w:t xml:space="preserve"> or vesicular lesion</w:t>
      </w:r>
    </w:p>
    <w:p w14:paraId="075687EC" w14:textId="77777777" w:rsid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Depressed black eschar with surrounding oedema</w:t>
      </w:r>
    </w:p>
    <w:p w14:paraId="0E7994EF" w14:textId="77777777" w:rsidR="008743FC" w:rsidRDefault="008743FC" w:rsidP="008743FC">
      <w:pPr>
        <w:autoSpaceDE w:val="0"/>
        <w:autoSpaceDN w:val="0"/>
        <w:adjustRightInd w:val="0"/>
        <w:spacing w:before="60" w:after="60"/>
        <w:rPr>
          <w:rFonts w:eastAsiaTheme="minorHAnsi" w:cs="Tahoma"/>
          <w:iCs/>
          <w:color w:val="000000"/>
          <w:szCs w:val="18"/>
          <w:u w:val="single"/>
        </w:rPr>
      </w:pPr>
      <w:r w:rsidRPr="008743FC">
        <w:rPr>
          <w:rFonts w:eastAsiaTheme="minorHAnsi" w:cs="Tahoma"/>
          <w:iCs/>
          <w:color w:val="000000"/>
          <w:szCs w:val="18"/>
          <w:u w:val="single"/>
        </w:rPr>
        <w:t>Gastrointestinal anthrax</w:t>
      </w:r>
    </w:p>
    <w:p w14:paraId="4C57A848"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Fever or feverishness</w:t>
      </w:r>
    </w:p>
    <w:p w14:paraId="59DFAD0B"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AND at least one of the following two:</w:t>
      </w:r>
    </w:p>
    <w:p w14:paraId="74FE657F"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Severe abdominal pain</w:t>
      </w:r>
    </w:p>
    <w:p w14:paraId="4C05774C" w14:textId="3B44327F" w:rsid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Diarrhoea</w:t>
      </w:r>
    </w:p>
    <w:p w14:paraId="0D580CB5" w14:textId="77777777" w:rsidR="008743FC" w:rsidRPr="008743FC" w:rsidRDefault="008743FC" w:rsidP="008743FC">
      <w:pPr>
        <w:autoSpaceDE w:val="0"/>
        <w:autoSpaceDN w:val="0"/>
        <w:adjustRightInd w:val="0"/>
        <w:spacing w:before="60" w:after="60"/>
        <w:rPr>
          <w:rFonts w:eastAsiaTheme="minorHAnsi" w:cs="Tahoma"/>
          <w:color w:val="000000"/>
          <w:szCs w:val="18"/>
          <w:u w:val="single"/>
        </w:rPr>
      </w:pPr>
      <w:r w:rsidRPr="008743FC">
        <w:rPr>
          <w:rFonts w:eastAsiaTheme="minorHAnsi" w:cs="Tahoma"/>
          <w:color w:val="000000"/>
          <w:szCs w:val="18"/>
          <w:u w:val="single"/>
        </w:rPr>
        <w:t>Inhalational anthrax</w:t>
      </w:r>
    </w:p>
    <w:p w14:paraId="05EC3F58"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Fever or feverishness</w:t>
      </w:r>
    </w:p>
    <w:p w14:paraId="5346C04D"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AND at least one of the following two:</w:t>
      </w:r>
    </w:p>
    <w:p w14:paraId="5C4C1FB0"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Acute respiratory distress</w:t>
      </w:r>
    </w:p>
    <w:p w14:paraId="6F689B58"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Radiological evidence of mediastinal widening</w:t>
      </w:r>
    </w:p>
    <w:p w14:paraId="1B1C7B34" w14:textId="77777777" w:rsidR="008743FC" w:rsidRPr="008743FC" w:rsidRDefault="008743FC" w:rsidP="008743FC">
      <w:pPr>
        <w:autoSpaceDE w:val="0"/>
        <w:autoSpaceDN w:val="0"/>
        <w:adjustRightInd w:val="0"/>
        <w:spacing w:before="60" w:after="60"/>
        <w:rPr>
          <w:rFonts w:eastAsiaTheme="minorHAnsi" w:cs="Tahoma"/>
          <w:color w:val="000000"/>
          <w:szCs w:val="18"/>
          <w:u w:val="single"/>
        </w:rPr>
      </w:pPr>
      <w:r w:rsidRPr="008743FC">
        <w:rPr>
          <w:rFonts w:eastAsiaTheme="minorHAnsi" w:cs="Tahoma"/>
          <w:color w:val="000000"/>
          <w:szCs w:val="18"/>
          <w:u w:val="single"/>
        </w:rPr>
        <w:t>Meningeal/</w:t>
      </w:r>
      <w:proofErr w:type="spellStart"/>
      <w:r w:rsidRPr="008743FC">
        <w:rPr>
          <w:rFonts w:eastAsiaTheme="minorHAnsi" w:cs="Tahoma"/>
          <w:color w:val="000000"/>
          <w:szCs w:val="18"/>
          <w:u w:val="single"/>
        </w:rPr>
        <w:t>meningoencephalitic</w:t>
      </w:r>
      <w:proofErr w:type="spellEnd"/>
      <w:r w:rsidRPr="008743FC">
        <w:rPr>
          <w:rFonts w:eastAsiaTheme="minorHAnsi" w:cs="Tahoma"/>
          <w:color w:val="000000"/>
          <w:szCs w:val="18"/>
          <w:u w:val="single"/>
        </w:rPr>
        <w:t xml:space="preserve"> anthrax</w:t>
      </w:r>
    </w:p>
    <w:p w14:paraId="2EAF33A9"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Fever</w:t>
      </w:r>
    </w:p>
    <w:p w14:paraId="125DB5F6"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AND at least one of the following three:</w:t>
      </w:r>
    </w:p>
    <w:p w14:paraId="301A507F"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Convulsions</w:t>
      </w:r>
    </w:p>
    <w:p w14:paraId="7C8EDF77"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Loss of consciousness</w:t>
      </w:r>
    </w:p>
    <w:p w14:paraId="101FD570"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Meningeal signs</w:t>
      </w:r>
    </w:p>
    <w:p w14:paraId="4251F9EB" w14:textId="304BF13F" w:rsidR="008743FC" w:rsidRPr="008743FC" w:rsidRDefault="008743FC" w:rsidP="008743FC">
      <w:pPr>
        <w:autoSpaceDE w:val="0"/>
        <w:autoSpaceDN w:val="0"/>
        <w:adjustRightInd w:val="0"/>
        <w:spacing w:before="60" w:after="60"/>
        <w:rPr>
          <w:rFonts w:eastAsiaTheme="minorHAnsi" w:cs="Tahoma"/>
          <w:color w:val="000000"/>
          <w:szCs w:val="18"/>
          <w:u w:val="single"/>
        </w:rPr>
      </w:pPr>
      <w:r w:rsidRPr="008743FC">
        <w:rPr>
          <w:rFonts w:eastAsiaTheme="minorHAnsi" w:cs="Tahoma"/>
          <w:color w:val="000000"/>
          <w:szCs w:val="18"/>
          <w:u w:val="single"/>
        </w:rPr>
        <w:t>Anthrax septicaemia</w:t>
      </w:r>
    </w:p>
    <w:p w14:paraId="08BE6EDC" w14:textId="77777777" w:rsidR="008743FC" w:rsidRPr="00683B90" w:rsidRDefault="008743FC" w:rsidP="008743FC">
      <w:pPr>
        <w:autoSpaceDE w:val="0"/>
        <w:autoSpaceDN w:val="0"/>
        <w:adjustRightInd w:val="0"/>
        <w:spacing w:before="60" w:after="60"/>
        <w:rPr>
          <w:rFonts w:eastAsiaTheme="minorHAnsi" w:cs="Tahoma"/>
          <w:color w:val="000000"/>
          <w:szCs w:val="18"/>
        </w:rPr>
      </w:pPr>
      <w:r w:rsidRPr="00683B90">
        <w:rPr>
          <w:rFonts w:eastAsiaTheme="minorHAnsi" w:cs="Tahoma"/>
          <w:b/>
          <w:bCs/>
          <w:color w:val="000000"/>
          <w:szCs w:val="18"/>
        </w:rPr>
        <w:t xml:space="preserve">Laboratory </w:t>
      </w:r>
      <w:r>
        <w:rPr>
          <w:rFonts w:eastAsiaTheme="minorHAnsi" w:cs="Tahoma"/>
          <w:b/>
          <w:bCs/>
          <w:color w:val="000000"/>
          <w:szCs w:val="18"/>
        </w:rPr>
        <w:t>c</w:t>
      </w:r>
      <w:r w:rsidRPr="00683B90">
        <w:rPr>
          <w:rFonts w:eastAsiaTheme="minorHAnsi" w:cs="Tahoma"/>
          <w:b/>
          <w:bCs/>
          <w:color w:val="000000"/>
          <w:szCs w:val="18"/>
        </w:rPr>
        <w:t xml:space="preserve">riteria </w:t>
      </w:r>
    </w:p>
    <w:p w14:paraId="4BEBC7C9" w14:textId="61387EF2" w:rsidR="00601E41" w:rsidRDefault="00601E41" w:rsidP="0037106B">
      <w:pPr>
        <w:autoSpaceDE w:val="0"/>
        <w:autoSpaceDN w:val="0"/>
        <w:adjustRightInd w:val="0"/>
        <w:spacing w:before="60" w:after="60"/>
        <w:rPr>
          <w:rFonts w:eastAsiaTheme="minorHAnsi" w:cs="Tahoma"/>
          <w:color w:val="000000"/>
          <w:szCs w:val="18"/>
        </w:rPr>
      </w:pPr>
      <w:r>
        <w:rPr>
          <w:rFonts w:eastAsiaTheme="minorHAnsi" w:cs="Tahoma"/>
          <w:color w:val="000000"/>
          <w:szCs w:val="18"/>
        </w:rPr>
        <w:t>At least one of the following two:</w:t>
      </w:r>
    </w:p>
    <w:p w14:paraId="68469877" w14:textId="73598261" w:rsidR="008743FC" w:rsidRPr="0037106B" w:rsidRDefault="0037106B" w:rsidP="0037106B">
      <w:pPr>
        <w:autoSpaceDE w:val="0"/>
        <w:autoSpaceDN w:val="0"/>
        <w:adjustRightInd w:val="0"/>
        <w:spacing w:before="60" w:after="60"/>
        <w:rPr>
          <w:rFonts w:eastAsiaTheme="minorHAnsi" w:cs="Tahoma"/>
          <w:szCs w:val="18"/>
        </w:rPr>
      </w:pPr>
      <w:r w:rsidRPr="0037106B">
        <w:rPr>
          <w:rFonts w:eastAsiaTheme="minorHAnsi" w:cs="Tahoma"/>
          <w:color w:val="000000"/>
          <w:szCs w:val="18"/>
        </w:rPr>
        <w:t>—</w:t>
      </w:r>
      <w:r>
        <w:rPr>
          <w:rFonts w:eastAsiaTheme="minorHAnsi" w:cs="Tahoma"/>
          <w:szCs w:val="18"/>
        </w:rPr>
        <w:t xml:space="preserve"> </w:t>
      </w:r>
      <w:r w:rsidR="008743FC" w:rsidRPr="0037106B">
        <w:rPr>
          <w:rFonts w:eastAsiaTheme="minorHAnsi" w:cs="Tahoma"/>
          <w:szCs w:val="18"/>
        </w:rPr>
        <w:t xml:space="preserve">Isolation of </w:t>
      </w:r>
      <w:r w:rsidR="008743FC" w:rsidRPr="0037106B">
        <w:rPr>
          <w:rFonts w:eastAsiaTheme="minorHAnsi" w:cs="Tahoma"/>
          <w:i/>
          <w:szCs w:val="18"/>
        </w:rPr>
        <w:t>Bacillus anthracis</w:t>
      </w:r>
      <w:r w:rsidR="008743FC" w:rsidRPr="0037106B">
        <w:rPr>
          <w:rFonts w:eastAsiaTheme="minorHAnsi" w:cs="Tahoma"/>
          <w:szCs w:val="18"/>
        </w:rPr>
        <w:t xml:space="preserve"> from a clinical specimen</w:t>
      </w:r>
    </w:p>
    <w:p w14:paraId="7753ED10" w14:textId="77777777" w:rsidR="008743FC" w:rsidRPr="008743FC"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 xml:space="preserve">— Detection of </w:t>
      </w:r>
      <w:r w:rsidRPr="008743FC">
        <w:rPr>
          <w:rFonts w:eastAsiaTheme="minorHAnsi" w:cs="Tahoma"/>
          <w:i/>
          <w:color w:val="000000"/>
          <w:szCs w:val="18"/>
        </w:rPr>
        <w:t>Bacillus anthracis</w:t>
      </w:r>
      <w:r w:rsidRPr="008743FC">
        <w:rPr>
          <w:rFonts w:eastAsiaTheme="minorHAnsi" w:cs="Tahoma"/>
          <w:color w:val="000000"/>
          <w:szCs w:val="18"/>
        </w:rPr>
        <w:t xml:space="preserve"> nucleic acid in a clinical specimen</w:t>
      </w:r>
    </w:p>
    <w:p w14:paraId="54A053E4" w14:textId="2EBC5B69" w:rsidR="008743FC" w:rsidRPr="00683B90" w:rsidRDefault="008743FC" w:rsidP="008743FC">
      <w:pPr>
        <w:autoSpaceDE w:val="0"/>
        <w:autoSpaceDN w:val="0"/>
        <w:adjustRightInd w:val="0"/>
        <w:spacing w:before="60" w:after="60"/>
        <w:rPr>
          <w:rFonts w:eastAsiaTheme="minorHAnsi" w:cs="Tahoma"/>
          <w:color w:val="000000"/>
          <w:szCs w:val="18"/>
        </w:rPr>
      </w:pPr>
      <w:r w:rsidRPr="008743FC">
        <w:rPr>
          <w:rFonts w:eastAsiaTheme="minorHAnsi" w:cs="Tahoma"/>
          <w:color w:val="000000"/>
          <w:szCs w:val="18"/>
        </w:rPr>
        <w:t>Positive nasal swab without clinical symptoms does not contribute to a confirmed diagnosis of a case</w:t>
      </w:r>
    </w:p>
    <w:p w14:paraId="25BF3A5B" w14:textId="77777777" w:rsidR="008743FC" w:rsidRPr="00683B90" w:rsidRDefault="008743FC" w:rsidP="008743FC">
      <w:pPr>
        <w:autoSpaceDE w:val="0"/>
        <w:autoSpaceDN w:val="0"/>
        <w:adjustRightInd w:val="0"/>
        <w:spacing w:before="60" w:after="60"/>
        <w:rPr>
          <w:rFonts w:eastAsiaTheme="minorHAnsi" w:cs="Tahoma"/>
          <w:color w:val="000000"/>
          <w:szCs w:val="18"/>
        </w:rPr>
      </w:pPr>
      <w:r w:rsidRPr="00683B90">
        <w:rPr>
          <w:rFonts w:eastAsiaTheme="minorHAnsi" w:cs="Tahoma"/>
          <w:b/>
          <w:bCs/>
          <w:color w:val="000000"/>
          <w:szCs w:val="18"/>
        </w:rPr>
        <w:t xml:space="preserve">Epidemiological </w:t>
      </w:r>
      <w:r>
        <w:rPr>
          <w:rFonts w:eastAsiaTheme="minorHAnsi" w:cs="Tahoma"/>
          <w:b/>
          <w:bCs/>
          <w:color w:val="000000"/>
          <w:szCs w:val="18"/>
        </w:rPr>
        <w:t>c</w:t>
      </w:r>
      <w:r w:rsidRPr="00683B90">
        <w:rPr>
          <w:rFonts w:eastAsiaTheme="minorHAnsi" w:cs="Tahoma"/>
          <w:b/>
          <w:bCs/>
          <w:color w:val="000000"/>
          <w:szCs w:val="18"/>
        </w:rPr>
        <w:t xml:space="preserve">riteria </w:t>
      </w:r>
    </w:p>
    <w:p w14:paraId="2B09B7F1" w14:textId="77777777" w:rsidR="008743FC" w:rsidRPr="008743FC" w:rsidRDefault="008743FC" w:rsidP="008743FC">
      <w:pPr>
        <w:pStyle w:val="CM4"/>
        <w:spacing w:before="60" w:after="60"/>
        <w:rPr>
          <w:rFonts w:ascii="Tahoma" w:hAnsi="Tahoma" w:cs="Tahoma"/>
          <w:color w:val="000000"/>
          <w:sz w:val="18"/>
          <w:szCs w:val="18"/>
        </w:rPr>
      </w:pPr>
      <w:r w:rsidRPr="008743FC">
        <w:rPr>
          <w:rFonts w:ascii="Tahoma" w:hAnsi="Tahoma" w:cs="Tahoma"/>
          <w:color w:val="000000"/>
          <w:sz w:val="18"/>
          <w:szCs w:val="18"/>
        </w:rPr>
        <w:t>At least one of the following three epidemiological links:</w:t>
      </w:r>
    </w:p>
    <w:p w14:paraId="2EE251DF" w14:textId="77777777" w:rsidR="008743FC" w:rsidRPr="008743FC" w:rsidRDefault="008743FC" w:rsidP="008743FC">
      <w:pPr>
        <w:pStyle w:val="CM4"/>
        <w:spacing w:before="60" w:after="60"/>
        <w:rPr>
          <w:rFonts w:ascii="Tahoma" w:hAnsi="Tahoma" w:cs="Tahoma"/>
          <w:color w:val="000000"/>
          <w:sz w:val="18"/>
          <w:szCs w:val="18"/>
        </w:rPr>
      </w:pPr>
      <w:r w:rsidRPr="008743FC">
        <w:rPr>
          <w:rFonts w:ascii="Tahoma" w:hAnsi="Tahoma" w:cs="Tahoma"/>
          <w:color w:val="000000"/>
          <w:sz w:val="18"/>
          <w:szCs w:val="18"/>
        </w:rPr>
        <w:t>— Animal to human transmission</w:t>
      </w:r>
    </w:p>
    <w:p w14:paraId="3B6BB021" w14:textId="77777777" w:rsidR="008743FC" w:rsidRPr="008743FC" w:rsidRDefault="008743FC" w:rsidP="008743FC">
      <w:pPr>
        <w:pStyle w:val="CM4"/>
        <w:spacing w:before="60" w:after="60"/>
        <w:rPr>
          <w:rFonts w:ascii="Tahoma" w:hAnsi="Tahoma" w:cs="Tahoma"/>
          <w:color w:val="000000"/>
          <w:sz w:val="18"/>
          <w:szCs w:val="18"/>
        </w:rPr>
      </w:pPr>
      <w:r w:rsidRPr="008743FC">
        <w:rPr>
          <w:rFonts w:ascii="Tahoma" w:hAnsi="Tahoma" w:cs="Tahoma"/>
          <w:color w:val="000000"/>
          <w:sz w:val="18"/>
          <w:szCs w:val="18"/>
        </w:rPr>
        <w:t>— Exposure to a common source</w:t>
      </w:r>
    </w:p>
    <w:p w14:paraId="41FDA6A0" w14:textId="2D50ACD8" w:rsidR="008743FC" w:rsidRDefault="008743FC" w:rsidP="008743FC">
      <w:pPr>
        <w:pStyle w:val="CM4"/>
        <w:spacing w:before="60" w:after="60"/>
        <w:rPr>
          <w:rFonts w:ascii="Tahoma" w:hAnsi="Tahoma" w:cs="Tahoma"/>
          <w:color w:val="000000"/>
          <w:sz w:val="18"/>
          <w:szCs w:val="18"/>
        </w:rPr>
      </w:pPr>
      <w:r w:rsidRPr="008743FC">
        <w:rPr>
          <w:rFonts w:ascii="Tahoma" w:hAnsi="Tahoma" w:cs="Tahoma"/>
          <w:color w:val="000000"/>
          <w:sz w:val="18"/>
          <w:szCs w:val="18"/>
        </w:rPr>
        <w:t>— Exposure to contaminated food/drinking water</w:t>
      </w:r>
    </w:p>
    <w:p w14:paraId="6A2DC96A" w14:textId="77777777" w:rsidR="00184880" w:rsidRDefault="00184880" w:rsidP="008743FC">
      <w:pPr>
        <w:pStyle w:val="CM4"/>
        <w:spacing w:before="60" w:after="60"/>
        <w:rPr>
          <w:rFonts w:ascii="Tahoma" w:hAnsi="Tahoma" w:cs="Tahoma"/>
          <w:b/>
          <w:sz w:val="18"/>
          <w:szCs w:val="18"/>
        </w:rPr>
      </w:pPr>
    </w:p>
    <w:p w14:paraId="3AEE300D" w14:textId="77777777" w:rsidR="008743FC" w:rsidRDefault="008743FC" w:rsidP="008743FC">
      <w:pPr>
        <w:pStyle w:val="CM4"/>
        <w:spacing w:before="60" w:after="60"/>
        <w:rPr>
          <w:rFonts w:ascii="Tahoma" w:hAnsi="Tahoma" w:cs="Tahoma"/>
          <w:color w:val="000000"/>
          <w:sz w:val="18"/>
          <w:szCs w:val="18"/>
        </w:rPr>
      </w:pPr>
      <w:r>
        <w:rPr>
          <w:rFonts w:ascii="Tahoma" w:hAnsi="Tahoma" w:cs="Tahoma"/>
          <w:b/>
          <w:sz w:val="18"/>
          <w:szCs w:val="18"/>
        </w:rPr>
        <w:t>Case classification</w:t>
      </w:r>
    </w:p>
    <w:p w14:paraId="3D62E5CC" w14:textId="602B2DE9" w:rsidR="00043036" w:rsidRPr="00043036" w:rsidRDefault="00043036" w:rsidP="00043036">
      <w:pPr>
        <w:pStyle w:val="Default"/>
        <w:rPr>
          <w:rFonts w:ascii="Tahoma" w:eastAsiaTheme="minorHAnsi" w:hAnsi="Tahoma" w:cs="Tahoma"/>
          <w:sz w:val="18"/>
          <w:szCs w:val="18"/>
          <w:lang w:eastAsia="en-US"/>
        </w:rPr>
      </w:pPr>
      <w:r w:rsidRPr="00043036">
        <w:rPr>
          <w:rFonts w:ascii="Tahoma" w:eastAsiaTheme="minorHAnsi" w:hAnsi="Tahoma" w:cs="Tahoma"/>
          <w:sz w:val="18"/>
          <w:szCs w:val="18"/>
          <w:lang w:eastAsia="en-US"/>
        </w:rPr>
        <w:t>A. Possible case:</w:t>
      </w:r>
      <w:r>
        <w:rPr>
          <w:rFonts w:ascii="Tahoma" w:eastAsiaTheme="minorHAnsi" w:hAnsi="Tahoma" w:cs="Tahoma"/>
          <w:sz w:val="18"/>
          <w:szCs w:val="18"/>
          <w:lang w:eastAsia="en-US"/>
        </w:rPr>
        <w:t xml:space="preserve"> </w:t>
      </w:r>
      <w:r w:rsidRPr="00043036">
        <w:rPr>
          <w:rFonts w:ascii="Tahoma" w:eastAsiaTheme="minorHAnsi" w:hAnsi="Tahoma" w:cs="Tahoma"/>
          <w:sz w:val="18"/>
          <w:szCs w:val="18"/>
          <w:lang w:eastAsia="en-US"/>
        </w:rPr>
        <w:t>NA</w:t>
      </w:r>
    </w:p>
    <w:p w14:paraId="7E75B217" w14:textId="6EB7771E" w:rsidR="00043036" w:rsidRPr="00043036" w:rsidRDefault="00043036" w:rsidP="00043036">
      <w:pPr>
        <w:pStyle w:val="Default"/>
        <w:rPr>
          <w:rFonts w:ascii="Tahoma" w:eastAsiaTheme="minorHAnsi" w:hAnsi="Tahoma" w:cs="Tahoma"/>
          <w:sz w:val="18"/>
          <w:szCs w:val="18"/>
          <w:lang w:eastAsia="en-US"/>
        </w:rPr>
      </w:pPr>
      <w:r w:rsidRPr="00043036">
        <w:rPr>
          <w:rFonts w:ascii="Tahoma" w:eastAsiaTheme="minorHAnsi" w:hAnsi="Tahoma" w:cs="Tahoma"/>
          <w:sz w:val="18"/>
          <w:szCs w:val="18"/>
          <w:lang w:eastAsia="en-US"/>
        </w:rPr>
        <w:t>B. Probable case</w:t>
      </w:r>
      <w:r>
        <w:rPr>
          <w:rFonts w:ascii="Tahoma" w:eastAsiaTheme="minorHAnsi" w:hAnsi="Tahoma" w:cs="Tahoma"/>
          <w:sz w:val="18"/>
          <w:szCs w:val="18"/>
          <w:lang w:eastAsia="en-US"/>
        </w:rPr>
        <w:t xml:space="preserve">: </w:t>
      </w:r>
      <w:r w:rsidRPr="00043036">
        <w:rPr>
          <w:rFonts w:ascii="Tahoma" w:eastAsiaTheme="minorHAnsi" w:hAnsi="Tahoma" w:cs="Tahoma"/>
          <w:sz w:val="18"/>
          <w:szCs w:val="18"/>
          <w:lang w:eastAsia="en-US"/>
        </w:rPr>
        <w:t>Any person meeting the clinical criteria with an epidemiological link</w:t>
      </w:r>
    </w:p>
    <w:p w14:paraId="05FCC38C" w14:textId="7F325546" w:rsidR="008743FC" w:rsidRDefault="00043036" w:rsidP="00043036">
      <w:pPr>
        <w:pStyle w:val="Default"/>
        <w:rPr>
          <w:rFonts w:ascii="Tahoma" w:eastAsiaTheme="minorHAnsi" w:hAnsi="Tahoma" w:cs="Tahoma"/>
          <w:sz w:val="18"/>
          <w:szCs w:val="18"/>
          <w:lang w:eastAsia="en-US"/>
        </w:rPr>
      </w:pPr>
      <w:r w:rsidRPr="00043036">
        <w:rPr>
          <w:rFonts w:ascii="Tahoma" w:eastAsiaTheme="minorHAnsi" w:hAnsi="Tahoma" w:cs="Tahoma"/>
          <w:sz w:val="18"/>
          <w:szCs w:val="18"/>
          <w:lang w:eastAsia="en-US"/>
        </w:rPr>
        <w:t>C. Confirmed case</w:t>
      </w:r>
      <w:r>
        <w:rPr>
          <w:rFonts w:ascii="Tahoma" w:eastAsiaTheme="minorHAnsi" w:hAnsi="Tahoma" w:cs="Tahoma"/>
          <w:sz w:val="18"/>
          <w:szCs w:val="18"/>
          <w:lang w:eastAsia="en-US"/>
        </w:rPr>
        <w:t xml:space="preserve">: </w:t>
      </w:r>
      <w:r w:rsidRPr="00043036">
        <w:rPr>
          <w:rFonts w:ascii="Tahoma" w:eastAsiaTheme="minorHAnsi" w:hAnsi="Tahoma" w:cs="Tahoma"/>
          <w:sz w:val="18"/>
          <w:szCs w:val="18"/>
          <w:lang w:eastAsia="en-US"/>
        </w:rPr>
        <w:t>Any person meeting the clinical and the laboratory criteria</w:t>
      </w:r>
    </w:p>
    <w:p w14:paraId="738D3B14" w14:textId="77777777" w:rsidR="00043036" w:rsidRDefault="00043036" w:rsidP="00043036">
      <w:pPr>
        <w:pStyle w:val="Default"/>
        <w:rPr>
          <w:rFonts w:ascii="Tahoma" w:eastAsiaTheme="minorHAnsi" w:hAnsi="Tahoma" w:cs="Tahoma"/>
          <w:sz w:val="18"/>
          <w:szCs w:val="18"/>
          <w:lang w:eastAsia="en-US"/>
        </w:rPr>
      </w:pPr>
    </w:p>
    <w:p w14:paraId="5730E0ED" w14:textId="2AE06C8E" w:rsidR="00601E41" w:rsidRDefault="00601E41" w:rsidP="008743FC">
      <w:pPr>
        <w:pStyle w:val="EC-Para"/>
        <w:spacing w:after="0" w:line="240" w:lineRule="auto"/>
        <w:jc w:val="both"/>
        <w:rPr>
          <w:rFonts w:cs="Tahoma"/>
        </w:rPr>
      </w:pPr>
      <w:r w:rsidRPr="00805F81">
        <w:rPr>
          <w:rFonts w:cs="Tahoma"/>
          <w:i/>
        </w:rPr>
        <w:t>Note</w:t>
      </w:r>
      <w:r w:rsidRPr="00601E41">
        <w:rPr>
          <w:rFonts w:cs="Tahoma"/>
        </w:rPr>
        <w:t>: If the national surveillance system is not capturing clinical symptoms, all laboratory-confirmed individuals should be reported as confirmed cases.</w:t>
      </w:r>
    </w:p>
    <w:p w14:paraId="390CE1D2" w14:textId="77777777" w:rsidR="000B4234" w:rsidRDefault="000B4234" w:rsidP="008743FC">
      <w:pPr>
        <w:pStyle w:val="EC-Para"/>
        <w:spacing w:after="0" w:line="240" w:lineRule="auto"/>
        <w:jc w:val="both"/>
        <w:rPr>
          <w:rFonts w:cs="Tahoma"/>
        </w:rPr>
      </w:pPr>
    </w:p>
    <w:p w14:paraId="69B37673" w14:textId="3C9BA28F" w:rsidR="00601E41" w:rsidRDefault="000B4234" w:rsidP="008743FC">
      <w:pPr>
        <w:pStyle w:val="EC-Para"/>
        <w:spacing w:after="0" w:line="240" w:lineRule="auto"/>
        <w:jc w:val="both"/>
        <w:rPr>
          <w:rFonts w:cs="Tahoma"/>
        </w:rPr>
      </w:pPr>
      <w:r>
        <w:rPr>
          <w:rFonts w:cs="Tahoma"/>
        </w:rPr>
        <w:t>------------------------</w:t>
      </w:r>
    </w:p>
    <w:p w14:paraId="44BDED15" w14:textId="396B4EAD" w:rsidR="008743FC" w:rsidRPr="00584F83" w:rsidRDefault="000B4234" w:rsidP="008743FC">
      <w:pPr>
        <w:pStyle w:val="EC-Para"/>
        <w:spacing w:after="0" w:line="240" w:lineRule="auto"/>
        <w:jc w:val="both"/>
        <w:rPr>
          <w:lang w:eastAsia="en-US"/>
        </w:rPr>
      </w:pPr>
      <w:r>
        <w:rPr>
          <w:lang w:eastAsia="en-US"/>
        </w:rPr>
        <w:t>(</w:t>
      </w:r>
      <w:r w:rsidR="00601E41">
        <w:rPr>
          <w:lang w:eastAsia="en-US"/>
        </w:rPr>
        <w:t>T</w:t>
      </w:r>
      <w:r w:rsidR="008743FC" w:rsidRPr="00B960F7">
        <w:rPr>
          <w:lang w:eastAsia="en-US"/>
        </w:rPr>
        <w:t xml:space="preserve">he </w:t>
      </w:r>
      <w:r w:rsidR="00601E41">
        <w:rPr>
          <w:lang w:eastAsia="en-US"/>
        </w:rPr>
        <w:t xml:space="preserve">note is the only difference between the </w:t>
      </w:r>
      <w:r w:rsidR="008743FC">
        <w:rPr>
          <w:lang w:eastAsia="en-US"/>
        </w:rPr>
        <w:t>201</w:t>
      </w:r>
      <w:r w:rsidR="00601E41">
        <w:rPr>
          <w:lang w:eastAsia="en-US"/>
        </w:rPr>
        <w:t>8</w:t>
      </w:r>
      <w:r w:rsidR="008743FC" w:rsidRPr="00B960F7">
        <w:rPr>
          <w:lang w:eastAsia="en-US"/>
        </w:rPr>
        <w:t xml:space="preserve"> EU cas</w:t>
      </w:r>
      <w:r w:rsidR="008743FC">
        <w:rPr>
          <w:lang w:eastAsia="en-US"/>
        </w:rPr>
        <w:t xml:space="preserve">e definition of </w:t>
      </w:r>
      <w:r w:rsidR="00043036">
        <w:rPr>
          <w:lang w:eastAsia="en-US"/>
        </w:rPr>
        <w:t>anthrax</w:t>
      </w:r>
      <w:r w:rsidR="008743FC">
        <w:rPr>
          <w:lang w:eastAsia="en-US"/>
        </w:rPr>
        <w:t xml:space="preserve"> and the</w:t>
      </w:r>
      <w:r w:rsidR="008743FC" w:rsidRPr="00B960F7">
        <w:rPr>
          <w:lang w:eastAsia="en-US"/>
        </w:rPr>
        <w:t xml:space="preserve"> </w:t>
      </w:r>
      <w:r w:rsidR="00601E41">
        <w:rPr>
          <w:lang w:eastAsia="en-US"/>
        </w:rPr>
        <w:t xml:space="preserve">2012 and </w:t>
      </w:r>
      <w:r w:rsidR="008743FC" w:rsidRPr="00B960F7">
        <w:rPr>
          <w:lang w:eastAsia="en-US"/>
        </w:rPr>
        <w:t xml:space="preserve">2008 </w:t>
      </w:r>
      <w:r w:rsidR="008743FC">
        <w:rPr>
          <w:lang w:eastAsia="en-US"/>
        </w:rPr>
        <w:t>EU case definition</w:t>
      </w:r>
      <w:r w:rsidR="00601E41">
        <w:rPr>
          <w:lang w:eastAsia="en-US"/>
        </w:rPr>
        <w:t>s</w:t>
      </w:r>
      <w:r>
        <w:rPr>
          <w:lang w:eastAsia="en-US"/>
        </w:rPr>
        <w:t>.)</w:t>
      </w:r>
    </w:p>
    <w:p w14:paraId="453D2668" w14:textId="77777777" w:rsidR="008743FC" w:rsidRPr="004169AF" w:rsidRDefault="008743FC" w:rsidP="004169AF">
      <w:pPr>
        <w:pStyle w:val="EC-Title-6"/>
      </w:pPr>
      <w:r w:rsidRPr="004169AF">
        <w:t xml:space="preserve">Data collection and analysis </w:t>
      </w:r>
    </w:p>
    <w:p w14:paraId="55F72D36" w14:textId="4FD86A10" w:rsidR="008743FC" w:rsidRDefault="008743FC" w:rsidP="008743FC">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EU</w:t>
      </w:r>
      <w:r w:rsidR="006043E8">
        <w:rPr>
          <w:rFonts w:cs="Tahoma"/>
        </w:rPr>
        <w:t>/EEA countries</w:t>
      </w:r>
      <w:r>
        <w:rPr>
          <w:rFonts w:cs="Tahoma"/>
        </w:rPr>
        <w:t xml:space="preserve">. </w:t>
      </w:r>
      <w:r>
        <w:rPr>
          <w:rFonts w:cstheme="minorHAnsi"/>
        </w:rPr>
        <w:t>Note that data published in the Surveillance Atlas might differ from figures in national reports due to different times of reporting, inclusion of cases by different case definitions and use of different denominators.</w:t>
      </w:r>
    </w:p>
    <w:p w14:paraId="068E4AC2" w14:textId="1B1F140E" w:rsidR="008743FC" w:rsidRDefault="008743FC" w:rsidP="008743FC">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xml:space="preserve">. </w:t>
      </w:r>
    </w:p>
    <w:p w14:paraId="1BD6BBA9" w14:textId="77777777" w:rsidR="008743FC" w:rsidRDefault="008743FC" w:rsidP="008743FC">
      <w:pPr>
        <w:pStyle w:val="EC-Para"/>
        <w:jc w:val="both"/>
        <w:rPr>
          <w:rFonts w:cs="Tahoma"/>
        </w:rPr>
      </w:pPr>
      <w:r>
        <w:rPr>
          <w:rFonts w:cs="Tahoma"/>
        </w:rPr>
        <w:t>Surveillance systems across the EU/EEA countries are heterogeneous and a surveillance systems overview is displayed in Annex 1.</w:t>
      </w:r>
    </w:p>
    <w:p w14:paraId="17EA0B4D" w14:textId="77777777" w:rsidR="008743FC" w:rsidRPr="004169AF" w:rsidRDefault="008743FC" w:rsidP="004169AF">
      <w:pPr>
        <w:pStyle w:val="EC-Title-6"/>
      </w:pPr>
      <w:r w:rsidRPr="004169AF">
        <w:t>Surveillance Atlas indicators</w:t>
      </w:r>
    </w:p>
    <w:p w14:paraId="08C058B3" w14:textId="464B5313" w:rsidR="008743FC" w:rsidRDefault="008743FC" w:rsidP="008743FC">
      <w:pPr>
        <w:pStyle w:val="EC-Para"/>
        <w:rPr>
          <w:rFonts w:cs="Tahoma"/>
        </w:rPr>
      </w:pPr>
      <w:r w:rsidRPr="005E139C">
        <w:rPr>
          <w:rFonts w:cs="Tahoma"/>
        </w:rPr>
        <w:t>The Surveillance Atl</w:t>
      </w:r>
      <w:r>
        <w:rPr>
          <w:rFonts w:cs="Tahoma"/>
        </w:rPr>
        <w:t>as indicator</w:t>
      </w:r>
      <w:r w:rsidRPr="005E139C">
        <w:rPr>
          <w:rFonts w:cs="Tahoma"/>
        </w:rPr>
        <w:t xml:space="preserve"> for </w:t>
      </w:r>
      <w:r>
        <w:rPr>
          <w:rFonts w:cs="Tahoma"/>
        </w:rPr>
        <w:t>confirmed anthrax</w:t>
      </w:r>
      <w:r w:rsidRPr="005E139C">
        <w:rPr>
          <w:rFonts w:cs="Tahoma"/>
        </w:rPr>
        <w:t xml:space="preserve"> </w:t>
      </w:r>
      <w:r>
        <w:rPr>
          <w:rFonts w:cs="Tahoma"/>
        </w:rPr>
        <w:t>is</w:t>
      </w:r>
      <w:r w:rsidRPr="005E139C">
        <w:rPr>
          <w:rFonts w:cs="Tahoma"/>
        </w:rPr>
        <w:t>:</w:t>
      </w:r>
    </w:p>
    <w:p w14:paraId="561788B1" w14:textId="77777777" w:rsidR="008743FC" w:rsidRPr="007B34B1" w:rsidRDefault="008743FC" w:rsidP="000617B1">
      <w:pPr>
        <w:numPr>
          <w:ilvl w:val="0"/>
          <w:numId w:val="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476429B0" w14:textId="77777777" w:rsidR="008743FC" w:rsidRPr="007B34B1" w:rsidRDefault="008743FC" w:rsidP="008743FC">
      <w:pPr>
        <w:kinsoku w:val="0"/>
        <w:autoSpaceDE w:val="0"/>
        <w:autoSpaceDN w:val="0"/>
        <w:adjustRightInd w:val="0"/>
        <w:spacing w:line="200" w:lineRule="atLeast"/>
        <w:ind w:left="720"/>
        <w:rPr>
          <w:rFonts w:eastAsia="Arial Unicode MS" w:cs="Tahoma"/>
          <w:kern w:val="22"/>
          <w:szCs w:val="18"/>
        </w:rPr>
      </w:pPr>
    </w:p>
    <w:p w14:paraId="1F6A4C0F" w14:textId="1E365B2B" w:rsidR="008743FC" w:rsidRPr="007B34B1" w:rsidRDefault="008743FC" w:rsidP="008743FC">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or this indicator,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4BF4AE05" w14:textId="77777777" w:rsidR="008743FC" w:rsidRPr="007B34B1" w:rsidRDefault="008743FC" w:rsidP="008743FC">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w:t>
      </w:r>
      <w:r w:rsidRPr="00683B90">
        <w:rPr>
          <w:rFonts w:eastAsiaTheme="minorHAnsi" w:cs="Tahoma"/>
          <w:color w:val="000000"/>
          <w:szCs w:val="18"/>
        </w:rPr>
        <w:t>&lt;</w:t>
      </w:r>
      <w:r>
        <w:rPr>
          <w:rFonts w:eastAsiaTheme="minorHAnsi" w:cs="Tahoma"/>
          <w:color w:val="000000"/>
          <w:szCs w:val="18"/>
        </w:rPr>
        <w:t xml:space="preserve"> </w:t>
      </w:r>
      <w:r>
        <w:rPr>
          <w:rFonts w:eastAsia="Arial Unicode MS" w:cs="Tahoma"/>
          <w:kern w:val="22"/>
          <w:szCs w:val="18"/>
        </w:rPr>
        <w:t>1 year, 1</w:t>
      </w:r>
      <w:r w:rsidRPr="007B34B1">
        <w:rPr>
          <w:rFonts w:eastAsia="Arial Unicode MS" w:cs="Tahoma"/>
          <w:kern w:val="22"/>
          <w:szCs w:val="18"/>
        </w:rPr>
        <w:t>-4, 5-14, 15-24, 25-44, 45-64, 65 years and above</w:t>
      </w:r>
      <w:proofErr w:type="gramStart"/>
      <w:r w:rsidRPr="007B34B1">
        <w:rPr>
          <w:rFonts w:eastAsia="Arial Unicode MS" w:cs="Tahoma"/>
          <w:kern w:val="22"/>
          <w:szCs w:val="18"/>
        </w:rPr>
        <w:t>);</w:t>
      </w:r>
      <w:proofErr w:type="gramEnd"/>
    </w:p>
    <w:p w14:paraId="23AA3261" w14:textId="77777777" w:rsidR="008743FC" w:rsidRPr="00E8283A" w:rsidRDefault="008743FC" w:rsidP="008743FC">
      <w:pPr>
        <w:kinsoku w:val="0"/>
        <w:autoSpaceDE w:val="0"/>
        <w:autoSpaceDN w:val="0"/>
        <w:adjustRightInd w:val="0"/>
        <w:spacing w:line="200" w:lineRule="atLeast"/>
        <w:rPr>
          <w:rFonts w:eastAsia="Arial Unicode MS" w:cs="Tahoma"/>
          <w:color w:val="000000"/>
          <w:kern w:val="22"/>
          <w:szCs w:val="18"/>
        </w:rPr>
      </w:pPr>
    </w:p>
    <w:p w14:paraId="535B7B52" w14:textId="77777777" w:rsidR="008743FC" w:rsidRDefault="008743FC" w:rsidP="008743FC">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8743FC" w14:paraId="27045CF0" w14:textId="77777777" w:rsidTr="001A1AE0">
        <w:tc>
          <w:tcPr>
            <w:tcW w:w="1101" w:type="dxa"/>
            <w:tcBorders>
              <w:top w:val="single" w:sz="4" w:space="0" w:color="000000"/>
              <w:left w:val="single" w:sz="4" w:space="0" w:color="000000"/>
              <w:bottom w:val="single" w:sz="4" w:space="0" w:color="000000"/>
              <w:right w:val="single" w:sz="4" w:space="0" w:color="000000"/>
            </w:tcBorders>
            <w:hideMark/>
          </w:tcPr>
          <w:p w14:paraId="7796C896" w14:textId="77777777" w:rsidR="008743FC" w:rsidRDefault="008743FC" w:rsidP="001A1AE0">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6E9A0D7D" w14:textId="77777777" w:rsidR="008743FC" w:rsidRDefault="008743FC" w:rsidP="001A1AE0">
            <w:pPr>
              <w:pStyle w:val="EC-Para"/>
              <w:rPr>
                <w:lang w:eastAsia="en-US"/>
              </w:rPr>
            </w:pPr>
            <w:r>
              <w:rPr>
                <w:lang w:eastAsia="en-US"/>
              </w:rPr>
              <w:t>Comment</w:t>
            </w:r>
          </w:p>
        </w:tc>
      </w:tr>
      <w:tr w:rsidR="008743FC" w14:paraId="69D894A1" w14:textId="77777777" w:rsidTr="001A1AE0">
        <w:tc>
          <w:tcPr>
            <w:tcW w:w="1101" w:type="dxa"/>
            <w:tcBorders>
              <w:top w:val="single" w:sz="4" w:space="0" w:color="000000"/>
              <w:left w:val="single" w:sz="4" w:space="0" w:color="000000"/>
              <w:bottom w:val="single" w:sz="4" w:space="0" w:color="000000"/>
              <w:right w:val="single" w:sz="4" w:space="0" w:color="000000"/>
            </w:tcBorders>
            <w:hideMark/>
          </w:tcPr>
          <w:p w14:paraId="6D6E25A5" w14:textId="77777777" w:rsidR="008743FC" w:rsidRDefault="008743FC" w:rsidP="001A1AE0">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35A72F91" w14:textId="77777777" w:rsidR="008743FC" w:rsidRDefault="008743FC" w:rsidP="001A1AE0">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8743FC" w14:paraId="2CF4AE15" w14:textId="77777777" w:rsidTr="001A1AE0">
        <w:tc>
          <w:tcPr>
            <w:tcW w:w="1101" w:type="dxa"/>
            <w:tcBorders>
              <w:top w:val="single" w:sz="4" w:space="0" w:color="000000"/>
              <w:left w:val="single" w:sz="4" w:space="0" w:color="000000"/>
              <w:bottom w:val="single" w:sz="4" w:space="0" w:color="000000"/>
              <w:right w:val="single" w:sz="4" w:space="0" w:color="000000"/>
            </w:tcBorders>
            <w:hideMark/>
          </w:tcPr>
          <w:p w14:paraId="34CAE537" w14:textId="77777777" w:rsidR="008743FC" w:rsidRDefault="008743FC" w:rsidP="001A1AE0">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66C84B11" w14:textId="77777777" w:rsidR="008743FC" w:rsidRDefault="008743FC" w:rsidP="001A1AE0">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41C72C7A" w14:textId="77777777" w:rsidR="008743FC" w:rsidRDefault="008743FC" w:rsidP="008743FC">
      <w:pPr>
        <w:pStyle w:val="EC-Para"/>
        <w:rPr>
          <w:lang w:eastAsia="en-US"/>
        </w:rPr>
      </w:pPr>
    </w:p>
    <w:p w14:paraId="11021DCA" w14:textId="77777777" w:rsidR="008743FC" w:rsidRPr="004169AF" w:rsidRDefault="008743FC" w:rsidP="004169AF">
      <w:pPr>
        <w:pStyle w:val="EC-Title-6"/>
      </w:pPr>
      <w:r w:rsidRPr="004169AF">
        <w:t>Data quality</w:t>
      </w:r>
    </w:p>
    <w:p w14:paraId="193D7D37" w14:textId="2582604E" w:rsidR="008743FC" w:rsidRDefault="008743FC" w:rsidP="008743FC">
      <w:pPr>
        <w:autoSpaceDE w:val="0"/>
        <w:autoSpaceDN w:val="0"/>
        <w:adjustRightInd w:val="0"/>
        <w:jc w:val="both"/>
        <w:rPr>
          <w:rFonts w:eastAsia="Arial Unicode MS" w:cs="Tahoma"/>
          <w:kern w:val="22"/>
          <w:szCs w:val="18"/>
        </w:rPr>
      </w:pPr>
      <w:r w:rsidRPr="009E3B9F">
        <w:rPr>
          <w:rFonts w:eastAsia="Arial Unicode MS" w:cs="Tahoma"/>
          <w:kern w:val="22"/>
          <w:szCs w:val="18"/>
        </w:rPr>
        <w:t xml:space="preserve">EU/EEA countries reporting data on </w:t>
      </w:r>
      <w:r>
        <w:rPr>
          <w:rFonts w:eastAsia="Arial Unicode MS" w:cs="Tahoma"/>
          <w:kern w:val="22"/>
          <w:szCs w:val="18"/>
        </w:rPr>
        <w:t>anthrax</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w:t>
      </w:r>
    </w:p>
    <w:p w14:paraId="0A154964" w14:textId="7C5268EE" w:rsidR="008743FC" w:rsidRDefault="008743FC" w:rsidP="008743FC">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 for data quality of </w:t>
      </w:r>
      <w:r w:rsidRPr="00E95571">
        <w:rPr>
          <w:rFonts w:eastAsia="Arial Unicode MS" w:cs="Tahoma"/>
          <w:kern w:val="22"/>
          <w:szCs w:val="18"/>
        </w:rPr>
        <w:t xml:space="preserve">confirmed </w:t>
      </w:r>
      <w:r>
        <w:rPr>
          <w:rFonts w:eastAsia="Arial Unicode MS" w:cs="Tahoma"/>
          <w:kern w:val="22"/>
          <w:szCs w:val="18"/>
        </w:rPr>
        <w:t>anthrax cases is:</w:t>
      </w:r>
    </w:p>
    <w:p w14:paraId="6DAD3853" w14:textId="09B69614" w:rsidR="008743FC" w:rsidRDefault="008743FC"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r w:rsidR="004169AF">
        <w:rPr>
          <w:rFonts w:eastAsia="Arial Unicode MS" w:cs="Tahoma"/>
          <w:kern w:val="22"/>
          <w:szCs w:val="18"/>
          <w:lang w:eastAsia="ko-KR"/>
        </w:rPr>
        <w:t>.</w:t>
      </w:r>
    </w:p>
    <w:p w14:paraId="42EA1060" w14:textId="77777777" w:rsidR="00D1043F" w:rsidRDefault="00D1043F" w:rsidP="00D1043F">
      <w:pPr>
        <w:pStyle w:val="ListParagraph"/>
        <w:autoSpaceDE w:val="0"/>
        <w:autoSpaceDN w:val="0"/>
        <w:adjustRightInd w:val="0"/>
        <w:jc w:val="both"/>
        <w:rPr>
          <w:rFonts w:eastAsia="Arial Unicode MS" w:cs="Tahoma"/>
          <w:kern w:val="22"/>
          <w:szCs w:val="18"/>
          <w:lang w:eastAsia="ko-KR"/>
        </w:rPr>
      </w:pPr>
    </w:p>
    <w:p w14:paraId="531AAEFE" w14:textId="77777777" w:rsidR="008743FC" w:rsidRDefault="008743FC" w:rsidP="008743FC">
      <w:pPr>
        <w:pStyle w:val="EC-Title-6"/>
        <w:outlineLvl w:val="1"/>
        <w:rPr>
          <w:rFonts w:cs="Tahoma"/>
        </w:rPr>
      </w:pPr>
      <w:r w:rsidRPr="00C82DDE">
        <w:rPr>
          <w:rFonts w:cs="Tahoma"/>
        </w:rPr>
        <w:t xml:space="preserve">Interpretation </w:t>
      </w:r>
    </w:p>
    <w:p w14:paraId="41B81699" w14:textId="77777777" w:rsidR="008743FC" w:rsidRDefault="008743FC" w:rsidP="004169AF">
      <w:r w:rsidRPr="00D45E3C">
        <w:rPr>
          <w:rFonts w:eastAsiaTheme="minorHAnsi"/>
        </w:rPr>
        <w:t xml:space="preserve">The </w:t>
      </w:r>
      <w:r>
        <w:rPr>
          <w:rFonts w:eastAsiaTheme="minorHAnsi"/>
        </w:rPr>
        <w:t>data</w:t>
      </w:r>
      <w:r w:rsidRPr="00D45E3C">
        <w:rPr>
          <w:rFonts w:eastAsiaTheme="minorHAnsi"/>
        </w:rPr>
        <w:t xml:space="preserve"> shown in the Surveillance Atlas should be interpreted carefully</w:t>
      </w:r>
      <w:r>
        <w:rPr>
          <w:rFonts w:eastAsiaTheme="minorHAnsi"/>
        </w:rPr>
        <w:t xml:space="preserve"> as national</w:t>
      </w:r>
      <w:r w:rsidRPr="00D45E3C">
        <w:rPr>
          <w:rFonts w:eastAsiaTheme="minorHAnsi"/>
        </w:rPr>
        <w:t xml:space="preserve"> </w:t>
      </w:r>
      <w:r>
        <w:t>s</w:t>
      </w:r>
      <w:r w:rsidRPr="00D45E3C">
        <w:t xml:space="preserve">urveillance systems </w:t>
      </w:r>
      <w:r>
        <w:t>differ from each other.</w:t>
      </w:r>
    </w:p>
    <w:p w14:paraId="52FD6552" w14:textId="0AE7D890" w:rsidR="00533F35" w:rsidRDefault="008F5A93" w:rsidP="004169AF">
      <w:pPr>
        <w:rPr>
          <w:szCs w:val="18"/>
        </w:rPr>
      </w:pPr>
      <w:r w:rsidRPr="00D10C07">
        <w:rPr>
          <w:szCs w:val="18"/>
        </w:rPr>
        <w:lastRenderedPageBreak/>
        <w:t xml:space="preserve">The notification </w:t>
      </w:r>
      <w:r w:rsidR="00A36E45" w:rsidRPr="00D10C07">
        <w:rPr>
          <w:szCs w:val="18"/>
        </w:rPr>
        <w:t>of anthrax</w:t>
      </w:r>
      <w:r w:rsidRPr="00D10C07">
        <w:rPr>
          <w:szCs w:val="18"/>
        </w:rPr>
        <w:t xml:space="preserve"> is mandatory </w:t>
      </w:r>
      <w:r w:rsidR="0057610B" w:rsidRPr="0057610B">
        <w:rPr>
          <w:szCs w:val="18"/>
        </w:rPr>
        <w:t xml:space="preserve">and </w:t>
      </w:r>
      <w:r w:rsidR="00AB6AF7">
        <w:rPr>
          <w:szCs w:val="18"/>
        </w:rPr>
        <w:t xml:space="preserve">surveillance systems </w:t>
      </w:r>
      <w:r w:rsidR="0057610B" w:rsidRPr="0057610B">
        <w:rPr>
          <w:szCs w:val="18"/>
        </w:rPr>
        <w:t xml:space="preserve">have full national coverage </w:t>
      </w:r>
      <w:r w:rsidR="00A36E45" w:rsidRPr="00D10C07">
        <w:rPr>
          <w:szCs w:val="18"/>
        </w:rPr>
        <w:t xml:space="preserve">in </w:t>
      </w:r>
      <w:r w:rsidR="00796026" w:rsidRPr="00D10C07">
        <w:rPr>
          <w:szCs w:val="18"/>
        </w:rPr>
        <w:t>all EU</w:t>
      </w:r>
      <w:r w:rsidR="00101554">
        <w:rPr>
          <w:szCs w:val="18"/>
        </w:rPr>
        <w:t xml:space="preserve">/EEA </w:t>
      </w:r>
      <w:r w:rsidR="008879F4">
        <w:rPr>
          <w:szCs w:val="18"/>
        </w:rPr>
        <w:t>countries</w:t>
      </w:r>
      <w:r w:rsidR="00796026" w:rsidRPr="00D10C07">
        <w:rPr>
          <w:szCs w:val="18"/>
        </w:rPr>
        <w:t>.</w:t>
      </w:r>
      <w:r w:rsidRPr="00D10C07">
        <w:rPr>
          <w:szCs w:val="18"/>
        </w:rPr>
        <w:t xml:space="preserve"> </w:t>
      </w:r>
      <w:r w:rsidR="00E94BE6" w:rsidRPr="00D10C07">
        <w:rPr>
          <w:szCs w:val="18"/>
        </w:rPr>
        <w:t xml:space="preserve">In Belgium, full national coverage was established in 2015. </w:t>
      </w:r>
      <w:r w:rsidR="005D1CD9" w:rsidRPr="00D10C07">
        <w:rPr>
          <w:szCs w:val="18"/>
        </w:rPr>
        <w:t>In Spain, not all regions have reported data for 20</w:t>
      </w:r>
      <w:r w:rsidR="007421E3" w:rsidRPr="00D10C07">
        <w:rPr>
          <w:szCs w:val="18"/>
        </w:rPr>
        <w:t>20</w:t>
      </w:r>
      <w:r w:rsidR="00D903BB">
        <w:rPr>
          <w:szCs w:val="18"/>
        </w:rPr>
        <w:t xml:space="preserve"> and </w:t>
      </w:r>
      <w:r w:rsidR="00C00DE5" w:rsidRPr="00D10C07">
        <w:rPr>
          <w:szCs w:val="18"/>
        </w:rPr>
        <w:t>2021</w:t>
      </w:r>
      <w:r w:rsidR="005D1CD9" w:rsidRPr="00D10C07">
        <w:rPr>
          <w:szCs w:val="18"/>
        </w:rPr>
        <w:t xml:space="preserve"> </w:t>
      </w:r>
      <w:r w:rsidR="003623BF" w:rsidRPr="00D10C07">
        <w:rPr>
          <w:szCs w:val="18"/>
        </w:rPr>
        <w:t>and case numbers might therefore not be complete.</w:t>
      </w:r>
      <w:r w:rsidR="005D1CD9" w:rsidRPr="00D10C07">
        <w:rPr>
          <w:szCs w:val="18"/>
        </w:rPr>
        <w:t xml:space="preserve"> </w:t>
      </w:r>
      <w:r w:rsidRPr="00D10C07">
        <w:rPr>
          <w:szCs w:val="18"/>
        </w:rPr>
        <w:t>All countries provide case-based data.</w:t>
      </w:r>
    </w:p>
    <w:p w14:paraId="30CFA488" w14:textId="23C18AFA" w:rsidR="008743FC" w:rsidRPr="00533F35" w:rsidRDefault="008743FC" w:rsidP="00533F35">
      <w:pPr>
        <w:pStyle w:val="EC-Title-6"/>
      </w:pPr>
      <w:r w:rsidRPr="00533F35">
        <w:t xml:space="preserve">Reports published by ECDC on </w:t>
      </w:r>
      <w:r w:rsidR="00C70B5B" w:rsidRPr="00533F35">
        <w:t>anthrax</w:t>
      </w:r>
      <w:r w:rsidRPr="00533F35">
        <w:t xml:space="preserve"> </w:t>
      </w:r>
    </w:p>
    <w:p w14:paraId="28E7BA6B" w14:textId="77777777" w:rsidR="008743FC" w:rsidRDefault="008743FC" w:rsidP="00954050">
      <w:r>
        <w:t xml:space="preserve">More information is available in ECDC reports. Note that later retrieval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6A43050E" w14:textId="6117AB8B" w:rsidR="00E94BE6" w:rsidRPr="00D1043F" w:rsidRDefault="006043E8" w:rsidP="003F1B9E">
      <w:pPr>
        <w:pStyle w:val="EC-Para"/>
        <w:spacing w:after="0"/>
        <w:rPr>
          <w:rFonts w:eastAsiaTheme="minorHAnsi" w:cs="Tahoma"/>
          <w:b/>
          <w:lang w:eastAsia="en-US"/>
        </w:rPr>
      </w:pPr>
      <w:r w:rsidRPr="000335AD">
        <w:rPr>
          <w:rFonts w:eastAsiaTheme="minorHAnsi" w:cs="Tahoma"/>
          <w:b/>
          <w:lang w:eastAsia="en-US"/>
        </w:rPr>
        <w:t xml:space="preserve">Annual epidemiological report </w:t>
      </w:r>
      <w:r w:rsidR="003F1B9E" w:rsidRPr="000335AD">
        <w:rPr>
          <w:rFonts w:eastAsiaTheme="minorHAnsi" w:cs="Tahoma"/>
          <w:b/>
          <w:lang w:eastAsia="en-US"/>
        </w:rPr>
        <w:t>for 20</w:t>
      </w:r>
      <w:r w:rsidR="004C1587" w:rsidRPr="000335AD">
        <w:rPr>
          <w:rFonts w:eastAsiaTheme="minorHAnsi" w:cs="Tahoma"/>
          <w:b/>
          <w:lang w:eastAsia="en-US"/>
        </w:rPr>
        <w:t>2</w:t>
      </w:r>
      <w:r w:rsidR="003541B0" w:rsidRPr="000335AD">
        <w:rPr>
          <w:rFonts w:eastAsiaTheme="minorHAnsi" w:cs="Tahoma"/>
          <w:b/>
          <w:lang w:eastAsia="en-US"/>
        </w:rPr>
        <w:t>1</w:t>
      </w:r>
      <w:r w:rsidRPr="000335AD">
        <w:rPr>
          <w:rFonts w:eastAsiaTheme="minorHAnsi" w:cs="Tahoma"/>
          <w:b/>
          <w:lang w:eastAsia="en-US"/>
        </w:rPr>
        <w:t xml:space="preserve"> – </w:t>
      </w:r>
      <w:r w:rsidR="003F1B9E" w:rsidRPr="000335AD">
        <w:rPr>
          <w:rFonts w:eastAsiaTheme="minorHAnsi" w:cs="Tahoma"/>
          <w:b/>
          <w:lang w:eastAsia="en-US"/>
        </w:rPr>
        <w:t>Anthrax</w:t>
      </w:r>
      <w:r w:rsidRPr="000335AD">
        <w:rPr>
          <w:rFonts w:eastAsiaTheme="minorHAnsi" w:cs="Tahoma"/>
          <w:b/>
          <w:lang w:eastAsia="en-US"/>
        </w:rPr>
        <w:t>:</w:t>
      </w:r>
    </w:p>
    <w:p w14:paraId="4E54F3B0" w14:textId="10F71613" w:rsidR="00533F35" w:rsidRDefault="00000000" w:rsidP="008743FC">
      <w:pPr>
        <w:pStyle w:val="EC-Para"/>
      </w:pPr>
      <w:hyperlink r:id="rId14" w:history="1">
        <w:r w:rsidR="001C43A1" w:rsidRPr="00ED6572">
          <w:rPr>
            <w:rStyle w:val="Hyperlink"/>
            <w:sz w:val="18"/>
          </w:rPr>
          <w:t>https://www.ecdc.europa.eu/sites/default/files/documents/anthrax-annual-epidemiological-report-for-2021.pdf</w:t>
        </w:r>
      </w:hyperlink>
    </w:p>
    <w:p w14:paraId="1280BE50" w14:textId="77777777" w:rsidR="001C43A1" w:rsidRDefault="001C43A1" w:rsidP="008743FC">
      <w:pPr>
        <w:pStyle w:val="EC-Para"/>
      </w:pPr>
    </w:p>
    <w:p w14:paraId="6664418E" w14:textId="77777777" w:rsidR="005249EE" w:rsidRDefault="005249EE">
      <w:pPr>
        <w:rPr>
          <w:rFonts w:eastAsia="Batang" w:cs="Times New Roman"/>
          <w:b/>
          <w:bCs/>
          <w:color w:val="69AE23"/>
          <w:sz w:val="26"/>
          <w:szCs w:val="26"/>
        </w:rPr>
      </w:pPr>
      <w:r>
        <w:br w:type="page"/>
      </w:r>
    </w:p>
    <w:p w14:paraId="564895E7" w14:textId="5BFF935D" w:rsidR="00DB7D67" w:rsidRDefault="00DB7D67" w:rsidP="00DB7D67">
      <w:pPr>
        <w:pStyle w:val="EC-Title-6"/>
        <w:outlineLvl w:val="1"/>
      </w:pPr>
      <w:r>
        <w:lastRenderedPageBreak/>
        <w:t xml:space="preserve">Annex 1. Surveillance systems overview, </w:t>
      </w:r>
      <w:r w:rsidR="00303B2B">
        <w:t>202</w:t>
      </w:r>
      <w:r w:rsidR="0013768E">
        <w:t>3</w:t>
      </w:r>
    </w:p>
    <w:tbl>
      <w:tblPr>
        <w:tblW w:w="10052" w:type="dxa"/>
        <w:tblInd w:w="-5" w:type="dxa"/>
        <w:tblLook w:val="04A0" w:firstRow="1" w:lastRow="0" w:firstColumn="1" w:lastColumn="0" w:noHBand="0" w:noVBand="1"/>
      </w:tblPr>
      <w:tblGrid>
        <w:gridCol w:w="1140"/>
        <w:gridCol w:w="2966"/>
        <w:gridCol w:w="575"/>
        <w:gridCol w:w="575"/>
        <w:gridCol w:w="575"/>
        <w:gridCol w:w="575"/>
        <w:gridCol w:w="575"/>
        <w:gridCol w:w="575"/>
        <w:gridCol w:w="575"/>
        <w:gridCol w:w="582"/>
        <w:gridCol w:w="1370"/>
      </w:tblGrid>
      <w:tr w:rsidR="00D70C92" w:rsidRPr="007C4EA7" w14:paraId="317F60B2" w14:textId="77777777" w:rsidTr="00034328">
        <w:trPr>
          <w:trHeight w:val="289"/>
        </w:trPr>
        <w:tc>
          <w:tcPr>
            <w:tcW w:w="114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4BB4B67A" w14:textId="77777777" w:rsidR="000F765E" w:rsidRPr="00A47265" w:rsidRDefault="000F765E" w:rsidP="000F765E">
            <w:pPr>
              <w:rPr>
                <w:rFonts w:eastAsia="Times New Roman" w:cs="Tahoma"/>
                <w:b/>
                <w:bCs/>
                <w:color w:val="FFFFFF"/>
                <w:sz w:val="14"/>
                <w:szCs w:val="14"/>
                <w:lang w:eastAsia="en-GB"/>
              </w:rPr>
            </w:pPr>
            <w:r w:rsidRPr="00A47265">
              <w:rPr>
                <w:rFonts w:eastAsia="Times New Roman" w:cs="Tahoma"/>
                <w:b/>
                <w:bCs/>
                <w:color w:val="FFFFFF"/>
                <w:sz w:val="14"/>
                <w:szCs w:val="14"/>
                <w:lang w:eastAsia="en-GB"/>
              </w:rPr>
              <w:t>Country</w:t>
            </w:r>
          </w:p>
        </w:tc>
        <w:tc>
          <w:tcPr>
            <w:tcW w:w="2966"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6EC94387" w14:textId="77777777" w:rsidR="000F765E" w:rsidRPr="00A47265" w:rsidRDefault="000F765E" w:rsidP="000F765E">
            <w:pPr>
              <w:rPr>
                <w:rFonts w:eastAsia="Times New Roman" w:cs="Tahoma"/>
                <w:b/>
                <w:bCs/>
                <w:color w:val="FFFFFF"/>
                <w:sz w:val="14"/>
                <w:szCs w:val="14"/>
                <w:lang w:eastAsia="en-GB"/>
              </w:rPr>
            </w:pPr>
            <w:r w:rsidRPr="00A47265">
              <w:rPr>
                <w:rFonts w:eastAsia="Times New Roman" w:cs="Tahoma"/>
                <w:b/>
                <w:bCs/>
                <w:color w:val="FFFFFF"/>
                <w:sz w:val="14"/>
                <w:szCs w:val="14"/>
                <w:lang w:eastAsia="en-GB"/>
              </w:rPr>
              <w:t>Data source</w:t>
            </w:r>
          </w:p>
        </w:tc>
        <w:tc>
          <w:tcPr>
            <w:tcW w:w="575"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hideMark/>
          </w:tcPr>
          <w:p w14:paraId="3A3090BF" w14:textId="77777777" w:rsidR="000F765E" w:rsidRPr="00A47265" w:rsidRDefault="000F765E" w:rsidP="000F765E">
            <w:pPr>
              <w:jc w:val="center"/>
              <w:rPr>
                <w:rFonts w:eastAsia="Times New Roman" w:cs="Tahoma"/>
                <w:b/>
                <w:bCs/>
                <w:color w:val="FFFFFF"/>
                <w:sz w:val="14"/>
                <w:szCs w:val="14"/>
                <w:lang w:eastAsia="en-GB"/>
              </w:rPr>
            </w:pPr>
            <w:r w:rsidRPr="00A47265">
              <w:rPr>
                <w:rFonts w:eastAsia="Times New Roman" w:cs="Tahoma"/>
                <w:b/>
                <w:bCs/>
                <w:color w:val="FFFFFF"/>
                <w:sz w:val="14"/>
                <w:szCs w:val="14"/>
                <w:lang w:eastAsia="en-GB"/>
              </w:rPr>
              <w:t>Compulsory (Cp), voluntary (V), other(O)</w:t>
            </w:r>
          </w:p>
        </w:tc>
        <w:tc>
          <w:tcPr>
            <w:tcW w:w="575"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hideMark/>
          </w:tcPr>
          <w:p w14:paraId="742DCF38" w14:textId="77777777" w:rsidR="000F765E" w:rsidRPr="00A47265" w:rsidRDefault="000F765E" w:rsidP="000F765E">
            <w:pPr>
              <w:jc w:val="center"/>
              <w:rPr>
                <w:rFonts w:eastAsia="Times New Roman" w:cs="Tahoma"/>
                <w:b/>
                <w:bCs/>
                <w:color w:val="FFFFFF"/>
                <w:sz w:val="14"/>
                <w:szCs w:val="14"/>
                <w:lang w:eastAsia="en-GB"/>
              </w:rPr>
            </w:pPr>
            <w:r w:rsidRPr="00A47265">
              <w:rPr>
                <w:rFonts w:eastAsia="Times New Roman" w:cs="Tahoma"/>
                <w:b/>
                <w:bCs/>
                <w:color w:val="FFFFFF"/>
                <w:sz w:val="14"/>
                <w:szCs w:val="14"/>
                <w:lang w:eastAsia="en-GB"/>
              </w:rPr>
              <w:t>Comprehensive (Co), sentinel (Se), other(O)</w:t>
            </w:r>
          </w:p>
        </w:tc>
        <w:tc>
          <w:tcPr>
            <w:tcW w:w="575"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hideMark/>
          </w:tcPr>
          <w:p w14:paraId="1C737D66" w14:textId="77777777" w:rsidR="000F765E" w:rsidRPr="00A47265" w:rsidRDefault="000F765E" w:rsidP="000F765E">
            <w:pPr>
              <w:jc w:val="center"/>
              <w:rPr>
                <w:rFonts w:eastAsia="Times New Roman" w:cs="Tahoma"/>
                <w:b/>
                <w:bCs/>
                <w:color w:val="FFFFFF"/>
                <w:sz w:val="14"/>
                <w:szCs w:val="14"/>
                <w:lang w:eastAsia="en-GB"/>
              </w:rPr>
            </w:pPr>
            <w:r w:rsidRPr="00A47265">
              <w:rPr>
                <w:rFonts w:eastAsia="Times New Roman" w:cs="Tahoma"/>
                <w:b/>
                <w:bCs/>
                <w:color w:val="FFFFFF"/>
                <w:sz w:val="14"/>
                <w:szCs w:val="14"/>
                <w:lang w:eastAsia="en-GB"/>
              </w:rPr>
              <w:t>Active (A), passive (P)</w:t>
            </w:r>
          </w:p>
        </w:tc>
        <w:tc>
          <w:tcPr>
            <w:tcW w:w="575"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hideMark/>
          </w:tcPr>
          <w:p w14:paraId="159E74D2" w14:textId="77777777" w:rsidR="000F765E" w:rsidRPr="00A47265" w:rsidRDefault="000F765E" w:rsidP="000F765E">
            <w:pPr>
              <w:jc w:val="center"/>
              <w:rPr>
                <w:rFonts w:eastAsia="Times New Roman" w:cs="Tahoma"/>
                <w:b/>
                <w:bCs/>
                <w:color w:val="FFFFFF"/>
                <w:sz w:val="14"/>
                <w:szCs w:val="14"/>
                <w:lang w:eastAsia="en-GB"/>
              </w:rPr>
            </w:pPr>
            <w:r w:rsidRPr="00A47265">
              <w:rPr>
                <w:rFonts w:eastAsia="Times New Roman" w:cs="Tahoma"/>
                <w:b/>
                <w:bCs/>
                <w:color w:val="FFFFFF"/>
                <w:sz w:val="14"/>
                <w:szCs w:val="14"/>
                <w:lang w:eastAsia="en-GB"/>
              </w:rPr>
              <w:t>Case-based (C), aggregated (A)</w:t>
            </w:r>
          </w:p>
        </w:tc>
        <w:tc>
          <w:tcPr>
            <w:tcW w:w="2307" w:type="dxa"/>
            <w:gridSpan w:val="4"/>
            <w:tcBorders>
              <w:top w:val="single" w:sz="4" w:space="0" w:color="auto"/>
              <w:left w:val="nil"/>
              <w:bottom w:val="single" w:sz="4" w:space="0" w:color="auto"/>
              <w:right w:val="single" w:sz="4" w:space="0" w:color="auto"/>
            </w:tcBorders>
            <w:shd w:val="clear" w:color="000000" w:fill="69AE23"/>
            <w:noWrap/>
            <w:hideMark/>
          </w:tcPr>
          <w:p w14:paraId="7AF449B1" w14:textId="77777777" w:rsidR="000F765E" w:rsidRPr="00A47265" w:rsidRDefault="000F765E" w:rsidP="000F765E">
            <w:pPr>
              <w:jc w:val="center"/>
              <w:rPr>
                <w:rFonts w:eastAsia="Times New Roman" w:cs="Tahoma"/>
                <w:b/>
                <w:bCs/>
                <w:color w:val="FFFFFF"/>
                <w:sz w:val="14"/>
                <w:szCs w:val="14"/>
                <w:lang w:eastAsia="en-GB"/>
              </w:rPr>
            </w:pPr>
            <w:r w:rsidRPr="00A47265">
              <w:rPr>
                <w:rFonts w:eastAsia="Times New Roman" w:cs="Tahoma"/>
                <w:b/>
                <w:bCs/>
                <w:color w:val="FFFFFF"/>
                <w:sz w:val="14"/>
                <w:szCs w:val="14"/>
                <w:lang w:eastAsia="en-GB"/>
              </w:rPr>
              <w:t>Data reported by</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08BC0E5B" w14:textId="77777777" w:rsidR="000F765E" w:rsidRPr="00A47265" w:rsidRDefault="000F765E" w:rsidP="000F765E">
            <w:pPr>
              <w:rPr>
                <w:rFonts w:eastAsia="Times New Roman" w:cs="Tahoma"/>
                <w:b/>
                <w:bCs/>
                <w:color w:val="FFFFFF"/>
                <w:sz w:val="14"/>
                <w:szCs w:val="14"/>
                <w:lang w:eastAsia="en-GB"/>
              </w:rPr>
            </w:pPr>
            <w:r w:rsidRPr="00A47265">
              <w:rPr>
                <w:rFonts w:eastAsia="Times New Roman" w:cs="Tahoma"/>
                <w:b/>
                <w:bCs/>
                <w:color w:val="FFFFFF"/>
                <w:sz w:val="14"/>
                <w:szCs w:val="14"/>
                <w:lang w:eastAsia="en-GB"/>
              </w:rPr>
              <w:t>Case definition used</w:t>
            </w:r>
          </w:p>
        </w:tc>
      </w:tr>
      <w:tr w:rsidR="003C0BD4" w:rsidRPr="007C4EA7" w14:paraId="793E7EBF" w14:textId="77777777" w:rsidTr="00034328">
        <w:trPr>
          <w:trHeight w:val="2781"/>
        </w:trPr>
        <w:tc>
          <w:tcPr>
            <w:tcW w:w="1140" w:type="dxa"/>
            <w:vMerge/>
            <w:tcBorders>
              <w:top w:val="single" w:sz="4" w:space="0" w:color="auto"/>
              <w:left w:val="single" w:sz="4" w:space="0" w:color="auto"/>
              <w:bottom w:val="single" w:sz="4" w:space="0" w:color="auto"/>
              <w:right w:val="single" w:sz="4" w:space="0" w:color="auto"/>
            </w:tcBorders>
            <w:hideMark/>
          </w:tcPr>
          <w:p w14:paraId="7EAD69DF" w14:textId="77777777" w:rsidR="000F765E" w:rsidRPr="007C4EA7" w:rsidRDefault="000F765E" w:rsidP="000F765E">
            <w:pPr>
              <w:rPr>
                <w:rFonts w:eastAsia="Times New Roman" w:cs="Tahoma"/>
                <w:b/>
                <w:bCs/>
                <w:color w:val="FFFFFF"/>
                <w:szCs w:val="14"/>
                <w:lang w:eastAsia="en-GB"/>
              </w:rPr>
            </w:pPr>
          </w:p>
        </w:tc>
        <w:tc>
          <w:tcPr>
            <w:tcW w:w="2966" w:type="dxa"/>
            <w:vMerge/>
            <w:tcBorders>
              <w:top w:val="single" w:sz="4" w:space="0" w:color="auto"/>
              <w:left w:val="single" w:sz="4" w:space="0" w:color="auto"/>
              <w:bottom w:val="single" w:sz="4" w:space="0" w:color="auto"/>
              <w:right w:val="single" w:sz="4" w:space="0" w:color="auto"/>
            </w:tcBorders>
            <w:hideMark/>
          </w:tcPr>
          <w:p w14:paraId="5DC38EB7" w14:textId="77777777" w:rsidR="000F765E" w:rsidRPr="007C4EA7" w:rsidRDefault="000F765E" w:rsidP="000F765E">
            <w:pPr>
              <w:rPr>
                <w:rFonts w:eastAsia="Times New Roman" w:cs="Tahoma"/>
                <w:b/>
                <w:bCs/>
                <w:color w:val="FFFFFF"/>
                <w:szCs w:val="14"/>
                <w:lang w:eastAsia="en-GB"/>
              </w:rPr>
            </w:pPr>
          </w:p>
        </w:tc>
        <w:tc>
          <w:tcPr>
            <w:tcW w:w="575" w:type="dxa"/>
            <w:vMerge/>
            <w:tcBorders>
              <w:top w:val="single" w:sz="4" w:space="0" w:color="auto"/>
              <w:left w:val="single" w:sz="4" w:space="0" w:color="auto"/>
              <w:bottom w:val="single" w:sz="4" w:space="0" w:color="auto"/>
              <w:right w:val="single" w:sz="4" w:space="0" w:color="auto"/>
            </w:tcBorders>
            <w:hideMark/>
          </w:tcPr>
          <w:p w14:paraId="3246E251" w14:textId="77777777" w:rsidR="000F765E" w:rsidRPr="007C4EA7" w:rsidRDefault="000F765E" w:rsidP="000F765E">
            <w:pPr>
              <w:rPr>
                <w:rFonts w:eastAsia="Times New Roman" w:cs="Tahoma"/>
                <w:b/>
                <w:bCs/>
                <w:color w:val="FFFFFF"/>
                <w:szCs w:val="14"/>
                <w:lang w:eastAsia="en-GB"/>
              </w:rPr>
            </w:pPr>
          </w:p>
        </w:tc>
        <w:tc>
          <w:tcPr>
            <w:tcW w:w="575" w:type="dxa"/>
            <w:vMerge/>
            <w:tcBorders>
              <w:top w:val="single" w:sz="4" w:space="0" w:color="auto"/>
              <w:left w:val="single" w:sz="4" w:space="0" w:color="auto"/>
              <w:bottom w:val="single" w:sz="4" w:space="0" w:color="auto"/>
              <w:right w:val="single" w:sz="4" w:space="0" w:color="auto"/>
            </w:tcBorders>
            <w:hideMark/>
          </w:tcPr>
          <w:p w14:paraId="6464FD1D" w14:textId="77777777" w:rsidR="000F765E" w:rsidRPr="007C4EA7" w:rsidRDefault="000F765E" w:rsidP="000F765E">
            <w:pPr>
              <w:rPr>
                <w:rFonts w:eastAsia="Times New Roman" w:cs="Tahoma"/>
                <w:b/>
                <w:bCs/>
                <w:color w:val="FFFFFF"/>
                <w:szCs w:val="14"/>
                <w:lang w:eastAsia="en-GB"/>
              </w:rPr>
            </w:pPr>
          </w:p>
        </w:tc>
        <w:tc>
          <w:tcPr>
            <w:tcW w:w="575" w:type="dxa"/>
            <w:vMerge/>
            <w:tcBorders>
              <w:top w:val="single" w:sz="4" w:space="0" w:color="auto"/>
              <w:left w:val="single" w:sz="4" w:space="0" w:color="auto"/>
              <w:bottom w:val="single" w:sz="4" w:space="0" w:color="auto"/>
              <w:right w:val="single" w:sz="4" w:space="0" w:color="auto"/>
            </w:tcBorders>
            <w:hideMark/>
          </w:tcPr>
          <w:p w14:paraId="114F2A83" w14:textId="77777777" w:rsidR="000F765E" w:rsidRPr="007C4EA7" w:rsidRDefault="000F765E" w:rsidP="000F765E">
            <w:pPr>
              <w:rPr>
                <w:rFonts w:eastAsia="Times New Roman" w:cs="Tahoma"/>
                <w:b/>
                <w:bCs/>
                <w:color w:val="FFFFFF"/>
                <w:szCs w:val="14"/>
                <w:lang w:eastAsia="en-GB"/>
              </w:rPr>
            </w:pPr>
          </w:p>
        </w:tc>
        <w:tc>
          <w:tcPr>
            <w:tcW w:w="575" w:type="dxa"/>
            <w:vMerge/>
            <w:tcBorders>
              <w:top w:val="single" w:sz="4" w:space="0" w:color="auto"/>
              <w:left w:val="single" w:sz="4" w:space="0" w:color="auto"/>
              <w:bottom w:val="single" w:sz="4" w:space="0" w:color="auto"/>
              <w:right w:val="single" w:sz="4" w:space="0" w:color="auto"/>
            </w:tcBorders>
            <w:hideMark/>
          </w:tcPr>
          <w:p w14:paraId="251EA96D" w14:textId="77777777" w:rsidR="000F765E" w:rsidRPr="007C4EA7" w:rsidRDefault="000F765E" w:rsidP="000F765E">
            <w:pPr>
              <w:rPr>
                <w:rFonts w:eastAsia="Times New Roman" w:cs="Tahoma"/>
                <w:b/>
                <w:bCs/>
                <w:color w:val="FFFFFF"/>
                <w:szCs w:val="14"/>
                <w:lang w:eastAsia="en-GB"/>
              </w:rPr>
            </w:pPr>
          </w:p>
        </w:tc>
        <w:tc>
          <w:tcPr>
            <w:tcW w:w="575" w:type="dxa"/>
            <w:tcBorders>
              <w:top w:val="nil"/>
              <w:left w:val="nil"/>
              <w:bottom w:val="nil"/>
              <w:right w:val="single" w:sz="4" w:space="0" w:color="auto"/>
            </w:tcBorders>
            <w:shd w:val="clear" w:color="000000" w:fill="69AE23"/>
            <w:noWrap/>
            <w:textDirection w:val="btLr"/>
            <w:hideMark/>
          </w:tcPr>
          <w:p w14:paraId="2456792A" w14:textId="77777777" w:rsidR="000F765E" w:rsidRPr="00EA1818" w:rsidRDefault="000F765E" w:rsidP="000F765E">
            <w:pPr>
              <w:jc w:val="center"/>
              <w:rPr>
                <w:rFonts w:eastAsia="Times New Roman" w:cs="Tahoma"/>
                <w:b/>
                <w:bCs/>
                <w:color w:val="FFFFFF"/>
                <w:sz w:val="14"/>
                <w:szCs w:val="14"/>
                <w:lang w:eastAsia="en-GB"/>
              </w:rPr>
            </w:pPr>
            <w:r w:rsidRPr="00EA1818">
              <w:rPr>
                <w:rFonts w:eastAsia="Times New Roman" w:cs="Tahoma"/>
                <w:b/>
                <w:bCs/>
                <w:color w:val="FFFFFF"/>
                <w:sz w:val="14"/>
                <w:szCs w:val="14"/>
                <w:lang w:eastAsia="en-GB"/>
              </w:rPr>
              <w:t>Laboratories</w:t>
            </w:r>
          </w:p>
        </w:tc>
        <w:tc>
          <w:tcPr>
            <w:tcW w:w="575" w:type="dxa"/>
            <w:tcBorders>
              <w:top w:val="nil"/>
              <w:left w:val="nil"/>
              <w:bottom w:val="nil"/>
              <w:right w:val="single" w:sz="4" w:space="0" w:color="auto"/>
            </w:tcBorders>
            <w:shd w:val="clear" w:color="000000" w:fill="69AE23"/>
            <w:noWrap/>
            <w:textDirection w:val="btLr"/>
            <w:hideMark/>
          </w:tcPr>
          <w:p w14:paraId="24730D70" w14:textId="77777777" w:rsidR="000F765E" w:rsidRPr="00EA1818" w:rsidRDefault="000F765E" w:rsidP="000F765E">
            <w:pPr>
              <w:jc w:val="center"/>
              <w:rPr>
                <w:rFonts w:eastAsia="Times New Roman" w:cs="Tahoma"/>
                <w:b/>
                <w:bCs/>
                <w:color w:val="FFFFFF"/>
                <w:sz w:val="14"/>
                <w:szCs w:val="14"/>
                <w:lang w:eastAsia="en-GB"/>
              </w:rPr>
            </w:pPr>
            <w:r w:rsidRPr="00EA1818">
              <w:rPr>
                <w:rFonts w:eastAsia="Times New Roman" w:cs="Tahoma"/>
                <w:b/>
                <w:bCs/>
                <w:color w:val="FFFFFF"/>
                <w:sz w:val="14"/>
                <w:szCs w:val="14"/>
                <w:lang w:eastAsia="en-GB"/>
              </w:rPr>
              <w:t>Physicians</w:t>
            </w:r>
          </w:p>
        </w:tc>
        <w:tc>
          <w:tcPr>
            <w:tcW w:w="575" w:type="dxa"/>
            <w:tcBorders>
              <w:top w:val="nil"/>
              <w:left w:val="nil"/>
              <w:bottom w:val="nil"/>
              <w:right w:val="single" w:sz="4" w:space="0" w:color="auto"/>
            </w:tcBorders>
            <w:shd w:val="clear" w:color="000000" w:fill="69AE23"/>
            <w:noWrap/>
            <w:textDirection w:val="btLr"/>
            <w:hideMark/>
          </w:tcPr>
          <w:p w14:paraId="6CD7389C" w14:textId="77777777" w:rsidR="000F765E" w:rsidRPr="00EA1818" w:rsidRDefault="000F765E" w:rsidP="000F765E">
            <w:pPr>
              <w:jc w:val="center"/>
              <w:rPr>
                <w:rFonts w:eastAsia="Times New Roman" w:cs="Tahoma"/>
                <w:b/>
                <w:bCs/>
                <w:color w:val="FFFFFF"/>
                <w:sz w:val="14"/>
                <w:szCs w:val="14"/>
                <w:lang w:eastAsia="en-GB"/>
              </w:rPr>
            </w:pPr>
            <w:r w:rsidRPr="00EA1818">
              <w:rPr>
                <w:rFonts w:eastAsia="Times New Roman" w:cs="Tahoma"/>
                <w:b/>
                <w:bCs/>
                <w:color w:val="FFFFFF"/>
                <w:sz w:val="14"/>
                <w:szCs w:val="14"/>
                <w:lang w:eastAsia="en-GB"/>
              </w:rPr>
              <w:t>Hospitals</w:t>
            </w:r>
          </w:p>
        </w:tc>
        <w:tc>
          <w:tcPr>
            <w:tcW w:w="581" w:type="dxa"/>
            <w:tcBorders>
              <w:top w:val="nil"/>
              <w:left w:val="nil"/>
              <w:bottom w:val="nil"/>
              <w:right w:val="single" w:sz="4" w:space="0" w:color="auto"/>
            </w:tcBorders>
            <w:shd w:val="clear" w:color="000000" w:fill="69AE23"/>
            <w:noWrap/>
            <w:textDirection w:val="btLr"/>
            <w:hideMark/>
          </w:tcPr>
          <w:p w14:paraId="17A397FC" w14:textId="77777777" w:rsidR="000F765E" w:rsidRPr="00EA1818" w:rsidRDefault="000F765E" w:rsidP="000F765E">
            <w:pPr>
              <w:jc w:val="center"/>
              <w:rPr>
                <w:rFonts w:eastAsia="Times New Roman" w:cs="Tahoma"/>
                <w:b/>
                <w:bCs/>
                <w:color w:val="FFFFFF"/>
                <w:sz w:val="14"/>
                <w:szCs w:val="14"/>
                <w:lang w:eastAsia="en-GB"/>
              </w:rPr>
            </w:pPr>
            <w:r w:rsidRPr="00EA1818">
              <w:rPr>
                <w:rFonts w:eastAsia="Times New Roman" w:cs="Tahoma"/>
                <w:b/>
                <w:bCs/>
                <w:color w:val="FFFFFF"/>
                <w:sz w:val="14"/>
                <w:szCs w:val="14"/>
                <w:lang w:eastAsia="en-GB"/>
              </w:rPr>
              <w:t>Others</w:t>
            </w:r>
          </w:p>
        </w:tc>
        <w:tc>
          <w:tcPr>
            <w:tcW w:w="1339" w:type="dxa"/>
            <w:vMerge/>
            <w:tcBorders>
              <w:top w:val="single" w:sz="4" w:space="0" w:color="auto"/>
              <w:left w:val="single" w:sz="4" w:space="0" w:color="auto"/>
              <w:bottom w:val="single" w:sz="4" w:space="0" w:color="auto"/>
              <w:right w:val="single" w:sz="4" w:space="0" w:color="auto"/>
            </w:tcBorders>
            <w:hideMark/>
          </w:tcPr>
          <w:p w14:paraId="7A0A53D1" w14:textId="77777777" w:rsidR="000F765E" w:rsidRPr="007C4EA7" w:rsidRDefault="000F765E" w:rsidP="000F765E">
            <w:pPr>
              <w:rPr>
                <w:rFonts w:eastAsia="Times New Roman" w:cs="Tahoma"/>
                <w:b/>
                <w:bCs/>
                <w:color w:val="FFFFFF"/>
                <w:szCs w:val="14"/>
                <w:lang w:eastAsia="en-GB"/>
              </w:rPr>
            </w:pPr>
          </w:p>
        </w:tc>
      </w:tr>
      <w:tr w:rsidR="000C12BF" w:rsidRPr="007C4EA7" w14:paraId="5C9C8795" w14:textId="77777777" w:rsidTr="00034328">
        <w:trPr>
          <w:trHeight w:val="230"/>
        </w:trPr>
        <w:tc>
          <w:tcPr>
            <w:tcW w:w="1140" w:type="dxa"/>
            <w:tcBorders>
              <w:top w:val="single" w:sz="4" w:space="0" w:color="000000"/>
              <w:left w:val="single" w:sz="4" w:space="0" w:color="000000"/>
              <w:bottom w:val="nil"/>
              <w:right w:val="single" w:sz="4" w:space="0" w:color="auto"/>
            </w:tcBorders>
            <w:shd w:val="clear" w:color="000000" w:fill="D9D9D9"/>
            <w:noWrap/>
            <w:vAlign w:val="bottom"/>
            <w:hideMark/>
          </w:tcPr>
          <w:p w14:paraId="6D914F1C"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Austria</w:t>
            </w:r>
          </w:p>
        </w:tc>
        <w:tc>
          <w:tcPr>
            <w:tcW w:w="2966" w:type="dxa"/>
            <w:tcBorders>
              <w:top w:val="single" w:sz="4" w:space="0" w:color="000000"/>
              <w:left w:val="nil"/>
              <w:bottom w:val="nil"/>
              <w:right w:val="single" w:sz="4" w:space="0" w:color="auto"/>
            </w:tcBorders>
            <w:shd w:val="clear" w:color="000000" w:fill="D9D9D9"/>
            <w:noWrap/>
            <w:vAlign w:val="bottom"/>
            <w:hideMark/>
          </w:tcPr>
          <w:p w14:paraId="7A94CA66"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AT-</w:t>
            </w:r>
            <w:proofErr w:type="spellStart"/>
            <w:r w:rsidRPr="00AB5D29">
              <w:rPr>
                <w:rFonts w:eastAsia="Times New Roman" w:cs="Tahoma"/>
                <w:sz w:val="14"/>
                <w:szCs w:val="14"/>
                <w:lang w:eastAsia="en-GB"/>
              </w:rPr>
              <w:t>Epidemiegesetz</w:t>
            </w:r>
            <w:proofErr w:type="spellEnd"/>
          </w:p>
        </w:tc>
        <w:tc>
          <w:tcPr>
            <w:tcW w:w="575" w:type="dxa"/>
            <w:tcBorders>
              <w:top w:val="single" w:sz="4" w:space="0" w:color="000000"/>
              <w:left w:val="nil"/>
              <w:bottom w:val="nil"/>
              <w:right w:val="single" w:sz="4" w:space="0" w:color="auto"/>
            </w:tcBorders>
            <w:shd w:val="clear" w:color="000000" w:fill="D9D9D9"/>
            <w:noWrap/>
            <w:vAlign w:val="bottom"/>
            <w:hideMark/>
          </w:tcPr>
          <w:p w14:paraId="3925942E"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single" w:sz="4" w:space="0" w:color="000000"/>
              <w:left w:val="nil"/>
              <w:bottom w:val="nil"/>
              <w:right w:val="single" w:sz="4" w:space="0" w:color="auto"/>
            </w:tcBorders>
            <w:shd w:val="clear" w:color="000000" w:fill="D9D9D9"/>
            <w:noWrap/>
            <w:vAlign w:val="bottom"/>
            <w:hideMark/>
          </w:tcPr>
          <w:p w14:paraId="71B27C8E"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single" w:sz="4" w:space="0" w:color="000000"/>
              <w:left w:val="nil"/>
              <w:bottom w:val="nil"/>
              <w:right w:val="single" w:sz="4" w:space="0" w:color="auto"/>
            </w:tcBorders>
            <w:shd w:val="clear" w:color="000000" w:fill="D9D9D9"/>
            <w:noWrap/>
            <w:vAlign w:val="bottom"/>
            <w:hideMark/>
          </w:tcPr>
          <w:p w14:paraId="6761373D"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single" w:sz="4" w:space="0" w:color="000000"/>
              <w:left w:val="nil"/>
              <w:bottom w:val="nil"/>
              <w:right w:val="single" w:sz="4" w:space="0" w:color="auto"/>
            </w:tcBorders>
            <w:shd w:val="clear" w:color="000000" w:fill="D9D9D9"/>
            <w:noWrap/>
            <w:vAlign w:val="bottom"/>
            <w:hideMark/>
          </w:tcPr>
          <w:p w14:paraId="17910F7B"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single" w:sz="4" w:space="0" w:color="000000"/>
              <w:left w:val="nil"/>
              <w:bottom w:val="nil"/>
              <w:right w:val="single" w:sz="4" w:space="0" w:color="auto"/>
            </w:tcBorders>
            <w:shd w:val="clear" w:color="000000" w:fill="D9D9D9"/>
            <w:noWrap/>
            <w:vAlign w:val="bottom"/>
            <w:hideMark/>
          </w:tcPr>
          <w:p w14:paraId="330B9FE0"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single" w:sz="4" w:space="0" w:color="000000"/>
              <w:left w:val="nil"/>
              <w:bottom w:val="nil"/>
              <w:right w:val="single" w:sz="4" w:space="0" w:color="auto"/>
            </w:tcBorders>
            <w:shd w:val="clear" w:color="000000" w:fill="D9D9D9"/>
            <w:noWrap/>
            <w:vAlign w:val="bottom"/>
            <w:hideMark/>
          </w:tcPr>
          <w:p w14:paraId="60012512"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single" w:sz="4" w:space="0" w:color="000000"/>
              <w:left w:val="nil"/>
              <w:bottom w:val="nil"/>
              <w:right w:val="single" w:sz="4" w:space="0" w:color="auto"/>
            </w:tcBorders>
            <w:shd w:val="clear" w:color="000000" w:fill="D9D9D9"/>
            <w:noWrap/>
            <w:vAlign w:val="bottom"/>
            <w:hideMark/>
          </w:tcPr>
          <w:p w14:paraId="26F8156F"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single" w:sz="4" w:space="0" w:color="000000"/>
              <w:left w:val="nil"/>
              <w:bottom w:val="nil"/>
              <w:right w:val="single" w:sz="4" w:space="0" w:color="auto"/>
            </w:tcBorders>
            <w:shd w:val="clear" w:color="000000" w:fill="D9D9D9"/>
            <w:noWrap/>
            <w:vAlign w:val="bottom"/>
            <w:hideMark/>
          </w:tcPr>
          <w:p w14:paraId="165AFA66"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1339" w:type="dxa"/>
            <w:tcBorders>
              <w:top w:val="single" w:sz="4" w:space="0" w:color="000000"/>
              <w:left w:val="nil"/>
              <w:bottom w:val="nil"/>
              <w:right w:val="single" w:sz="4" w:space="0" w:color="000000"/>
            </w:tcBorders>
            <w:shd w:val="clear" w:color="000000" w:fill="D9D9D9"/>
            <w:noWrap/>
            <w:vAlign w:val="bottom"/>
            <w:hideMark/>
          </w:tcPr>
          <w:p w14:paraId="3B44E1F0" w14:textId="77777777" w:rsidR="000F765E" w:rsidRPr="00AB5D29" w:rsidRDefault="000F765E" w:rsidP="00AF4AD6">
            <w:pPr>
              <w:widowControl w:val="0"/>
              <w:spacing w:before="120" w:after="0"/>
              <w:rPr>
                <w:rFonts w:eastAsia="Times New Roman" w:cs="Tahoma"/>
                <w:sz w:val="14"/>
                <w:szCs w:val="14"/>
                <w:lang w:eastAsia="en-GB"/>
              </w:rPr>
            </w:pPr>
            <w:r w:rsidRPr="00AB5D29">
              <w:rPr>
                <w:rFonts w:eastAsia="Times New Roman" w:cs="Tahoma"/>
                <w:sz w:val="14"/>
                <w:szCs w:val="14"/>
                <w:lang w:eastAsia="en-GB"/>
              </w:rPr>
              <w:t>EU-2008</w:t>
            </w:r>
          </w:p>
        </w:tc>
      </w:tr>
      <w:tr w:rsidR="00034328" w:rsidRPr="007C4EA7" w14:paraId="3B98DE11"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7C0A3F5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Belgium</w:t>
            </w:r>
          </w:p>
        </w:tc>
        <w:tc>
          <w:tcPr>
            <w:tcW w:w="2966" w:type="dxa"/>
            <w:tcBorders>
              <w:top w:val="nil"/>
              <w:left w:val="nil"/>
              <w:bottom w:val="nil"/>
              <w:right w:val="single" w:sz="4" w:space="0" w:color="auto"/>
            </w:tcBorders>
            <w:shd w:val="clear" w:color="auto" w:fill="auto"/>
            <w:noWrap/>
            <w:vAlign w:val="bottom"/>
            <w:hideMark/>
          </w:tcPr>
          <w:p w14:paraId="302CA8C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BE-REFLAB</w:t>
            </w:r>
          </w:p>
        </w:tc>
        <w:tc>
          <w:tcPr>
            <w:tcW w:w="575" w:type="dxa"/>
            <w:tcBorders>
              <w:top w:val="nil"/>
              <w:left w:val="nil"/>
              <w:bottom w:val="nil"/>
              <w:right w:val="single" w:sz="4" w:space="0" w:color="auto"/>
            </w:tcBorders>
            <w:shd w:val="clear" w:color="auto" w:fill="auto"/>
            <w:noWrap/>
            <w:vAlign w:val="bottom"/>
            <w:hideMark/>
          </w:tcPr>
          <w:p w14:paraId="3C53886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6BA3998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7E46856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727959E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347B9CE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053F58F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75" w:type="dxa"/>
            <w:tcBorders>
              <w:top w:val="nil"/>
              <w:left w:val="nil"/>
              <w:bottom w:val="nil"/>
              <w:right w:val="single" w:sz="4" w:space="0" w:color="auto"/>
            </w:tcBorders>
            <w:shd w:val="clear" w:color="auto" w:fill="auto"/>
            <w:noWrap/>
            <w:vAlign w:val="bottom"/>
            <w:hideMark/>
          </w:tcPr>
          <w:p w14:paraId="6A447F5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81" w:type="dxa"/>
            <w:tcBorders>
              <w:top w:val="nil"/>
              <w:left w:val="nil"/>
              <w:bottom w:val="nil"/>
              <w:right w:val="single" w:sz="4" w:space="0" w:color="auto"/>
            </w:tcBorders>
            <w:shd w:val="clear" w:color="auto" w:fill="auto"/>
            <w:noWrap/>
            <w:vAlign w:val="bottom"/>
            <w:hideMark/>
          </w:tcPr>
          <w:p w14:paraId="60D5889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auto" w:fill="auto"/>
            <w:noWrap/>
            <w:vAlign w:val="bottom"/>
            <w:hideMark/>
          </w:tcPr>
          <w:p w14:paraId="7AE4EE5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C12BF" w:rsidRPr="007C4EA7" w14:paraId="6119FDCB"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728C174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Bulgaria</w:t>
            </w:r>
          </w:p>
        </w:tc>
        <w:tc>
          <w:tcPr>
            <w:tcW w:w="2966" w:type="dxa"/>
            <w:tcBorders>
              <w:top w:val="nil"/>
              <w:left w:val="nil"/>
              <w:bottom w:val="nil"/>
              <w:right w:val="single" w:sz="4" w:space="0" w:color="auto"/>
            </w:tcBorders>
            <w:shd w:val="clear" w:color="000000" w:fill="D9D9D9"/>
            <w:noWrap/>
            <w:vAlign w:val="bottom"/>
            <w:hideMark/>
          </w:tcPr>
          <w:p w14:paraId="0364F3B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BG-NATIONAL_SURVEILLANCE</w:t>
            </w:r>
          </w:p>
        </w:tc>
        <w:tc>
          <w:tcPr>
            <w:tcW w:w="575" w:type="dxa"/>
            <w:tcBorders>
              <w:top w:val="nil"/>
              <w:left w:val="nil"/>
              <w:bottom w:val="nil"/>
              <w:right w:val="single" w:sz="4" w:space="0" w:color="auto"/>
            </w:tcBorders>
            <w:shd w:val="clear" w:color="000000" w:fill="D9D9D9"/>
            <w:noWrap/>
            <w:vAlign w:val="bottom"/>
            <w:hideMark/>
          </w:tcPr>
          <w:p w14:paraId="52E6FB9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024F961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423DEB5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5C7938A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A</w:t>
            </w:r>
          </w:p>
        </w:tc>
        <w:tc>
          <w:tcPr>
            <w:tcW w:w="575" w:type="dxa"/>
            <w:tcBorders>
              <w:top w:val="nil"/>
              <w:left w:val="nil"/>
              <w:bottom w:val="nil"/>
              <w:right w:val="single" w:sz="4" w:space="0" w:color="auto"/>
            </w:tcBorders>
            <w:shd w:val="clear" w:color="000000" w:fill="D9D9D9"/>
            <w:noWrap/>
            <w:vAlign w:val="bottom"/>
            <w:hideMark/>
          </w:tcPr>
          <w:p w14:paraId="318022C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1BC4308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5085550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000000" w:fill="D9D9D9"/>
            <w:noWrap/>
            <w:vAlign w:val="bottom"/>
            <w:hideMark/>
          </w:tcPr>
          <w:p w14:paraId="261C903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1339" w:type="dxa"/>
            <w:tcBorders>
              <w:top w:val="nil"/>
              <w:left w:val="nil"/>
              <w:bottom w:val="nil"/>
              <w:right w:val="single" w:sz="4" w:space="0" w:color="000000"/>
            </w:tcBorders>
            <w:shd w:val="clear" w:color="000000" w:fill="D9D9D9"/>
            <w:noWrap/>
            <w:vAlign w:val="bottom"/>
            <w:hideMark/>
          </w:tcPr>
          <w:p w14:paraId="30D471A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34328" w:rsidRPr="007C4EA7" w14:paraId="6A90EB36"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3D2A4FE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Croatia</w:t>
            </w:r>
          </w:p>
        </w:tc>
        <w:tc>
          <w:tcPr>
            <w:tcW w:w="2966" w:type="dxa"/>
            <w:tcBorders>
              <w:top w:val="nil"/>
              <w:left w:val="nil"/>
              <w:bottom w:val="nil"/>
              <w:right w:val="single" w:sz="4" w:space="0" w:color="auto"/>
            </w:tcBorders>
            <w:shd w:val="clear" w:color="auto" w:fill="auto"/>
            <w:noWrap/>
            <w:vAlign w:val="bottom"/>
            <w:hideMark/>
          </w:tcPr>
          <w:p w14:paraId="1B49289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HR-CNIPH</w:t>
            </w:r>
          </w:p>
        </w:tc>
        <w:tc>
          <w:tcPr>
            <w:tcW w:w="575" w:type="dxa"/>
            <w:tcBorders>
              <w:top w:val="nil"/>
              <w:left w:val="nil"/>
              <w:bottom w:val="nil"/>
              <w:right w:val="single" w:sz="4" w:space="0" w:color="auto"/>
            </w:tcBorders>
            <w:shd w:val="clear" w:color="auto" w:fill="auto"/>
            <w:noWrap/>
            <w:vAlign w:val="bottom"/>
            <w:hideMark/>
          </w:tcPr>
          <w:p w14:paraId="60A7EFF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25AEBEC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3BD9105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11558B3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19CB79A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2E05E07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328214C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4364937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1339" w:type="dxa"/>
            <w:tcBorders>
              <w:top w:val="nil"/>
              <w:left w:val="nil"/>
              <w:bottom w:val="nil"/>
              <w:right w:val="single" w:sz="4" w:space="0" w:color="000000"/>
            </w:tcBorders>
            <w:shd w:val="clear" w:color="auto" w:fill="auto"/>
            <w:noWrap/>
            <w:vAlign w:val="bottom"/>
            <w:hideMark/>
          </w:tcPr>
          <w:p w14:paraId="047A801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EU-2012</w:t>
            </w:r>
          </w:p>
        </w:tc>
      </w:tr>
      <w:tr w:rsidR="000C12BF" w:rsidRPr="007C4EA7" w14:paraId="17D7BF64"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549C764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Cyprus</w:t>
            </w:r>
          </w:p>
        </w:tc>
        <w:tc>
          <w:tcPr>
            <w:tcW w:w="2966" w:type="dxa"/>
            <w:tcBorders>
              <w:top w:val="nil"/>
              <w:left w:val="nil"/>
              <w:bottom w:val="nil"/>
              <w:right w:val="single" w:sz="4" w:space="0" w:color="auto"/>
            </w:tcBorders>
            <w:shd w:val="clear" w:color="000000" w:fill="D9D9D9"/>
            <w:noWrap/>
            <w:vAlign w:val="bottom"/>
            <w:hideMark/>
          </w:tcPr>
          <w:p w14:paraId="117308D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CY-NOTIFIED_DISEASES</w:t>
            </w:r>
          </w:p>
        </w:tc>
        <w:tc>
          <w:tcPr>
            <w:tcW w:w="575" w:type="dxa"/>
            <w:tcBorders>
              <w:top w:val="nil"/>
              <w:left w:val="nil"/>
              <w:bottom w:val="nil"/>
              <w:right w:val="single" w:sz="4" w:space="0" w:color="auto"/>
            </w:tcBorders>
            <w:shd w:val="clear" w:color="000000" w:fill="D9D9D9"/>
            <w:noWrap/>
            <w:vAlign w:val="bottom"/>
            <w:hideMark/>
          </w:tcPr>
          <w:p w14:paraId="0527FC8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6A0F6C4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6CB9EA8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3368591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452E01B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75" w:type="dxa"/>
            <w:tcBorders>
              <w:top w:val="nil"/>
              <w:left w:val="nil"/>
              <w:bottom w:val="nil"/>
              <w:right w:val="single" w:sz="4" w:space="0" w:color="auto"/>
            </w:tcBorders>
            <w:shd w:val="clear" w:color="000000" w:fill="D9D9D9"/>
            <w:noWrap/>
            <w:vAlign w:val="bottom"/>
            <w:hideMark/>
          </w:tcPr>
          <w:p w14:paraId="1105E00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2970CFC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81" w:type="dxa"/>
            <w:tcBorders>
              <w:top w:val="nil"/>
              <w:left w:val="nil"/>
              <w:bottom w:val="nil"/>
              <w:right w:val="single" w:sz="4" w:space="0" w:color="auto"/>
            </w:tcBorders>
            <w:shd w:val="clear" w:color="000000" w:fill="D9D9D9"/>
            <w:noWrap/>
            <w:vAlign w:val="bottom"/>
            <w:hideMark/>
          </w:tcPr>
          <w:p w14:paraId="67E0C21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3482C54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EU-2008</w:t>
            </w:r>
          </w:p>
        </w:tc>
      </w:tr>
      <w:tr w:rsidR="00034328" w:rsidRPr="007C4EA7" w14:paraId="7CC6903F"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4AD61D7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Czechia</w:t>
            </w:r>
          </w:p>
        </w:tc>
        <w:tc>
          <w:tcPr>
            <w:tcW w:w="2966" w:type="dxa"/>
            <w:tcBorders>
              <w:top w:val="nil"/>
              <w:left w:val="nil"/>
              <w:bottom w:val="nil"/>
              <w:right w:val="single" w:sz="4" w:space="0" w:color="auto"/>
            </w:tcBorders>
            <w:shd w:val="clear" w:color="auto" w:fill="auto"/>
            <w:noWrap/>
            <w:vAlign w:val="bottom"/>
            <w:hideMark/>
          </w:tcPr>
          <w:p w14:paraId="1334682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CZ-ISIN</w:t>
            </w:r>
          </w:p>
        </w:tc>
        <w:tc>
          <w:tcPr>
            <w:tcW w:w="575" w:type="dxa"/>
            <w:tcBorders>
              <w:top w:val="nil"/>
              <w:left w:val="nil"/>
              <w:bottom w:val="nil"/>
              <w:right w:val="single" w:sz="4" w:space="0" w:color="auto"/>
            </w:tcBorders>
            <w:shd w:val="clear" w:color="auto" w:fill="auto"/>
            <w:noWrap/>
            <w:vAlign w:val="bottom"/>
            <w:hideMark/>
          </w:tcPr>
          <w:p w14:paraId="5C8C231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072B066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18A2014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A</w:t>
            </w:r>
          </w:p>
        </w:tc>
        <w:tc>
          <w:tcPr>
            <w:tcW w:w="575" w:type="dxa"/>
            <w:tcBorders>
              <w:top w:val="nil"/>
              <w:left w:val="nil"/>
              <w:bottom w:val="nil"/>
              <w:right w:val="single" w:sz="4" w:space="0" w:color="auto"/>
            </w:tcBorders>
            <w:shd w:val="clear" w:color="auto" w:fill="auto"/>
            <w:noWrap/>
            <w:vAlign w:val="bottom"/>
            <w:hideMark/>
          </w:tcPr>
          <w:p w14:paraId="1A17C26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1C8AD44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14FF356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1DAFDF4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7F153EC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auto" w:fill="auto"/>
            <w:noWrap/>
            <w:vAlign w:val="bottom"/>
            <w:hideMark/>
          </w:tcPr>
          <w:p w14:paraId="6D15EA3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EU-2008</w:t>
            </w:r>
          </w:p>
        </w:tc>
      </w:tr>
      <w:tr w:rsidR="000C12BF" w:rsidRPr="007C4EA7" w14:paraId="13E899FE"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6898CC7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Denmark</w:t>
            </w:r>
          </w:p>
        </w:tc>
        <w:tc>
          <w:tcPr>
            <w:tcW w:w="2966" w:type="dxa"/>
            <w:tcBorders>
              <w:top w:val="nil"/>
              <w:left w:val="nil"/>
              <w:bottom w:val="nil"/>
              <w:right w:val="single" w:sz="4" w:space="0" w:color="auto"/>
            </w:tcBorders>
            <w:shd w:val="clear" w:color="000000" w:fill="D9D9D9"/>
            <w:noWrap/>
            <w:vAlign w:val="bottom"/>
            <w:hideMark/>
          </w:tcPr>
          <w:p w14:paraId="48E94D7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DK-MIS</w:t>
            </w:r>
          </w:p>
        </w:tc>
        <w:tc>
          <w:tcPr>
            <w:tcW w:w="575" w:type="dxa"/>
            <w:tcBorders>
              <w:top w:val="nil"/>
              <w:left w:val="nil"/>
              <w:bottom w:val="nil"/>
              <w:right w:val="single" w:sz="4" w:space="0" w:color="auto"/>
            </w:tcBorders>
            <w:shd w:val="clear" w:color="000000" w:fill="D9D9D9"/>
            <w:noWrap/>
            <w:vAlign w:val="bottom"/>
            <w:hideMark/>
          </w:tcPr>
          <w:p w14:paraId="394CE22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558E01C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43E663C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788E2C7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014BEDE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75" w:type="dxa"/>
            <w:tcBorders>
              <w:top w:val="nil"/>
              <w:left w:val="nil"/>
              <w:bottom w:val="nil"/>
              <w:right w:val="single" w:sz="4" w:space="0" w:color="auto"/>
            </w:tcBorders>
            <w:shd w:val="clear" w:color="000000" w:fill="D9D9D9"/>
            <w:noWrap/>
            <w:vAlign w:val="bottom"/>
            <w:hideMark/>
          </w:tcPr>
          <w:p w14:paraId="58F189E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454479D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81" w:type="dxa"/>
            <w:tcBorders>
              <w:top w:val="nil"/>
              <w:left w:val="nil"/>
              <w:bottom w:val="nil"/>
              <w:right w:val="single" w:sz="4" w:space="0" w:color="auto"/>
            </w:tcBorders>
            <w:shd w:val="clear" w:color="000000" w:fill="D9D9D9"/>
            <w:noWrap/>
            <w:vAlign w:val="bottom"/>
            <w:hideMark/>
          </w:tcPr>
          <w:p w14:paraId="6F02723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4BE4644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Other</w:t>
            </w:r>
          </w:p>
        </w:tc>
      </w:tr>
      <w:tr w:rsidR="00034328" w:rsidRPr="007C4EA7" w14:paraId="3512845F"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5D686BB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Estonia</w:t>
            </w:r>
          </w:p>
        </w:tc>
        <w:tc>
          <w:tcPr>
            <w:tcW w:w="2966" w:type="dxa"/>
            <w:tcBorders>
              <w:top w:val="nil"/>
              <w:left w:val="nil"/>
              <w:bottom w:val="nil"/>
              <w:right w:val="single" w:sz="4" w:space="0" w:color="auto"/>
            </w:tcBorders>
            <w:shd w:val="clear" w:color="auto" w:fill="auto"/>
            <w:noWrap/>
            <w:vAlign w:val="bottom"/>
            <w:hideMark/>
          </w:tcPr>
          <w:p w14:paraId="09F8CEB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EE-NAKIS</w:t>
            </w:r>
          </w:p>
        </w:tc>
        <w:tc>
          <w:tcPr>
            <w:tcW w:w="575" w:type="dxa"/>
            <w:tcBorders>
              <w:top w:val="nil"/>
              <w:left w:val="nil"/>
              <w:bottom w:val="nil"/>
              <w:right w:val="single" w:sz="4" w:space="0" w:color="auto"/>
            </w:tcBorders>
            <w:shd w:val="clear" w:color="auto" w:fill="auto"/>
            <w:noWrap/>
            <w:vAlign w:val="bottom"/>
            <w:hideMark/>
          </w:tcPr>
          <w:p w14:paraId="291EA1F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17383AA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632EDBC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17B33E1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52619A1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05609AB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661BB00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4F3CBEB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auto" w:fill="auto"/>
            <w:noWrap/>
            <w:vAlign w:val="bottom"/>
            <w:hideMark/>
          </w:tcPr>
          <w:p w14:paraId="686CE82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C12BF" w:rsidRPr="007C4EA7" w14:paraId="2BF618F6"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226CFB7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Finland</w:t>
            </w:r>
          </w:p>
        </w:tc>
        <w:tc>
          <w:tcPr>
            <w:tcW w:w="2966" w:type="dxa"/>
            <w:tcBorders>
              <w:top w:val="nil"/>
              <w:left w:val="nil"/>
              <w:bottom w:val="nil"/>
              <w:right w:val="single" w:sz="4" w:space="0" w:color="auto"/>
            </w:tcBorders>
            <w:shd w:val="clear" w:color="000000" w:fill="D9D9D9"/>
            <w:noWrap/>
            <w:vAlign w:val="bottom"/>
            <w:hideMark/>
          </w:tcPr>
          <w:p w14:paraId="49F6EA1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FI-NIDR</w:t>
            </w:r>
          </w:p>
        </w:tc>
        <w:tc>
          <w:tcPr>
            <w:tcW w:w="575" w:type="dxa"/>
            <w:tcBorders>
              <w:top w:val="nil"/>
              <w:left w:val="nil"/>
              <w:bottom w:val="nil"/>
              <w:right w:val="single" w:sz="4" w:space="0" w:color="auto"/>
            </w:tcBorders>
            <w:shd w:val="clear" w:color="000000" w:fill="D9D9D9"/>
            <w:noWrap/>
            <w:vAlign w:val="bottom"/>
            <w:hideMark/>
          </w:tcPr>
          <w:p w14:paraId="207FCF4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6240670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5BBC8DB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6B969FF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0C82CC4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10E4613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2473550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81" w:type="dxa"/>
            <w:tcBorders>
              <w:top w:val="nil"/>
              <w:left w:val="nil"/>
              <w:bottom w:val="nil"/>
              <w:right w:val="single" w:sz="4" w:space="0" w:color="auto"/>
            </w:tcBorders>
            <w:shd w:val="clear" w:color="000000" w:fill="D9D9D9"/>
            <w:noWrap/>
            <w:vAlign w:val="bottom"/>
            <w:hideMark/>
          </w:tcPr>
          <w:p w14:paraId="7790B3C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054E67F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EU-2012</w:t>
            </w:r>
          </w:p>
        </w:tc>
      </w:tr>
      <w:tr w:rsidR="00034328" w:rsidRPr="007C4EA7" w14:paraId="58B04007"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1B2866B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France</w:t>
            </w:r>
          </w:p>
        </w:tc>
        <w:tc>
          <w:tcPr>
            <w:tcW w:w="2966" w:type="dxa"/>
            <w:tcBorders>
              <w:top w:val="nil"/>
              <w:left w:val="nil"/>
              <w:bottom w:val="nil"/>
              <w:right w:val="single" w:sz="4" w:space="0" w:color="auto"/>
            </w:tcBorders>
            <w:shd w:val="clear" w:color="auto" w:fill="auto"/>
            <w:noWrap/>
            <w:vAlign w:val="bottom"/>
            <w:hideMark/>
          </w:tcPr>
          <w:p w14:paraId="77FA448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FR-MANDATORY_INFECTIOUS_DISEASES</w:t>
            </w:r>
          </w:p>
        </w:tc>
        <w:tc>
          <w:tcPr>
            <w:tcW w:w="575" w:type="dxa"/>
            <w:tcBorders>
              <w:top w:val="nil"/>
              <w:left w:val="nil"/>
              <w:bottom w:val="nil"/>
              <w:right w:val="single" w:sz="4" w:space="0" w:color="auto"/>
            </w:tcBorders>
            <w:shd w:val="clear" w:color="auto" w:fill="auto"/>
            <w:noWrap/>
            <w:vAlign w:val="bottom"/>
            <w:hideMark/>
          </w:tcPr>
          <w:p w14:paraId="572440D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24D868B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1D365B4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49584CA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5B8122F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0427537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73B8FD9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1AE5D7D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1339" w:type="dxa"/>
            <w:tcBorders>
              <w:top w:val="nil"/>
              <w:left w:val="nil"/>
              <w:bottom w:val="nil"/>
              <w:right w:val="single" w:sz="4" w:space="0" w:color="000000"/>
            </w:tcBorders>
            <w:shd w:val="clear" w:color="auto" w:fill="auto"/>
            <w:noWrap/>
            <w:vAlign w:val="bottom"/>
            <w:hideMark/>
          </w:tcPr>
          <w:p w14:paraId="7E95ECF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Not specified/unknown</w:t>
            </w:r>
          </w:p>
        </w:tc>
      </w:tr>
      <w:tr w:rsidR="000C12BF" w:rsidRPr="007C4EA7" w14:paraId="403C7023"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7C95424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Germany</w:t>
            </w:r>
          </w:p>
        </w:tc>
        <w:tc>
          <w:tcPr>
            <w:tcW w:w="2966" w:type="dxa"/>
            <w:tcBorders>
              <w:top w:val="nil"/>
              <w:left w:val="nil"/>
              <w:bottom w:val="nil"/>
              <w:right w:val="single" w:sz="4" w:space="0" w:color="auto"/>
            </w:tcBorders>
            <w:shd w:val="clear" w:color="000000" w:fill="D9D9D9"/>
            <w:noWrap/>
            <w:vAlign w:val="bottom"/>
            <w:hideMark/>
          </w:tcPr>
          <w:p w14:paraId="051B9F2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DE-SURVNET@RKI-7.1/6</w:t>
            </w:r>
          </w:p>
        </w:tc>
        <w:tc>
          <w:tcPr>
            <w:tcW w:w="575" w:type="dxa"/>
            <w:tcBorders>
              <w:top w:val="nil"/>
              <w:left w:val="nil"/>
              <w:bottom w:val="nil"/>
              <w:right w:val="single" w:sz="4" w:space="0" w:color="auto"/>
            </w:tcBorders>
            <w:shd w:val="clear" w:color="000000" w:fill="D9D9D9"/>
            <w:noWrap/>
            <w:vAlign w:val="bottom"/>
            <w:hideMark/>
          </w:tcPr>
          <w:p w14:paraId="0FB5E94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50C3D6A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040FDBC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6F6E4F5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75E6500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1F985EB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3376E51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000000" w:fill="D9D9D9"/>
            <w:noWrap/>
            <w:vAlign w:val="bottom"/>
            <w:hideMark/>
          </w:tcPr>
          <w:p w14:paraId="734006F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1339" w:type="dxa"/>
            <w:tcBorders>
              <w:top w:val="nil"/>
              <w:left w:val="nil"/>
              <w:bottom w:val="nil"/>
              <w:right w:val="single" w:sz="4" w:space="0" w:color="000000"/>
            </w:tcBorders>
            <w:shd w:val="clear" w:color="000000" w:fill="D9D9D9"/>
            <w:noWrap/>
            <w:vAlign w:val="bottom"/>
            <w:hideMark/>
          </w:tcPr>
          <w:p w14:paraId="7A58EB0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Other</w:t>
            </w:r>
          </w:p>
        </w:tc>
      </w:tr>
      <w:tr w:rsidR="00034328" w:rsidRPr="007C4EA7" w14:paraId="50FA50FE"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69A6C26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Greece</w:t>
            </w:r>
          </w:p>
        </w:tc>
        <w:tc>
          <w:tcPr>
            <w:tcW w:w="2966" w:type="dxa"/>
            <w:tcBorders>
              <w:top w:val="nil"/>
              <w:left w:val="nil"/>
              <w:bottom w:val="nil"/>
              <w:right w:val="single" w:sz="4" w:space="0" w:color="auto"/>
            </w:tcBorders>
            <w:shd w:val="clear" w:color="auto" w:fill="auto"/>
            <w:noWrap/>
            <w:vAlign w:val="bottom"/>
            <w:hideMark/>
          </w:tcPr>
          <w:p w14:paraId="3D7D0BD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EL-NOTIFIABLE_DISEASES</w:t>
            </w:r>
          </w:p>
        </w:tc>
        <w:tc>
          <w:tcPr>
            <w:tcW w:w="575" w:type="dxa"/>
            <w:tcBorders>
              <w:top w:val="nil"/>
              <w:left w:val="nil"/>
              <w:bottom w:val="nil"/>
              <w:right w:val="single" w:sz="4" w:space="0" w:color="auto"/>
            </w:tcBorders>
            <w:shd w:val="clear" w:color="auto" w:fill="auto"/>
            <w:noWrap/>
            <w:vAlign w:val="bottom"/>
            <w:hideMark/>
          </w:tcPr>
          <w:p w14:paraId="013CEF5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19B665C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056A306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55CE85A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6EE9AD9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15B58D9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7106A15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26696B1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w:t>
            </w:r>
          </w:p>
        </w:tc>
        <w:tc>
          <w:tcPr>
            <w:tcW w:w="1339" w:type="dxa"/>
            <w:tcBorders>
              <w:top w:val="nil"/>
              <w:left w:val="nil"/>
              <w:bottom w:val="nil"/>
              <w:right w:val="single" w:sz="4" w:space="0" w:color="000000"/>
            </w:tcBorders>
            <w:shd w:val="clear" w:color="auto" w:fill="auto"/>
            <w:noWrap/>
            <w:vAlign w:val="bottom"/>
            <w:hideMark/>
          </w:tcPr>
          <w:p w14:paraId="353F1AF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C12BF" w:rsidRPr="007C4EA7" w14:paraId="6A0C31A7"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2E02034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Hungary</w:t>
            </w:r>
          </w:p>
        </w:tc>
        <w:tc>
          <w:tcPr>
            <w:tcW w:w="2966" w:type="dxa"/>
            <w:tcBorders>
              <w:top w:val="nil"/>
              <w:left w:val="nil"/>
              <w:bottom w:val="nil"/>
              <w:right w:val="single" w:sz="4" w:space="0" w:color="auto"/>
            </w:tcBorders>
            <w:shd w:val="clear" w:color="000000" w:fill="D9D9D9"/>
            <w:noWrap/>
            <w:vAlign w:val="bottom"/>
            <w:hideMark/>
          </w:tcPr>
          <w:p w14:paraId="1E43AC6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HU-EFRIR</w:t>
            </w:r>
          </w:p>
        </w:tc>
        <w:tc>
          <w:tcPr>
            <w:tcW w:w="575" w:type="dxa"/>
            <w:tcBorders>
              <w:top w:val="nil"/>
              <w:left w:val="nil"/>
              <w:bottom w:val="nil"/>
              <w:right w:val="single" w:sz="4" w:space="0" w:color="auto"/>
            </w:tcBorders>
            <w:shd w:val="clear" w:color="000000" w:fill="D9D9D9"/>
            <w:noWrap/>
            <w:vAlign w:val="bottom"/>
            <w:hideMark/>
          </w:tcPr>
          <w:p w14:paraId="253ACD4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5BE2FEE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2E59CE6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464FB07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7A3097E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35410D6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1BAC0C2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000000" w:fill="D9D9D9"/>
            <w:noWrap/>
            <w:vAlign w:val="bottom"/>
            <w:hideMark/>
          </w:tcPr>
          <w:p w14:paraId="325ADE9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6319A64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EU-2012</w:t>
            </w:r>
          </w:p>
        </w:tc>
      </w:tr>
      <w:tr w:rsidR="00034328" w:rsidRPr="007C4EA7" w14:paraId="70F2A784"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70D9C14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Iceland</w:t>
            </w:r>
          </w:p>
        </w:tc>
        <w:tc>
          <w:tcPr>
            <w:tcW w:w="2966" w:type="dxa"/>
            <w:tcBorders>
              <w:top w:val="nil"/>
              <w:left w:val="nil"/>
              <w:bottom w:val="nil"/>
              <w:right w:val="single" w:sz="4" w:space="0" w:color="auto"/>
            </w:tcBorders>
            <w:shd w:val="clear" w:color="auto" w:fill="auto"/>
            <w:noWrap/>
            <w:vAlign w:val="bottom"/>
            <w:hideMark/>
          </w:tcPr>
          <w:p w14:paraId="6CD903C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IS-SUBJECT_TO_REGISTRATION</w:t>
            </w:r>
          </w:p>
        </w:tc>
        <w:tc>
          <w:tcPr>
            <w:tcW w:w="575" w:type="dxa"/>
            <w:tcBorders>
              <w:top w:val="nil"/>
              <w:left w:val="nil"/>
              <w:bottom w:val="nil"/>
              <w:right w:val="single" w:sz="4" w:space="0" w:color="auto"/>
            </w:tcBorders>
            <w:shd w:val="clear" w:color="auto" w:fill="auto"/>
            <w:noWrap/>
            <w:vAlign w:val="bottom"/>
            <w:hideMark/>
          </w:tcPr>
          <w:p w14:paraId="5C71F53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1AD9A47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2A8810E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40FD17F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488CC1A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5AEE37F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7FE5510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w:t>
            </w:r>
          </w:p>
        </w:tc>
        <w:tc>
          <w:tcPr>
            <w:tcW w:w="581" w:type="dxa"/>
            <w:tcBorders>
              <w:top w:val="nil"/>
              <w:left w:val="nil"/>
              <w:bottom w:val="nil"/>
              <w:right w:val="single" w:sz="4" w:space="0" w:color="auto"/>
            </w:tcBorders>
            <w:shd w:val="clear" w:color="auto" w:fill="auto"/>
            <w:noWrap/>
            <w:vAlign w:val="bottom"/>
            <w:hideMark/>
          </w:tcPr>
          <w:p w14:paraId="1B6234A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w:t>
            </w:r>
          </w:p>
        </w:tc>
        <w:tc>
          <w:tcPr>
            <w:tcW w:w="1339" w:type="dxa"/>
            <w:tcBorders>
              <w:top w:val="nil"/>
              <w:left w:val="nil"/>
              <w:bottom w:val="nil"/>
              <w:right w:val="single" w:sz="4" w:space="0" w:color="000000"/>
            </w:tcBorders>
            <w:shd w:val="clear" w:color="auto" w:fill="auto"/>
            <w:noWrap/>
            <w:vAlign w:val="bottom"/>
            <w:hideMark/>
          </w:tcPr>
          <w:p w14:paraId="218B1D60" w14:textId="743E02A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w:t>
            </w:r>
            <w:r w:rsidR="00CD00B0" w:rsidRPr="00AB5D29">
              <w:rPr>
                <w:rFonts w:eastAsia="Times New Roman" w:cs="Tahoma"/>
                <w:sz w:val="14"/>
                <w:szCs w:val="14"/>
                <w:lang w:eastAsia="en-GB"/>
              </w:rPr>
              <w:t>8</w:t>
            </w:r>
          </w:p>
        </w:tc>
      </w:tr>
      <w:tr w:rsidR="000C12BF" w:rsidRPr="007C4EA7" w14:paraId="3FE0F1E1"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2811634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Ireland</w:t>
            </w:r>
          </w:p>
        </w:tc>
        <w:tc>
          <w:tcPr>
            <w:tcW w:w="2966" w:type="dxa"/>
            <w:tcBorders>
              <w:top w:val="nil"/>
              <w:left w:val="nil"/>
              <w:bottom w:val="nil"/>
              <w:right w:val="single" w:sz="4" w:space="0" w:color="auto"/>
            </w:tcBorders>
            <w:shd w:val="clear" w:color="000000" w:fill="D9D9D9"/>
            <w:noWrap/>
            <w:vAlign w:val="bottom"/>
            <w:hideMark/>
          </w:tcPr>
          <w:p w14:paraId="3E1A32B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IE-CIDR</w:t>
            </w:r>
          </w:p>
        </w:tc>
        <w:tc>
          <w:tcPr>
            <w:tcW w:w="575" w:type="dxa"/>
            <w:tcBorders>
              <w:top w:val="nil"/>
              <w:left w:val="nil"/>
              <w:bottom w:val="nil"/>
              <w:right w:val="single" w:sz="4" w:space="0" w:color="auto"/>
            </w:tcBorders>
            <w:shd w:val="clear" w:color="000000" w:fill="D9D9D9"/>
            <w:noWrap/>
            <w:vAlign w:val="bottom"/>
            <w:hideMark/>
          </w:tcPr>
          <w:p w14:paraId="0E17AE5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3D87BA4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1B02605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4536603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5216E95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5401842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5937505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000000" w:fill="D9D9D9"/>
            <w:noWrap/>
            <w:vAlign w:val="bottom"/>
            <w:hideMark/>
          </w:tcPr>
          <w:p w14:paraId="3A12E03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0130956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EU-2008</w:t>
            </w:r>
          </w:p>
        </w:tc>
      </w:tr>
      <w:tr w:rsidR="00034328" w:rsidRPr="007C4EA7" w14:paraId="46EEF1B0"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33AC0D9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Italy</w:t>
            </w:r>
          </w:p>
        </w:tc>
        <w:tc>
          <w:tcPr>
            <w:tcW w:w="2966" w:type="dxa"/>
            <w:tcBorders>
              <w:top w:val="nil"/>
              <w:left w:val="nil"/>
              <w:bottom w:val="nil"/>
              <w:right w:val="single" w:sz="4" w:space="0" w:color="auto"/>
            </w:tcBorders>
            <w:shd w:val="clear" w:color="auto" w:fill="auto"/>
            <w:noWrap/>
            <w:vAlign w:val="bottom"/>
            <w:hideMark/>
          </w:tcPr>
          <w:p w14:paraId="6A916E4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IT-NRS</w:t>
            </w:r>
          </w:p>
        </w:tc>
        <w:tc>
          <w:tcPr>
            <w:tcW w:w="575" w:type="dxa"/>
            <w:tcBorders>
              <w:top w:val="nil"/>
              <w:left w:val="nil"/>
              <w:bottom w:val="nil"/>
              <w:right w:val="single" w:sz="4" w:space="0" w:color="auto"/>
            </w:tcBorders>
            <w:shd w:val="clear" w:color="auto" w:fill="auto"/>
            <w:noWrap/>
            <w:vAlign w:val="bottom"/>
            <w:hideMark/>
          </w:tcPr>
          <w:p w14:paraId="683FBA1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6FD39FB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24A3C7C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3A3457C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0518BE3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75" w:type="dxa"/>
            <w:tcBorders>
              <w:top w:val="nil"/>
              <w:left w:val="nil"/>
              <w:bottom w:val="nil"/>
              <w:right w:val="single" w:sz="4" w:space="0" w:color="auto"/>
            </w:tcBorders>
            <w:shd w:val="clear" w:color="auto" w:fill="auto"/>
            <w:noWrap/>
            <w:vAlign w:val="bottom"/>
            <w:hideMark/>
          </w:tcPr>
          <w:p w14:paraId="2145478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79D5C4D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18ED017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auto" w:fill="auto"/>
            <w:noWrap/>
            <w:vAlign w:val="bottom"/>
            <w:hideMark/>
          </w:tcPr>
          <w:p w14:paraId="575DDCD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Other</w:t>
            </w:r>
          </w:p>
        </w:tc>
      </w:tr>
      <w:tr w:rsidR="000C12BF" w:rsidRPr="007C4EA7" w14:paraId="746300B2"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57BAB9E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Latvia</w:t>
            </w:r>
          </w:p>
        </w:tc>
        <w:tc>
          <w:tcPr>
            <w:tcW w:w="2966" w:type="dxa"/>
            <w:tcBorders>
              <w:top w:val="nil"/>
              <w:left w:val="nil"/>
              <w:bottom w:val="nil"/>
              <w:right w:val="single" w:sz="4" w:space="0" w:color="auto"/>
            </w:tcBorders>
            <w:shd w:val="clear" w:color="000000" w:fill="D9D9D9"/>
            <w:noWrap/>
            <w:vAlign w:val="bottom"/>
            <w:hideMark/>
          </w:tcPr>
          <w:p w14:paraId="317A283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LV-BSN</w:t>
            </w:r>
          </w:p>
        </w:tc>
        <w:tc>
          <w:tcPr>
            <w:tcW w:w="575" w:type="dxa"/>
            <w:tcBorders>
              <w:top w:val="nil"/>
              <w:left w:val="nil"/>
              <w:bottom w:val="nil"/>
              <w:right w:val="single" w:sz="4" w:space="0" w:color="auto"/>
            </w:tcBorders>
            <w:shd w:val="clear" w:color="000000" w:fill="D9D9D9"/>
            <w:noWrap/>
            <w:vAlign w:val="bottom"/>
            <w:hideMark/>
          </w:tcPr>
          <w:p w14:paraId="366564E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6ADDB29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5619F4B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3CCD2B6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2606E6F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71D81FD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0B4A9A8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000000" w:fill="D9D9D9"/>
            <w:noWrap/>
            <w:vAlign w:val="bottom"/>
            <w:hideMark/>
          </w:tcPr>
          <w:p w14:paraId="4818017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5BFC2D4E" w14:textId="76C5417B"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w:t>
            </w:r>
            <w:r w:rsidR="00EA6CF9">
              <w:rPr>
                <w:rFonts w:eastAsia="Times New Roman" w:cs="Tahoma"/>
                <w:sz w:val="14"/>
                <w:szCs w:val="14"/>
                <w:lang w:eastAsia="en-GB"/>
              </w:rPr>
              <w:t>8</w:t>
            </w:r>
          </w:p>
        </w:tc>
      </w:tr>
      <w:tr w:rsidR="00034328" w:rsidRPr="007C4EA7" w14:paraId="337E3DAF"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151E941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Liechtenstein</w:t>
            </w:r>
          </w:p>
        </w:tc>
        <w:tc>
          <w:tcPr>
            <w:tcW w:w="2966" w:type="dxa"/>
            <w:tcBorders>
              <w:top w:val="nil"/>
              <w:left w:val="nil"/>
              <w:bottom w:val="nil"/>
              <w:right w:val="single" w:sz="4" w:space="0" w:color="auto"/>
            </w:tcBorders>
            <w:shd w:val="clear" w:color="auto" w:fill="auto"/>
            <w:noWrap/>
            <w:vAlign w:val="bottom"/>
            <w:hideMark/>
          </w:tcPr>
          <w:p w14:paraId="51231D2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LI-ANTH</w:t>
            </w:r>
          </w:p>
        </w:tc>
        <w:tc>
          <w:tcPr>
            <w:tcW w:w="575" w:type="dxa"/>
            <w:tcBorders>
              <w:top w:val="nil"/>
              <w:left w:val="nil"/>
              <w:bottom w:val="nil"/>
              <w:right w:val="single" w:sz="4" w:space="0" w:color="auto"/>
            </w:tcBorders>
            <w:shd w:val="clear" w:color="auto" w:fill="auto"/>
            <w:noWrap/>
            <w:vAlign w:val="bottom"/>
            <w:hideMark/>
          </w:tcPr>
          <w:p w14:paraId="4B21435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562258D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7EB64AC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3260847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3BC7D6E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7C8B27F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018816D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5CE17BF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w:t>
            </w:r>
          </w:p>
        </w:tc>
        <w:tc>
          <w:tcPr>
            <w:tcW w:w="1339" w:type="dxa"/>
            <w:tcBorders>
              <w:top w:val="nil"/>
              <w:left w:val="nil"/>
              <w:bottom w:val="nil"/>
              <w:right w:val="single" w:sz="4" w:space="0" w:color="000000"/>
            </w:tcBorders>
            <w:shd w:val="clear" w:color="auto" w:fill="auto"/>
            <w:noWrap/>
            <w:vAlign w:val="bottom"/>
            <w:hideMark/>
          </w:tcPr>
          <w:p w14:paraId="515E8E19" w14:textId="086DFEB4" w:rsidR="000F765E" w:rsidRPr="00AB5D29" w:rsidRDefault="00EA6CF9"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C12BF" w:rsidRPr="007C4EA7" w14:paraId="010DAB08"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0D112BE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Lithuania</w:t>
            </w:r>
          </w:p>
        </w:tc>
        <w:tc>
          <w:tcPr>
            <w:tcW w:w="2966" w:type="dxa"/>
            <w:tcBorders>
              <w:top w:val="nil"/>
              <w:left w:val="nil"/>
              <w:bottom w:val="nil"/>
              <w:right w:val="single" w:sz="4" w:space="0" w:color="auto"/>
            </w:tcBorders>
            <w:shd w:val="clear" w:color="000000" w:fill="D9D9D9"/>
            <w:noWrap/>
            <w:vAlign w:val="bottom"/>
            <w:hideMark/>
          </w:tcPr>
          <w:p w14:paraId="66CF1CA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LT-COMMUNICABLE_DISEASES</w:t>
            </w:r>
          </w:p>
        </w:tc>
        <w:tc>
          <w:tcPr>
            <w:tcW w:w="575" w:type="dxa"/>
            <w:tcBorders>
              <w:top w:val="nil"/>
              <w:left w:val="nil"/>
              <w:bottom w:val="nil"/>
              <w:right w:val="single" w:sz="4" w:space="0" w:color="auto"/>
            </w:tcBorders>
            <w:shd w:val="clear" w:color="000000" w:fill="D9D9D9"/>
            <w:noWrap/>
            <w:vAlign w:val="bottom"/>
            <w:hideMark/>
          </w:tcPr>
          <w:p w14:paraId="328A3E2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7C7F4D0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3ABC320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60D93BC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08D7CC7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59CCA6E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1B2C07C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81" w:type="dxa"/>
            <w:tcBorders>
              <w:top w:val="nil"/>
              <w:left w:val="nil"/>
              <w:bottom w:val="nil"/>
              <w:right w:val="single" w:sz="4" w:space="0" w:color="auto"/>
            </w:tcBorders>
            <w:shd w:val="clear" w:color="000000" w:fill="D9D9D9"/>
            <w:noWrap/>
            <w:vAlign w:val="bottom"/>
            <w:hideMark/>
          </w:tcPr>
          <w:p w14:paraId="0332E33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524375D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34328" w:rsidRPr="007C4EA7" w14:paraId="7E97402C"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0467132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Luxembourg</w:t>
            </w:r>
          </w:p>
        </w:tc>
        <w:tc>
          <w:tcPr>
            <w:tcW w:w="2966" w:type="dxa"/>
            <w:tcBorders>
              <w:top w:val="nil"/>
              <w:left w:val="nil"/>
              <w:bottom w:val="nil"/>
              <w:right w:val="single" w:sz="4" w:space="0" w:color="auto"/>
            </w:tcBorders>
            <w:shd w:val="clear" w:color="auto" w:fill="auto"/>
            <w:noWrap/>
            <w:vAlign w:val="bottom"/>
            <w:hideMark/>
          </w:tcPr>
          <w:p w14:paraId="01573A7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LU-SYSTEM1</w:t>
            </w:r>
          </w:p>
        </w:tc>
        <w:tc>
          <w:tcPr>
            <w:tcW w:w="575" w:type="dxa"/>
            <w:tcBorders>
              <w:top w:val="nil"/>
              <w:left w:val="nil"/>
              <w:bottom w:val="nil"/>
              <w:right w:val="single" w:sz="4" w:space="0" w:color="auto"/>
            </w:tcBorders>
            <w:shd w:val="clear" w:color="auto" w:fill="auto"/>
            <w:noWrap/>
            <w:vAlign w:val="bottom"/>
            <w:hideMark/>
          </w:tcPr>
          <w:p w14:paraId="0A6B483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50BD99F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14C910B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00925FC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0A71D481" w14:textId="63D2BF34" w:rsidR="000F765E" w:rsidRPr="00AB5D29" w:rsidRDefault="00B1708B"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4BF1FF9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1DE798C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81" w:type="dxa"/>
            <w:tcBorders>
              <w:top w:val="nil"/>
              <w:left w:val="nil"/>
              <w:bottom w:val="nil"/>
              <w:right w:val="single" w:sz="4" w:space="0" w:color="auto"/>
            </w:tcBorders>
            <w:shd w:val="clear" w:color="auto" w:fill="auto"/>
            <w:noWrap/>
            <w:vAlign w:val="bottom"/>
            <w:hideMark/>
          </w:tcPr>
          <w:p w14:paraId="58DC62E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auto" w:fill="auto"/>
            <w:noWrap/>
            <w:vAlign w:val="bottom"/>
            <w:hideMark/>
          </w:tcPr>
          <w:p w14:paraId="19CA3D1D" w14:textId="38BBE212"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w:t>
            </w:r>
            <w:r w:rsidR="00B1708B" w:rsidRPr="00AB5D29">
              <w:rPr>
                <w:rFonts w:eastAsia="Times New Roman" w:cs="Tahoma"/>
                <w:sz w:val="14"/>
                <w:szCs w:val="14"/>
                <w:lang w:eastAsia="en-GB"/>
              </w:rPr>
              <w:t>18</w:t>
            </w:r>
          </w:p>
        </w:tc>
      </w:tr>
      <w:tr w:rsidR="000C12BF" w:rsidRPr="007C4EA7" w14:paraId="4F6985EB"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0B85D27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Malta</w:t>
            </w:r>
          </w:p>
        </w:tc>
        <w:tc>
          <w:tcPr>
            <w:tcW w:w="2966" w:type="dxa"/>
            <w:tcBorders>
              <w:top w:val="nil"/>
              <w:left w:val="nil"/>
              <w:bottom w:val="nil"/>
              <w:right w:val="single" w:sz="4" w:space="0" w:color="auto"/>
            </w:tcBorders>
            <w:shd w:val="clear" w:color="000000" w:fill="D9D9D9"/>
            <w:noWrap/>
            <w:vAlign w:val="bottom"/>
            <w:hideMark/>
          </w:tcPr>
          <w:p w14:paraId="27E9050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MT-DISEASE_SURVEILLANCE</w:t>
            </w:r>
          </w:p>
        </w:tc>
        <w:tc>
          <w:tcPr>
            <w:tcW w:w="575" w:type="dxa"/>
            <w:tcBorders>
              <w:top w:val="nil"/>
              <w:left w:val="nil"/>
              <w:bottom w:val="nil"/>
              <w:right w:val="single" w:sz="4" w:space="0" w:color="auto"/>
            </w:tcBorders>
            <w:shd w:val="clear" w:color="000000" w:fill="D9D9D9"/>
            <w:noWrap/>
            <w:vAlign w:val="bottom"/>
            <w:hideMark/>
          </w:tcPr>
          <w:p w14:paraId="31722AB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03DE8F0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0C217E0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7BED53E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5AB95C1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140F237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23D16EA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000000" w:fill="D9D9D9"/>
            <w:noWrap/>
            <w:vAlign w:val="bottom"/>
            <w:hideMark/>
          </w:tcPr>
          <w:p w14:paraId="348E699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1339" w:type="dxa"/>
            <w:tcBorders>
              <w:top w:val="nil"/>
              <w:left w:val="nil"/>
              <w:bottom w:val="nil"/>
              <w:right w:val="single" w:sz="4" w:space="0" w:color="000000"/>
            </w:tcBorders>
            <w:shd w:val="clear" w:color="000000" w:fill="D9D9D9"/>
            <w:noWrap/>
            <w:vAlign w:val="bottom"/>
            <w:hideMark/>
          </w:tcPr>
          <w:p w14:paraId="567486F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34328" w:rsidRPr="007C4EA7" w14:paraId="46A58156"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1E43755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Netherlands</w:t>
            </w:r>
          </w:p>
        </w:tc>
        <w:tc>
          <w:tcPr>
            <w:tcW w:w="2966" w:type="dxa"/>
            <w:tcBorders>
              <w:top w:val="nil"/>
              <w:left w:val="nil"/>
              <w:bottom w:val="nil"/>
              <w:right w:val="single" w:sz="4" w:space="0" w:color="auto"/>
            </w:tcBorders>
            <w:shd w:val="clear" w:color="auto" w:fill="auto"/>
            <w:noWrap/>
            <w:vAlign w:val="bottom"/>
            <w:hideMark/>
          </w:tcPr>
          <w:p w14:paraId="1CF8825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NL-OSIRIS</w:t>
            </w:r>
          </w:p>
        </w:tc>
        <w:tc>
          <w:tcPr>
            <w:tcW w:w="575" w:type="dxa"/>
            <w:tcBorders>
              <w:top w:val="nil"/>
              <w:left w:val="nil"/>
              <w:bottom w:val="nil"/>
              <w:right w:val="single" w:sz="4" w:space="0" w:color="auto"/>
            </w:tcBorders>
            <w:shd w:val="clear" w:color="auto" w:fill="auto"/>
            <w:noWrap/>
            <w:vAlign w:val="bottom"/>
            <w:hideMark/>
          </w:tcPr>
          <w:p w14:paraId="04AC016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55BE3A5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7DD1BDE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726E2E2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07ECE6F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2666052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32E1489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81" w:type="dxa"/>
            <w:tcBorders>
              <w:top w:val="nil"/>
              <w:left w:val="nil"/>
              <w:bottom w:val="nil"/>
              <w:right w:val="single" w:sz="4" w:space="0" w:color="auto"/>
            </w:tcBorders>
            <w:shd w:val="clear" w:color="auto" w:fill="auto"/>
            <w:noWrap/>
            <w:vAlign w:val="bottom"/>
            <w:hideMark/>
          </w:tcPr>
          <w:p w14:paraId="07AAC05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auto" w:fill="auto"/>
            <w:noWrap/>
            <w:vAlign w:val="bottom"/>
            <w:hideMark/>
          </w:tcPr>
          <w:p w14:paraId="3CA2A520" w14:textId="1EC89C48"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w:t>
            </w:r>
            <w:r w:rsidR="00936B31">
              <w:rPr>
                <w:rFonts w:eastAsia="Times New Roman" w:cs="Tahoma"/>
                <w:sz w:val="14"/>
                <w:szCs w:val="14"/>
                <w:lang w:eastAsia="en-GB"/>
              </w:rPr>
              <w:t>1</w:t>
            </w:r>
            <w:r w:rsidRPr="00AB5D29">
              <w:rPr>
                <w:rFonts w:eastAsia="Times New Roman" w:cs="Tahoma"/>
                <w:sz w:val="14"/>
                <w:szCs w:val="14"/>
                <w:lang w:eastAsia="en-GB"/>
              </w:rPr>
              <w:t>8</w:t>
            </w:r>
          </w:p>
        </w:tc>
      </w:tr>
      <w:tr w:rsidR="000C12BF" w:rsidRPr="007C4EA7" w14:paraId="35B2C1A3"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565F895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Norway</w:t>
            </w:r>
          </w:p>
        </w:tc>
        <w:tc>
          <w:tcPr>
            <w:tcW w:w="2966" w:type="dxa"/>
            <w:tcBorders>
              <w:top w:val="nil"/>
              <w:left w:val="nil"/>
              <w:bottom w:val="nil"/>
              <w:right w:val="single" w:sz="4" w:space="0" w:color="auto"/>
            </w:tcBorders>
            <w:shd w:val="clear" w:color="000000" w:fill="D9D9D9"/>
            <w:noWrap/>
            <w:vAlign w:val="bottom"/>
            <w:hideMark/>
          </w:tcPr>
          <w:p w14:paraId="2A25E62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NO-MSIS_A</w:t>
            </w:r>
          </w:p>
        </w:tc>
        <w:tc>
          <w:tcPr>
            <w:tcW w:w="575" w:type="dxa"/>
            <w:tcBorders>
              <w:top w:val="nil"/>
              <w:left w:val="nil"/>
              <w:bottom w:val="nil"/>
              <w:right w:val="single" w:sz="4" w:space="0" w:color="auto"/>
            </w:tcBorders>
            <w:shd w:val="clear" w:color="000000" w:fill="D9D9D9"/>
            <w:noWrap/>
            <w:vAlign w:val="bottom"/>
            <w:hideMark/>
          </w:tcPr>
          <w:p w14:paraId="0AFACAB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5240C8C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1A63F18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0736BE5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5A2FC1D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752CAA4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4D8D36B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000000" w:fill="D9D9D9"/>
            <w:noWrap/>
            <w:vAlign w:val="bottom"/>
            <w:hideMark/>
          </w:tcPr>
          <w:p w14:paraId="3D78EAE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62D8E41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34328" w:rsidRPr="007C4EA7" w14:paraId="2C56AF2B"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25BB530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Poland</w:t>
            </w:r>
          </w:p>
        </w:tc>
        <w:tc>
          <w:tcPr>
            <w:tcW w:w="2966" w:type="dxa"/>
            <w:tcBorders>
              <w:top w:val="nil"/>
              <w:left w:val="nil"/>
              <w:bottom w:val="nil"/>
              <w:right w:val="single" w:sz="4" w:space="0" w:color="auto"/>
            </w:tcBorders>
            <w:shd w:val="clear" w:color="auto" w:fill="auto"/>
            <w:noWrap/>
            <w:vAlign w:val="bottom"/>
            <w:hideMark/>
          </w:tcPr>
          <w:p w14:paraId="1E6DBC1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PL-NATIONAL_SURVEILLANCE</w:t>
            </w:r>
          </w:p>
        </w:tc>
        <w:tc>
          <w:tcPr>
            <w:tcW w:w="575" w:type="dxa"/>
            <w:tcBorders>
              <w:top w:val="nil"/>
              <w:left w:val="nil"/>
              <w:bottom w:val="nil"/>
              <w:right w:val="single" w:sz="4" w:space="0" w:color="auto"/>
            </w:tcBorders>
            <w:shd w:val="clear" w:color="auto" w:fill="auto"/>
            <w:noWrap/>
            <w:vAlign w:val="bottom"/>
            <w:hideMark/>
          </w:tcPr>
          <w:p w14:paraId="72D68CA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2BE001D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4BB3A77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462B6A1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0A91347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7F95AF3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2C6F947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4FA0729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auto" w:fill="auto"/>
            <w:noWrap/>
            <w:vAlign w:val="bottom"/>
            <w:hideMark/>
          </w:tcPr>
          <w:p w14:paraId="5958523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EU-2008</w:t>
            </w:r>
          </w:p>
        </w:tc>
      </w:tr>
      <w:tr w:rsidR="000C12BF" w:rsidRPr="007C4EA7" w14:paraId="6D56CB16"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148ADE6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Portugal</w:t>
            </w:r>
          </w:p>
        </w:tc>
        <w:tc>
          <w:tcPr>
            <w:tcW w:w="2966" w:type="dxa"/>
            <w:tcBorders>
              <w:top w:val="nil"/>
              <w:left w:val="nil"/>
              <w:bottom w:val="nil"/>
              <w:right w:val="single" w:sz="4" w:space="0" w:color="auto"/>
            </w:tcBorders>
            <w:shd w:val="clear" w:color="000000" w:fill="D9D9D9"/>
            <w:noWrap/>
            <w:vAlign w:val="bottom"/>
            <w:hideMark/>
          </w:tcPr>
          <w:p w14:paraId="2E8246A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PT-ANTRAX</w:t>
            </w:r>
          </w:p>
        </w:tc>
        <w:tc>
          <w:tcPr>
            <w:tcW w:w="575" w:type="dxa"/>
            <w:tcBorders>
              <w:top w:val="nil"/>
              <w:left w:val="nil"/>
              <w:bottom w:val="nil"/>
              <w:right w:val="single" w:sz="4" w:space="0" w:color="auto"/>
            </w:tcBorders>
            <w:shd w:val="clear" w:color="000000" w:fill="D9D9D9"/>
            <w:noWrap/>
            <w:vAlign w:val="bottom"/>
            <w:hideMark/>
          </w:tcPr>
          <w:p w14:paraId="56DDEBA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1AA573B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58548FAA" w14:textId="087CD6BD" w:rsidR="000F765E" w:rsidRPr="00AB5D29" w:rsidRDefault="000A1F3D"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3F184D5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225BE19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w:t>
            </w:r>
          </w:p>
        </w:tc>
        <w:tc>
          <w:tcPr>
            <w:tcW w:w="575" w:type="dxa"/>
            <w:tcBorders>
              <w:top w:val="nil"/>
              <w:left w:val="nil"/>
              <w:bottom w:val="nil"/>
              <w:right w:val="single" w:sz="4" w:space="0" w:color="auto"/>
            </w:tcBorders>
            <w:shd w:val="clear" w:color="000000" w:fill="D9D9D9"/>
            <w:noWrap/>
            <w:vAlign w:val="bottom"/>
            <w:hideMark/>
          </w:tcPr>
          <w:p w14:paraId="39EB2A2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0DBD56D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81" w:type="dxa"/>
            <w:tcBorders>
              <w:top w:val="nil"/>
              <w:left w:val="nil"/>
              <w:bottom w:val="nil"/>
              <w:right w:val="single" w:sz="4" w:space="0" w:color="auto"/>
            </w:tcBorders>
            <w:shd w:val="clear" w:color="000000" w:fill="D9D9D9"/>
            <w:noWrap/>
            <w:vAlign w:val="bottom"/>
            <w:hideMark/>
          </w:tcPr>
          <w:p w14:paraId="33B937D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639F323A" w14:textId="4497CE6C"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w:t>
            </w:r>
            <w:r w:rsidR="00E02C3B" w:rsidRPr="00AB5D29">
              <w:rPr>
                <w:rFonts w:eastAsia="Times New Roman" w:cs="Tahoma"/>
                <w:sz w:val="14"/>
                <w:szCs w:val="14"/>
                <w:lang w:eastAsia="en-GB"/>
              </w:rPr>
              <w:t>8</w:t>
            </w:r>
          </w:p>
        </w:tc>
      </w:tr>
      <w:tr w:rsidR="00034328" w:rsidRPr="007C4EA7" w14:paraId="627A9BCE"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35B9FA0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Romania</w:t>
            </w:r>
          </w:p>
        </w:tc>
        <w:tc>
          <w:tcPr>
            <w:tcW w:w="2966" w:type="dxa"/>
            <w:tcBorders>
              <w:top w:val="nil"/>
              <w:left w:val="nil"/>
              <w:bottom w:val="nil"/>
              <w:right w:val="single" w:sz="4" w:space="0" w:color="auto"/>
            </w:tcBorders>
            <w:shd w:val="clear" w:color="auto" w:fill="auto"/>
            <w:noWrap/>
            <w:vAlign w:val="bottom"/>
            <w:hideMark/>
          </w:tcPr>
          <w:p w14:paraId="3ABA0C9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RO-</w:t>
            </w:r>
            <w:proofErr w:type="spellStart"/>
            <w:r w:rsidRPr="00AB5D29">
              <w:rPr>
                <w:rFonts w:eastAsia="Times New Roman" w:cs="Tahoma"/>
                <w:sz w:val="14"/>
                <w:szCs w:val="14"/>
                <w:lang w:eastAsia="en-GB"/>
              </w:rPr>
              <w:t>RNSSy</w:t>
            </w:r>
            <w:proofErr w:type="spellEnd"/>
          </w:p>
        </w:tc>
        <w:tc>
          <w:tcPr>
            <w:tcW w:w="575" w:type="dxa"/>
            <w:tcBorders>
              <w:top w:val="nil"/>
              <w:left w:val="nil"/>
              <w:bottom w:val="nil"/>
              <w:right w:val="single" w:sz="4" w:space="0" w:color="auto"/>
            </w:tcBorders>
            <w:shd w:val="clear" w:color="auto" w:fill="auto"/>
            <w:noWrap/>
            <w:vAlign w:val="bottom"/>
            <w:hideMark/>
          </w:tcPr>
          <w:p w14:paraId="0E8247EA"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370D98E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1FB0896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5294DF7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344D629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75" w:type="dxa"/>
            <w:tcBorders>
              <w:top w:val="nil"/>
              <w:left w:val="nil"/>
              <w:bottom w:val="nil"/>
              <w:right w:val="single" w:sz="4" w:space="0" w:color="auto"/>
            </w:tcBorders>
            <w:shd w:val="clear" w:color="auto" w:fill="auto"/>
            <w:noWrap/>
            <w:vAlign w:val="bottom"/>
            <w:hideMark/>
          </w:tcPr>
          <w:p w14:paraId="17CB576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75" w:type="dxa"/>
            <w:tcBorders>
              <w:top w:val="nil"/>
              <w:left w:val="nil"/>
              <w:bottom w:val="nil"/>
              <w:right w:val="single" w:sz="4" w:space="0" w:color="auto"/>
            </w:tcBorders>
            <w:shd w:val="clear" w:color="auto" w:fill="auto"/>
            <w:noWrap/>
            <w:vAlign w:val="bottom"/>
            <w:hideMark/>
          </w:tcPr>
          <w:p w14:paraId="6EE5C90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005D5ED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auto" w:fill="auto"/>
            <w:noWrap/>
            <w:vAlign w:val="bottom"/>
            <w:hideMark/>
          </w:tcPr>
          <w:p w14:paraId="190B52F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C12BF" w:rsidRPr="007C4EA7" w14:paraId="35F9CAEC"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14B8206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Slovakia</w:t>
            </w:r>
          </w:p>
        </w:tc>
        <w:tc>
          <w:tcPr>
            <w:tcW w:w="2966" w:type="dxa"/>
            <w:tcBorders>
              <w:top w:val="nil"/>
              <w:left w:val="nil"/>
              <w:bottom w:val="nil"/>
              <w:right w:val="single" w:sz="4" w:space="0" w:color="auto"/>
            </w:tcBorders>
            <w:shd w:val="clear" w:color="000000" w:fill="D9D9D9"/>
            <w:noWrap/>
            <w:vAlign w:val="bottom"/>
            <w:hideMark/>
          </w:tcPr>
          <w:p w14:paraId="76BF26E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SK-EPIS</w:t>
            </w:r>
          </w:p>
        </w:tc>
        <w:tc>
          <w:tcPr>
            <w:tcW w:w="575" w:type="dxa"/>
            <w:tcBorders>
              <w:top w:val="nil"/>
              <w:left w:val="nil"/>
              <w:bottom w:val="nil"/>
              <w:right w:val="single" w:sz="4" w:space="0" w:color="auto"/>
            </w:tcBorders>
            <w:shd w:val="clear" w:color="000000" w:fill="D9D9D9"/>
            <w:noWrap/>
            <w:vAlign w:val="bottom"/>
            <w:hideMark/>
          </w:tcPr>
          <w:p w14:paraId="1E43EA1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2E79735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0449ABE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A</w:t>
            </w:r>
          </w:p>
        </w:tc>
        <w:tc>
          <w:tcPr>
            <w:tcW w:w="575" w:type="dxa"/>
            <w:tcBorders>
              <w:top w:val="nil"/>
              <w:left w:val="nil"/>
              <w:bottom w:val="nil"/>
              <w:right w:val="single" w:sz="4" w:space="0" w:color="auto"/>
            </w:tcBorders>
            <w:shd w:val="clear" w:color="000000" w:fill="D9D9D9"/>
            <w:noWrap/>
            <w:vAlign w:val="bottom"/>
            <w:hideMark/>
          </w:tcPr>
          <w:p w14:paraId="1955006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6CFD6BC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511D5F07"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6ED37B5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000000" w:fill="D9D9D9"/>
            <w:noWrap/>
            <w:vAlign w:val="bottom"/>
            <w:hideMark/>
          </w:tcPr>
          <w:p w14:paraId="4230873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5AC0EABA" w14:textId="3846D632"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w:t>
            </w:r>
            <w:r w:rsidR="00590127" w:rsidRPr="00AB5D29">
              <w:rPr>
                <w:rFonts w:eastAsia="Times New Roman" w:cs="Tahoma"/>
                <w:sz w:val="14"/>
                <w:szCs w:val="14"/>
                <w:lang w:eastAsia="en-GB"/>
              </w:rPr>
              <w:t>8</w:t>
            </w:r>
          </w:p>
        </w:tc>
      </w:tr>
      <w:tr w:rsidR="00034328" w:rsidRPr="007C4EA7" w14:paraId="4ABF7DA9" w14:textId="77777777" w:rsidTr="00034328">
        <w:trPr>
          <w:trHeight w:val="230"/>
        </w:trPr>
        <w:tc>
          <w:tcPr>
            <w:tcW w:w="1140" w:type="dxa"/>
            <w:tcBorders>
              <w:top w:val="nil"/>
              <w:left w:val="single" w:sz="4" w:space="0" w:color="000000"/>
              <w:bottom w:val="nil"/>
              <w:right w:val="single" w:sz="4" w:space="0" w:color="auto"/>
            </w:tcBorders>
            <w:shd w:val="clear" w:color="auto" w:fill="auto"/>
            <w:noWrap/>
            <w:vAlign w:val="bottom"/>
            <w:hideMark/>
          </w:tcPr>
          <w:p w14:paraId="4AEA820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Slovenia</w:t>
            </w:r>
          </w:p>
        </w:tc>
        <w:tc>
          <w:tcPr>
            <w:tcW w:w="2966" w:type="dxa"/>
            <w:tcBorders>
              <w:top w:val="nil"/>
              <w:left w:val="nil"/>
              <w:bottom w:val="nil"/>
              <w:right w:val="single" w:sz="4" w:space="0" w:color="auto"/>
            </w:tcBorders>
            <w:shd w:val="clear" w:color="auto" w:fill="auto"/>
            <w:noWrap/>
            <w:vAlign w:val="bottom"/>
            <w:hideMark/>
          </w:tcPr>
          <w:p w14:paraId="218BD6A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SI-SURVIVAL</w:t>
            </w:r>
          </w:p>
        </w:tc>
        <w:tc>
          <w:tcPr>
            <w:tcW w:w="575" w:type="dxa"/>
            <w:tcBorders>
              <w:top w:val="nil"/>
              <w:left w:val="nil"/>
              <w:bottom w:val="nil"/>
              <w:right w:val="single" w:sz="4" w:space="0" w:color="auto"/>
            </w:tcBorders>
            <w:shd w:val="clear" w:color="auto" w:fill="auto"/>
            <w:noWrap/>
            <w:vAlign w:val="bottom"/>
            <w:hideMark/>
          </w:tcPr>
          <w:p w14:paraId="0CB7C6A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auto" w:fill="auto"/>
            <w:noWrap/>
            <w:vAlign w:val="bottom"/>
            <w:hideMark/>
          </w:tcPr>
          <w:p w14:paraId="014BB3CF"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auto" w:fill="auto"/>
            <w:noWrap/>
            <w:vAlign w:val="bottom"/>
            <w:hideMark/>
          </w:tcPr>
          <w:p w14:paraId="503DAAD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auto" w:fill="auto"/>
            <w:noWrap/>
            <w:vAlign w:val="bottom"/>
            <w:hideMark/>
          </w:tcPr>
          <w:p w14:paraId="68D0057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auto" w:fill="auto"/>
            <w:noWrap/>
            <w:vAlign w:val="bottom"/>
            <w:hideMark/>
          </w:tcPr>
          <w:p w14:paraId="0F6ED292"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2990D5D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auto" w:fill="auto"/>
            <w:noWrap/>
            <w:vAlign w:val="bottom"/>
            <w:hideMark/>
          </w:tcPr>
          <w:p w14:paraId="3467CEA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auto" w:fill="auto"/>
            <w:noWrap/>
            <w:vAlign w:val="bottom"/>
            <w:hideMark/>
          </w:tcPr>
          <w:p w14:paraId="0D6EBB3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auto" w:fill="auto"/>
            <w:noWrap/>
            <w:vAlign w:val="bottom"/>
            <w:hideMark/>
          </w:tcPr>
          <w:p w14:paraId="6C105CA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EU-2008</w:t>
            </w:r>
          </w:p>
        </w:tc>
      </w:tr>
      <w:tr w:rsidR="000C12BF" w:rsidRPr="007C4EA7" w14:paraId="6192F907" w14:textId="77777777" w:rsidTr="00034328">
        <w:trPr>
          <w:trHeight w:val="230"/>
        </w:trPr>
        <w:tc>
          <w:tcPr>
            <w:tcW w:w="1140" w:type="dxa"/>
            <w:tcBorders>
              <w:top w:val="nil"/>
              <w:left w:val="single" w:sz="4" w:space="0" w:color="000000"/>
              <w:bottom w:val="nil"/>
              <w:right w:val="single" w:sz="4" w:space="0" w:color="auto"/>
            </w:tcBorders>
            <w:shd w:val="clear" w:color="000000" w:fill="D9D9D9"/>
            <w:noWrap/>
            <w:vAlign w:val="bottom"/>
            <w:hideMark/>
          </w:tcPr>
          <w:p w14:paraId="2F44942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Spain</w:t>
            </w:r>
          </w:p>
        </w:tc>
        <w:tc>
          <w:tcPr>
            <w:tcW w:w="2966" w:type="dxa"/>
            <w:tcBorders>
              <w:top w:val="nil"/>
              <w:left w:val="nil"/>
              <w:bottom w:val="nil"/>
              <w:right w:val="single" w:sz="4" w:space="0" w:color="auto"/>
            </w:tcBorders>
            <w:shd w:val="clear" w:color="000000" w:fill="D9D9D9"/>
            <w:noWrap/>
            <w:vAlign w:val="bottom"/>
            <w:hideMark/>
          </w:tcPr>
          <w:p w14:paraId="74F3D11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ES-STATUTORY_DISEASES</w:t>
            </w:r>
          </w:p>
        </w:tc>
        <w:tc>
          <w:tcPr>
            <w:tcW w:w="575" w:type="dxa"/>
            <w:tcBorders>
              <w:top w:val="nil"/>
              <w:left w:val="nil"/>
              <w:bottom w:val="nil"/>
              <w:right w:val="single" w:sz="4" w:space="0" w:color="auto"/>
            </w:tcBorders>
            <w:shd w:val="clear" w:color="000000" w:fill="D9D9D9"/>
            <w:noWrap/>
            <w:vAlign w:val="bottom"/>
            <w:hideMark/>
          </w:tcPr>
          <w:p w14:paraId="48A9390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nil"/>
              <w:right w:val="single" w:sz="4" w:space="0" w:color="auto"/>
            </w:tcBorders>
            <w:shd w:val="clear" w:color="000000" w:fill="D9D9D9"/>
            <w:noWrap/>
            <w:vAlign w:val="bottom"/>
            <w:hideMark/>
          </w:tcPr>
          <w:p w14:paraId="1EFE452C"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nil"/>
              <w:right w:val="single" w:sz="4" w:space="0" w:color="auto"/>
            </w:tcBorders>
            <w:shd w:val="clear" w:color="000000" w:fill="D9D9D9"/>
            <w:noWrap/>
            <w:vAlign w:val="bottom"/>
            <w:hideMark/>
          </w:tcPr>
          <w:p w14:paraId="1BB06B3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nil"/>
              <w:right w:val="single" w:sz="4" w:space="0" w:color="auto"/>
            </w:tcBorders>
            <w:shd w:val="clear" w:color="000000" w:fill="D9D9D9"/>
            <w:noWrap/>
            <w:vAlign w:val="bottom"/>
            <w:hideMark/>
          </w:tcPr>
          <w:p w14:paraId="5A0E3310"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nil"/>
              <w:right w:val="single" w:sz="4" w:space="0" w:color="auto"/>
            </w:tcBorders>
            <w:shd w:val="clear" w:color="000000" w:fill="D9D9D9"/>
            <w:noWrap/>
            <w:vAlign w:val="bottom"/>
            <w:hideMark/>
          </w:tcPr>
          <w:p w14:paraId="6DC9BFFB"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6FD6F1D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nil"/>
              <w:right w:val="single" w:sz="4" w:space="0" w:color="auto"/>
            </w:tcBorders>
            <w:shd w:val="clear" w:color="000000" w:fill="D9D9D9"/>
            <w:noWrap/>
            <w:vAlign w:val="bottom"/>
            <w:hideMark/>
          </w:tcPr>
          <w:p w14:paraId="240900CE"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81" w:type="dxa"/>
            <w:tcBorders>
              <w:top w:val="nil"/>
              <w:left w:val="nil"/>
              <w:bottom w:val="nil"/>
              <w:right w:val="single" w:sz="4" w:space="0" w:color="auto"/>
            </w:tcBorders>
            <w:shd w:val="clear" w:color="000000" w:fill="D9D9D9"/>
            <w:noWrap/>
            <w:vAlign w:val="bottom"/>
            <w:hideMark/>
          </w:tcPr>
          <w:p w14:paraId="087092C4"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nil"/>
              <w:right w:val="single" w:sz="4" w:space="0" w:color="000000"/>
            </w:tcBorders>
            <w:shd w:val="clear" w:color="000000" w:fill="D9D9D9"/>
            <w:noWrap/>
            <w:vAlign w:val="bottom"/>
            <w:hideMark/>
          </w:tcPr>
          <w:p w14:paraId="61BB17F5"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EU-2018</w:t>
            </w:r>
          </w:p>
        </w:tc>
      </w:tr>
      <w:tr w:rsidR="00034328" w:rsidRPr="007C4EA7" w14:paraId="499B22A7" w14:textId="77777777" w:rsidTr="00034328">
        <w:trPr>
          <w:trHeight w:val="230"/>
        </w:trPr>
        <w:tc>
          <w:tcPr>
            <w:tcW w:w="1140" w:type="dxa"/>
            <w:tcBorders>
              <w:top w:val="nil"/>
              <w:left w:val="single" w:sz="4" w:space="0" w:color="000000"/>
              <w:bottom w:val="single" w:sz="4" w:space="0" w:color="000000"/>
              <w:right w:val="single" w:sz="4" w:space="0" w:color="auto"/>
            </w:tcBorders>
            <w:shd w:val="clear" w:color="auto" w:fill="auto"/>
            <w:noWrap/>
            <w:vAlign w:val="bottom"/>
            <w:hideMark/>
          </w:tcPr>
          <w:p w14:paraId="5E68786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Sweden</w:t>
            </w:r>
          </w:p>
        </w:tc>
        <w:tc>
          <w:tcPr>
            <w:tcW w:w="2966" w:type="dxa"/>
            <w:tcBorders>
              <w:top w:val="nil"/>
              <w:left w:val="nil"/>
              <w:bottom w:val="single" w:sz="4" w:space="0" w:color="000000"/>
              <w:right w:val="single" w:sz="4" w:space="0" w:color="auto"/>
            </w:tcBorders>
            <w:shd w:val="clear" w:color="auto" w:fill="auto"/>
            <w:noWrap/>
            <w:vAlign w:val="bottom"/>
            <w:hideMark/>
          </w:tcPr>
          <w:p w14:paraId="68DEFE3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SE-SMINET</w:t>
            </w:r>
          </w:p>
        </w:tc>
        <w:tc>
          <w:tcPr>
            <w:tcW w:w="575" w:type="dxa"/>
            <w:tcBorders>
              <w:top w:val="nil"/>
              <w:left w:val="nil"/>
              <w:bottom w:val="single" w:sz="4" w:space="0" w:color="000000"/>
              <w:right w:val="single" w:sz="4" w:space="0" w:color="auto"/>
            </w:tcBorders>
            <w:shd w:val="clear" w:color="auto" w:fill="auto"/>
            <w:noWrap/>
            <w:vAlign w:val="bottom"/>
            <w:hideMark/>
          </w:tcPr>
          <w:p w14:paraId="4DCBBA8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Cp</w:t>
            </w:r>
          </w:p>
        </w:tc>
        <w:tc>
          <w:tcPr>
            <w:tcW w:w="575" w:type="dxa"/>
            <w:tcBorders>
              <w:top w:val="nil"/>
              <w:left w:val="nil"/>
              <w:bottom w:val="single" w:sz="4" w:space="0" w:color="000000"/>
              <w:right w:val="single" w:sz="4" w:space="0" w:color="auto"/>
            </w:tcBorders>
            <w:shd w:val="clear" w:color="auto" w:fill="auto"/>
            <w:noWrap/>
            <w:vAlign w:val="bottom"/>
            <w:hideMark/>
          </w:tcPr>
          <w:p w14:paraId="1BBED2F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Co</w:t>
            </w:r>
          </w:p>
        </w:tc>
        <w:tc>
          <w:tcPr>
            <w:tcW w:w="575" w:type="dxa"/>
            <w:tcBorders>
              <w:top w:val="nil"/>
              <w:left w:val="nil"/>
              <w:bottom w:val="single" w:sz="4" w:space="0" w:color="000000"/>
              <w:right w:val="single" w:sz="4" w:space="0" w:color="auto"/>
            </w:tcBorders>
            <w:shd w:val="clear" w:color="auto" w:fill="auto"/>
            <w:noWrap/>
            <w:vAlign w:val="bottom"/>
            <w:hideMark/>
          </w:tcPr>
          <w:p w14:paraId="02B0EB83"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P</w:t>
            </w:r>
          </w:p>
        </w:tc>
        <w:tc>
          <w:tcPr>
            <w:tcW w:w="575" w:type="dxa"/>
            <w:tcBorders>
              <w:top w:val="nil"/>
              <w:left w:val="nil"/>
              <w:bottom w:val="single" w:sz="4" w:space="0" w:color="000000"/>
              <w:right w:val="single" w:sz="4" w:space="0" w:color="auto"/>
            </w:tcBorders>
            <w:shd w:val="clear" w:color="auto" w:fill="auto"/>
            <w:noWrap/>
            <w:vAlign w:val="bottom"/>
            <w:hideMark/>
          </w:tcPr>
          <w:p w14:paraId="5847AB86"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C</w:t>
            </w:r>
          </w:p>
        </w:tc>
        <w:tc>
          <w:tcPr>
            <w:tcW w:w="575" w:type="dxa"/>
            <w:tcBorders>
              <w:top w:val="nil"/>
              <w:left w:val="nil"/>
              <w:bottom w:val="single" w:sz="4" w:space="0" w:color="000000"/>
              <w:right w:val="single" w:sz="4" w:space="0" w:color="auto"/>
            </w:tcBorders>
            <w:shd w:val="clear" w:color="auto" w:fill="auto"/>
            <w:noWrap/>
            <w:vAlign w:val="bottom"/>
            <w:hideMark/>
          </w:tcPr>
          <w:p w14:paraId="508C1098"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single" w:sz="4" w:space="0" w:color="000000"/>
              <w:right w:val="single" w:sz="4" w:space="0" w:color="auto"/>
            </w:tcBorders>
            <w:shd w:val="clear" w:color="auto" w:fill="auto"/>
            <w:noWrap/>
            <w:vAlign w:val="bottom"/>
            <w:hideMark/>
          </w:tcPr>
          <w:p w14:paraId="28656AB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Y</w:t>
            </w:r>
          </w:p>
        </w:tc>
        <w:tc>
          <w:tcPr>
            <w:tcW w:w="575" w:type="dxa"/>
            <w:tcBorders>
              <w:top w:val="nil"/>
              <w:left w:val="nil"/>
              <w:bottom w:val="single" w:sz="4" w:space="0" w:color="000000"/>
              <w:right w:val="single" w:sz="4" w:space="0" w:color="auto"/>
            </w:tcBorders>
            <w:shd w:val="clear" w:color="auto" w:fill="auto"/>
            <w:noWrap/>
            <w:vAlign w:val="bottom"/>
            <w:hideMark/>
          </w:tcPr>
          <w:p w14:paraId="55BAC91D"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581" w:type="dxa"/>
            <w:tcBorders>
              <w:top w:val="nil"/>
              <w:left w:val="nil"/>
              <w:bottom w:val="single" w:sz="4" w:space="0" w:color="000000"/>
              <w:right w:val="single" w:sz="4" w:space="0" w:color="auto"/>
            </w:tcBorders>
            <w:shd w:val="clear" w:color="auto" w:fill="auto"/>
            <w:noWrap/>
            <w:vAlign w:val="bottom"/>
            <w:hideMark/>
          </w:tcPr>
          <w:p w14:paraId="79C23BF1"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N</w:t>
            </w:r>
          </w:p>
        </w:tc>
        <w:tc>
          <w:tcPr>
            <w:tcW w:w="1339" w:type="dxa"/>
            <w:tcBorders>
              <w:top w:val="nil"/>
              <w:left w:val="nil"/>
              <w:bottom w:val="single" w:sz="4" w:space="0" w:color="000000"/>
              <w:right w:val="single" w:sz="4" w:space="0" w:color="000000"/>
            </w:tcBorders>
            <w:shd w:val="clear" w:color="auto" w:fill="auto"/>
            <w:noWrap/>
            <w:vAlign w:val="bottom"/>
            <w:hideMark/>
          </w:tcPr>
          <w:p w14:paraId="2B8287A9" w14:textId="77777777" w:rsidR="000F765E" w:rsidRPr="00AB5D29" w:rsidRDefault="000F765E" w:rsidP="00AF4AD6">
            <w:pPr>
              <w:spacing w:before="120" w:after="0"/>
              <w:rPr>
                <w:rFonts w:eastAsia="Times New Roman" w:cs="Tahoma"/>
                <w:sz w:val="14"/>
                <w:szCs w:val="14"/>
                <w:lang w:eastAsia="en-GB"/>
              </w:rPr>
            </w:pPr>
            <w:r w:rsidRPr="00AB5D29">
              <w:rPr>
                <w:rFonts w:eastAsia="Times New Roman" w:cs="Tahoma"/>
                <w:sz w:val="14"/>
                <w:szCs w:val="14"/>
                <w:lang w:eastAsia="en-GB"/>
              </w:rPr>
              <w:t>EU-2012</w:t>
            </w:r>
          </w:p>
        </w:tc>
      </w:tr>
    </w:tbl>
    <w:p w14:paraId="48441322" w14:textId="77777777" w:rsidR="00584F83" w:rsidRDefault="00584F83">
      <w:pPr>
        <w:rPr>
          <w:rFonts w:eastAsia="Batang" w:cs="Tahoma"/>
          <w:b/>
          <w:bCs/>
          <w:color w:val="69AE23"/>
          <w:sz w:val="30"/>
          <w:szCs w:val="30"/>
        </w:rPr>
      </w:pPr>
      <w:bookmarkStart w:id="3" w:name="_Toc127531816"/>
      <w:r>
        <w:br w:type="page"/>
      </w:r>
    </w:p>
    <w:p w14:paraId="234D4D12" w14:textId="768ADCC3" w:rsidR="004B523C" w:rsidRDefault="00FD2EF3" w:rsidP="009F5B73">
      <w:pPr>
        <w:pStyle w:val="EC-Title-5"/>
        <w:outlineLvl w:val="0"/>
        <w:rPr>
          <w:i/>
        </w:rPr>
      </w:pPr>
      <w:r>
        <w:lastRenderedPageBreak/>
        <w:t>Botulism</w:t>
      </w:r>
      <w:bookmarkEnd w:id="2"/>
      <w:bookmarkEnd w:id="3"/>
    </w:p>
    <w:p w14:paraId="3D99F735" w14:textId="0B49FE33" w:rsidR="00EE1F3C" w:rsidRPr="00A32FE1" w:rsidRDefault="00CB3144" w:rsidP="00EE1F3C">
      <w:pPr>
        <w:pStyle w:val="EC-Para"/>
        <w:jc w:val="right"/>
        <w:rPr>
          <w:b/>
          <w:lang w:eastAsia="en-US"/>
        </w:rPr>
      </w:pPr>
      <w:r>
        <w:rPr>
          <w:b/>
          <w:lang w:eastAsia="en-US"/>
        </w:rPr>
        <w:t>Last updated: 13 August 2024</w:t>
      </w:r>
    </w:p>
    <w:p w14:paraId="56AD8E1C" w14:textId="42D47918"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709DE96D" w14:textId="77777777" w:rsidR="0015034B" w:rsidRDefault="0015034B" w:rsidP="004B523C">
      <w:pPr>
        <w:pStyle w:val="EC-Para"/>
        <w:jc w:val="right"/>
        <w:rPr>
          <w:b/>
          <w:lang w:eastAsia="en-US"/>
        </w:rPr>
      </w:pPr>
    </w:p>
    <w:p w14:paraId="7919C2AB" w14:textId="752C2647" w:rsidR="004B523C" w:rsidRPr="003A5F3A" w:rsidRDefault="00FD2EF3" w:rsidP="003A5F3A">
      <w:pPr>
        <w:autoSpaceDE w:val="0"/>
        <w:autoSpaceDN w:val="0"/>
        <w:adjustRightInd w:val="0"/>
        <w:jc w:val="both"/>
        <w:rPr>
          <w:rFonts w:eastAsiaTheme="minorHAnsi" w:cs="Tahoma"/>
          <w:szCs w:val="18"/>
        </w:rPr>
      </w:pPr>
      <w:r w:rsidRPr="003A5F3A">
        <w:rPr>
          <w:rFonts w:cs="Tahoma"/>
          <w:color w:val="000000"/>
          <w:szCs w:val="18"/>
          <w:shd w:val="clear" w:color="auto" w:fill="FFFFFF"/>
        </w:rPr>
        <w:t xml:space="preserve">Botulism is a serious paralytic illness caused </w:t>
      </w:r>
      <w:r w:rsidR="002F09DE" w:rsidRPr="003610A5">
        <w:rPr>
          <w:rFonts w:cs="Tahoma"/>
          <w:color w:val="333333"/>
          <w:szCs w:val="18"/>
          <w:shd w:val="clear" w:color="auto" w:fill="FFFFFF"/>
        </w:rPr>
        <w:t>by a preformed nerve toxin produced</w:t>
      </w:r>
      <w:r w:rsidR="002F09DE" w:rsidRPr="003A5F3A" w:rsidDel="002F09DE">
        <w:rPr>
          <w:rFonts w:cs="Tahoma"/>
          <w:color w:val="000000"/>
          <w:szCs w:val="18"/>
          <w:shd w:val="clear" w:color="auto" w:fill="FFFFFF"/>
        </w:rPr>
        <w:t xml:space="preserve"> </w:t>
      </w:r>
      <w:r w:rsidR="002F09DE">
        <w:rPr>
          <w:rFonts w:eastAsiaTheme="minorHAnsi" w:cs="Tahoma"/>
          <w:szCs w:val="18"/>
        </w:rPr>
        <w:t xml:space="preserve">in </w:t>
      </w:r>
      <w:r w:rsidR="00663C7C">
        <w:rPr>
          <w:rFonts w:eastAsiaTheme="minorHAnsi" w:cs="Tahoma"/>
          <w:szCs w:val="18"/>
        </w:rPr>
        <w:t xml:space="preserve">most </w:t>
      </w:r>
      <w:r w:rsidR="002F09DE">
        <w:rPr>
          <w:rFonts w:eastAsiaTheme="minorHAnsi" w:cs="Tahoma"/>
          <w:szCs w:val="18"/>
        </w:rPr>
        <w:t>case</w:t>
      </w:r>
      <w:r w:rsidR="003610A5">
        <w:rPr>
          <w:rFonts w:eastAsiaTheme="minorHAnsi" w:cs="Tahoma"/>
          <w:szCs w:val="18"/>
        </w:rPr>
        <w:t>s</w:t>
      </w:r>
      <w:r w:rsidR="002F09DE">
        <w:rPr>
          <w:rFonts w:eastAsiaTheme="minorHAnsi" w:cs="Tahoma"/>
          <w:szCs w:val="18"/>
        </w:rPr>
        <w:t xml:space="preserve"> by </w:t>
      </w:r>
      <w:r w:rsidR="002F09DE" w:rsidRPr="005E139C">
        <w:rPr>
          <w:rFonts w:eastAsiaTheme="minorHAnsi" w:cs="Tahoma"/>
          <w:i/>
          <w:szCs w:val="18"/>
        </w:rPr>
        <w:t>Clostridium botulinum</w:t>
      </w:r>
      <w:r w:rsidRPr="003A5F3A">
        <w:rPr>
          <w:rFonts w:eastAsiaTheme="minorHAnsi" w:cs="Tahoma"/>
          <w:szCs w:val="18"/>
        </w:rPr>
        <w:t xml:space="preserve">. </w:t>
      </w:r>
      <w:r w:rsidR="00DA5388">
        <w:rPr>
          <w:rFonts w:eastAsiaTheme="minorHAnsi" w:cs="Tahoma"/>
          <w:szCs w:val="18"/>
        </w:rPr>
        <w:t>Three form</w:t>
      </w:r>
      <w:r w:rsidR="003610A5">
        <w:rPr>
          <w:rFonts w:eastAsiaTheme="minorHAnsi" w:cs="Tahoma"/>
          <w:szCs w:val="18"/>
        </w:rPr>
        <w:t>s</w:t>
      </w:r>
      <w:r w:rsidR="00DA5388">
        <w:rPr>
          <w:rFonts w:eastAsiaTheme="minorHAnsi" w:cs="Tahoma"/>
          <w:szCs w:val="18"/>
        </w:rPr>
        <w:t xml:space="preserve"> of botulism</w:t>
      </w:r>
      <w:r w:rsidR="00DA5388" w:rsidRPr="00DA5388">
        <w:rPr>
          <w:rFonts w:eastAsiaTheme="minorHAnsi" w:cs="Tahoma"/>
          <w:szCs w:val="18"/>
        </w:rPr>
        <w:t xml:space="preserve"> </w:t>
      </w:r>
      <w:r w:rsidR="00DA5388">
        <w:rPr>
          <w:rFonts w:eastAsiaTheme="minorHAnsi" w:cs="Tahoma"/>
          <w:szCs w:val="18"/>
        </w:rPr>
        <w:t xml:space="preserve">are distinguished according to the site of toxin production: foodborne, wound and intestinal (infant and adult) botulism. </w:t>
      </w:r>
      <w:r w:rsidR="004B523C" w:rsidRPr="003A5F3A">
        <w:rPr>
          <w:rFonts w:eastAsiaTheme="minorHAnsi" w:cs="Tahoma"/>
          <w:szCs w:val="18"/>
        </w:rPr>
        <w:t>For a more detailed description of the disease and its epidemiology</w:t>
      </w:r>
      <w:r w:rsidR="00723F5A">
        <w:rPr>
          <w:rFonts w:eastAsiaTheme="minorHAnsi" w:cs="Tahoma"/>
          <w:szCs w:val="18"/>
        </w:rPr>
        <w:t>,</w:t>
      </w:r>
      <w:r w:rsidR="004B523C" w:rsidRPr="003A5F3A">
        <w:rPr>
          <w:rFonts w:eastAsiaTheme="minorHAnsi" w:cs="Tahoma"/>
          <w:szCs w:val="18"/>
        </w:rPr>
        <w:t xml:space="preserve"> please click</w:t>
      </w:r>
      <w:r w:rsidR="004B523C" w:rsidRPr="003A5F3A">
        <w:rPr>
          <w:rFonts w:cs="Tahoma"/>
          <w:szCs w:val="18"/>
        </w:rPr>
        <w:t xml:space="preserve"> </w:t>
      </w:r>
      <w:hyperlink r:id="rId15" w:history="1">
        <w:r w:rsidR="004B523C" w:rsidRPr="00D1043F">
          <w:rPr>
            <w:rStyle w:val="Hyperlink"/>
            <w:i/>
            <w:iCs/>
            <w:sz w:val="18"/>
            <w:szCs w:val="18"/>
          </w:rPr>
          <w:t>here</w:t>
        </w:r>
      </w:hyperlink>
      <w:r w:rsidR="004B523C" w:rsidRPr="00D1043F">
        <w:rPr>
          <w:rStyle w:val="Hyperlink"/>
          <w:i/>
          <w:iCs/>
          <w:sz w:val="18"/>
          <w:szCs w:val="18"/>
        </w:rPr>
        <w:t>.</w:t>
      </w:r>
      <w:r w:rsidR="004B523C" w:rsidRPr="003A5F3A">
        <w:rPr>
          <w:rStyle w:val="Hyperlink"/>
          <w:i/>
        </w:rPr>
        <w:t xml:space="preserve">  </w:t>
      </w:r>
    </w:p>
    <w:p w14:paraId="6C4E1646" w14:textId="77777777" w:rsidR="004B523C" w:rsidRDefault="004B523C" w:rsidP="009F5B73">
      <w:pPr>
        <w:pStyle w:val="EC-Title-6"/>
        <w:outlineLvl w:val="1"/>
        <w:rPr>
          <w:rFonts w:cs="Tahoma"/>
        </w:rPr>
      </w:pPr>
      <w:r>
        <w:rPr>
          <w:rFonts w:cs="Tahoma"/>
        </w:rPr>
        <w:t>Data</w:t>
      </w:r>
    </w:p>
    <w:p w14:paraId="08AC08E5" w14:textId="0B5DB405" w:rsidR="004B523C" w:rsidRPr="005E139C" w:rsidRDefault="004B523C" w:rsidP="005E139C">
      <w:pPr>
        <w:pStyle w:val="EC-Para"/>
        <w:jc w:val="both"/>
        <w:rPr>
          <w:rFonts w:eastAsia="Batang" w:cs="Tahoma"/>
          <w:color w:val="000000"/>
          <w:kern w:val="0"/>
          <w:shd w:val="clear" w:color="auto" w:fill="FFFFFF"/>
        </w:rPr>
      </w:pPr>
      <w:r w:rsidRPr="005E139C">
        <w:rPr>
          <w:rFonts w:eastAsia="Batang" w:cs="Tahoma"/>
          <w:color w:val="000000"/>
          <w:kern w:val="0"/>
          <w:shd w:val="clear" w:color="auto" w:fill="FFFFFF"/>
        </w:rPr>
        <w:t>The Surveillance Atlas of Infectious</w:t>
      </w:r>
      <w:r w:rsidR="00CF41B7" w:rsidRPr="005E139C">
        <w:rPr>
          <w:rFonts w:eastAsia="Batang" w:cs="Tahoma"/>
          <w:color w:val="000000"/>
          <w:kern w:val="0"/>
          <w:shd w:val="clear" w:color="auto" w:fill="FFFFFF"/>
        </w:rPr>
        <w:t xml:space="preserve"> Dise</w:t>
      </w:r>
      <w:r w:rsidR="00DF7354" w:rsidRPr="005E139C">
        <w:rPr>
          <w:rFonts w:eastAsia="Batang" w:cs="Tahoma"/>
          <w:color w:val="000000"/>
          <w:kern w:val="0"/>
          <w:shd w:val="clear" w:color="auto" w:fill="FFFFFF"/>
        </w:rPr>
        <w:t xml:space="preserve">ases </w:t>
      </w:r>
      <w:r w:rsidR="00D47ABA" w:rsidRPr="005E139C">
        <w:rPr>
          <w:rFonts w:eastAsia="Batang" w:cs="Tahoma"/>
          <w:color w:val="000000"/>
          <w:kern w:val="0"/>
          <w:shd w:val="clear" w:color="auto" w:fill="FFFFFF"/>
        </w:rPr>
        <w:t>displays data on botulism</w:t>
      </w:r>
      <w:r w:rsidRPr="005E139C">
        <w:rPr>
          <w:rFonts w:eastAsia="Batang" w:cs="Tahoma"/>
          <w:color w:val="000000"/>
          <w:kern w:val="0"/>
          <w:shd w:val="clear" w:color="auto" w:fill="FFFFFF"/>
        </w:rPr>
        <w:t xml:space="preserve"> reported by the </w:t>
      </w:r>
      <w:r w:rsidR="00E75405">
        <w:rPr>
          <w:rFonts w:eastAsia="Batang" w:cs="Tahoma"/>
          <w:color w:val="000000"/>
          <w:kern w:val="0"/>
          <w:shd w:val="clear" w:color="auto" w:fill="FFFFFF"/>
        </w:rPr>
        <w:t>EU/EEA countries</w:t>
      </w:r>
      <w:r w:rsidRPr="005E139C">
        <w:rPr>
          <w:rFonts w:eastAsia="Batang" w:cs="Tahoma"/>
          <w:color w:val="000000"/>
          <w:kern w:val="0"/>
          <w:shd w:val="clear" w:color="auto" w:fill="FFFFFF"/>
        </w:rPr>
        <w:t xml:space="preserve">. </w:t>
      </w:r>
      <w:r w:rsidR="00F933AE">
        <w:rPr>
          <w:rFonts w:eastAsia="Batang" w:cs="Tahoma"/>
          <w:color w:val="000000"/>
          <w:kern w:val="0"/>
          <w:shd w:val="clear" w:color="auto" w:fill="FFFFFF"/>
        </w:rPr>
        <w:t>C</w:t>
      </w:r>
      <w:r w:rsidR="00FC6FEA" w:rsidRPr="005E139C">
        <w:rPr>
          <w:rFonts w:eastAsia="Batang" w:cs="Tahoma"/>
          <w:color w:val="000000"/>
          <w:kern w:val="0"/>
          <w:shd w:val="clear" w:color="auto" w:fill="FFFFFF"/>
        </w:rPr>
        <w:t>ases are to be reported according to the 201</w:t>
      </w:r>
      <w:r w:rsidR="008E5E48">
        <w:rPr>
          <w:rFonts w:eastAsia="Batang" w:cs="Tahoma"/>
          <w:color w:val="000000"/>
          <w:kern w:val="0"/>
          <w:shd w:val="clear" w:color="auto" w:fill="FFFFFF"/>
        </w:rPr>
        <w:t>8</w:t>
      </w:r>
      <w:r w:rsidR="00FC6FEA" w:rsidRPr="005E139C">
        <w:rPr>
          <w:rFonts w:eastAsia="Batang" w:cs="Tahoma"/>
          <w:color w:val="000000"/>
          <w:kern w:val="0"/>
          <w:shd w:val="clear" w:color="auto" w:fill="FFFFFF"/>
        </w:rPr>
        <w:t xml:space="preserve"> EU case definition for </w:t>
      </w:r>
      <w:r w:rsidR="00F03915" w:rsidRPr="005E139C">
        <w:rPr>
          <w:rFonts w:eastAsia="Batang" w:cs="Tahoma"/>
          <w:color w:val="000000"/>
          <w:kern w:val="0"/>
          <w:shd w:val="clear" w:color="auto" w:fill="FFFFFF"/>
        </w:rPr>
        <w:t>botulism</w:t>
      </w:r>
      <w:r w:rsidR="005E139C">
        <w:rPr>
          <w:rStyle w:val="FootnoteReference"/>
          <w:rFonts w:eastAsia="Batang" w:cs="Tahoma"/>
          <w:color w:val="000000"/>
          <w:kern w:val="0"/>
          <w:shd w:val="clear" w:color="auto" w:fill="FFFFFF"/>
        </w:rPr>
        <w:footnoteReference w:id="3"/>
      </w:r>
      <w:r w:rsidR="00723F5A">
        <w:rPr>
          <w:rFonts w:eastAsia="Batang" w:cs="Tahoma"/>
          <w:color w:val="000000"/>
          <w:kern w:val="0"/>
          <w:shd w:val="clear" w:color="auto" w:fill="FFFFFF"/>
        </w:rPr>
        <w:t>:</w:t>
      </w:r>
      <w:r w:rsidRPr="005E139C">
        <w:rPr>
          <w:rFonts w:eastAsia="Batang" w:cs="Tahoma"/>
          <w:color w:val="000000"/>
          <w:kern w:val="0"/>
          <w:shd w:val="clear" w:color="auto" w:fill="FFFFFF"/>
        </w:rPr>
        <w:t xml:space="preserve"> </w:t>
      </w:r>
    </w:p>
    <w:p w14:paraId="40347DA1" w14:textId="66E4762F" w:rsidR="004B523C" w:rsidRPr="00683B90" w:rsidRDefault="004B523C" w:rsidP="004B523C">
      <w:pPr>
        <w:autoSpaceDE w:val="0"/>
        <w:autoSpaceDN w:val="0"/>
        <w:adjustRightInd w:val="0"/>
        <w:spacing w:before="60" w:after="60"/>
        <w:rPr>
          <w:rFonts w:eastAsiaTheme="minorHAnsi" w:cs="Tahoma"/>
          <w:color w:val="000000"/>
          <w:szCs w:val="18"/>
        </w:rPr>
      </w:pPr>
      <w:r w:rsidRPr="00683B90">
        <w:rPr>
          <w:rFonts w:eastAsiaTheme="minorHAnsi" w:cs="Tahoma"/>
          <w:b/>
          <w:bCs/>
          <w:color w:val="000000"/>
          <w:szCs w:val="18"/>
        </w:rPr>
        <w:t xml:space="preserve">Clinical </w:t>
      </w:r>
      <w:r w:rsidR="00947887">
        <w:rPr>
          <w:rFonts w:eastAsiaTheme="minorHAnsi" w:cs="Tahoma"/>
          <w:b/>
          <w:bCs/>
          <w:color w:val="000000"/>
          <w:szCs w:val="18"/>
        </w:rPr>
        <w:t>c</w:t>
      </w:r>
      <w:r w:rsidRPr="00683B90">
        <w:rPr>
          <w:rFonts w:eastAsiaTheme="minorHAnsi" w:cs="Tahoma"/>
          <w:b/>
          <w:bCs/>
          <w:color w:val="000000"/>
          <w:szCs w:val="18"/>
        </w:rPr>
        <w:t xml:space="preserve">riteria </w:t>
      </w:r>
    </w:p>
    <w:p w14:paraId="38C45278" w14:textId="77777777" w:rsidR="00683B90" w:rsidRPr="00683B90" w:rsidRDefault="00683B90" w:rsidP="00683B90">
      <w:pPr>
        <w:autoSpaceDE w:val="0"/>
        <w:autoSpaceDN w:val="0"/>
        <w:adjustRightInd w:val="0"/>
        <w:spacing w:before="60" w:after="60"/>
        <w:rPr>
          <w:rFonts w:eastAsiaTheme="minorHAnsi" w:cs="Tahoma"/>
          <w:color w:val="000000"/>
          <w:szCs w:val="18"/>
        </w:rPr>
      </w:pPr>
      <w:r w:rsidRPr="00683B90">
        <w:rPr>
          <w:rFonts w:eastAsiaTheme="minorHAnsi" w:cs="Tahoma"/>
          <w:color w:val="000000"/>
          <w:szCs w:val="18"/>
        </w:rPr>
        <w:t xml:space="preserve">Any person with at least one of the following clinical forms: </w:t>
      </w:r>
    </w:p>
    <w:p w14:paraId="5E9C9C49" w14:textId="77777777" w:rsidR="00683B90" w:rsidRPr="00683B90" w:rsidRDefault="00683B90" w:rsidP="00683B90">
      <w:pPr>
        <w:autoSpaceDE w:val="0"/>
        <w:autoSpaceDN w:val="0"/>
        <w:adjustRightInd w:val="0"/>
        <w:spacing w:before="60" w:after="60"/>
        <w:rPr>
          <w:rFonts w:eastAsiaTheme="minorHAnsi" w:cs="Tahoma"/>
          <w:color w:val="000000"/>
          <w:szCs w:val="18"/>
          <w:u w:val="single"/>
        </w:rPr>
      </w:pPr>
      <w:r w:rsidRPr="00683B90">
        <w:rPr>
          <w:rFonts w:eastAsiaTheme="minorHAnsi" w:cs="Tahoma"/>
          <w:iCs/>
          <w:color w:val="000000"/>
          <w:szCs w:val="18"/>
          <w:u w:val="single"/>
        </w:rPr>
        <w:t xml:space="preserve">Food-borne and wound botulism </w:t>
      </w:r>
    </w:p>
    <w:p w14:paraId="39247C6E" w14:textId="77777777" w:rsidR="00683B90" w:rsidRPr="00683B90" w:rsidRDefault="00683B90" w:rsidP="00683B90">
      <w:pPr>
        <w:autoSpaceDE w:val="0"/>
        <w:autoSpaceDN w:val="0"/>
        <w:adjustRightInd w:val="0"/>
        <w:spacing w:before="60" w:after="60"/>
        <w:rPr>
          <w:rFonts w:eastAsiaTheme="minorHAnsi" w:cs="Tahoma"/>
          <w:color w:val="000000"/>
          <w:szCs w:val="18"/>
        </w:rPr>
      </w:pPr>
      <w:r w:rsidRPr="00683B90">
        <w:rPr>
          <w:rFonts w:eastAsiaTheme="minorHAnsi" w:cs="Tahoma"/>
          <w:color w:val="000000"/>
          <w:szCs w:val="18"/>
        </w:rPr>
        <w:t xml:space="preserve">At least one of the following two: </w:t>
      </w:r>
    </w:p>
    <w:p w14:paraId="47C64E9E" w14:textId="77777777" w:rsidR="00683B90" w:rsidRPr="00683B90" w:rsidRDefault="00683B90" w:rsidP="00683B90">
      <w:pPr>
        <w:autoSpaceDE w:val="0"/>
        <w:autoSpaceDN w:val="0"/>
        <w:adjustRightInd w:val="0"/>
        <w:spacing w:before="60" w:after="60"/>
        <w:rPr>
          <w:rFonts w:eastAsiaTheme="minorHAnsi" w:cs="Tahoma"/>
          <w:color w:val="000000"/>
          <w:szCs w:val="18"/>
        </w:rPr>
      </w:pPr>
      <w:r w:rsidRPr="00683B90">
        <w:rPr>
          <w:rFonts w:eastAsiaTheme="minorHAnsi" w:cs="Tahoma"/>
          <w:color w:val="000000"/>
          <w:szCs w:val="18"/>
        </w:rPr>
        <w:t>— Bilateral cranial nerve impairment (e.g. diplopia, blurred vision, dysphagia, bulbar weakness</w:t>
      </w:r>
      <w:proofErr w:type="gramStart"/>
      <w:r w:rsidRPr="00683B90">
        <w:rPr>
          <w:rFonts w:eastAsiaTheme="minorHAnsi" w:cs="Tahoma"/>
          <w:color w:val="000000"/>
          <w:szCs w:val="18"/>
        </w:rPr>
        <w:t>)</w:t>
      </w:r>
      <w:r>
        <w:rPr>
          <w:rFonts w:eastAsiaTheme="minorHAnsi" w:cs="Tahoma"/>
          <w:color w:val="000000"/>
          <w:szCs w:val="18"/>
        </w:rPr>
        <w:t>;</w:t>
      </w:r>
      <w:proofErr w:type="gramEnd"/>
      <w:r w:rsidRPr="00683B90">
        <w:rPr>
          <w:rFonts w:eastAsiaTheme="minorHAnsi" w:cs="Tahoma"/>
          <w:color w:val="000000"/>
          <w:szCs w:val="18"/>
        </w:rPr>
        <w:t xml:space="preserve"> </w:t>
      </w:r>
    </w:p>
    <w:p w14:paraId="1DC2E841" w14:textId="77777777" w:rsidR="00683B90" w:rsidRPr="00683B90" w:rsidRDefault="00683B90" w:rsidP="00683B90">
      <w:pPr>
        <w:autoSpaceDE w:val="0"/>
        <w:autoSpaceDN w:val="0"/>
        <w:adjustRightInd w:val="0"/>
        <w:spacing w:before="60" w:after="60"/>
        <w:rPr>
          <w:rFonts w:eastAsiaTheme="minorHAnsi" w:cs="Tahoma"/>
          <w:color w:val="000000"/>
          <w:szCs w:val="18"/>
        </w:rPr>
      </w:pPr>
      <w:r w:rsidRPr="00683B90">
        <w:rPr>
          <w:rFonts w:eastAsiaTheme="minorHAnsi" w:cs="Tahoma"/>
          <w:color w:val="000000"/>
          <w:szCs w:val="18"/>
        </w:rPr>
        <w:t>— Peripheral symmetric paralysis</w:t>
      </w:r>
      <w:r>
        <w:rPr>
          <w:rFonts w:eastAsiaTheme="minorHAnsi" w:cs="Tahoma"/>
          <w:color w:val="000000"/>
          <w:szCs w:val="18"/>
        </w:rPr>
        <w:t>.</w:t>
      </w:r>
      <w:r w:rsidRPr="00683B90">
        <w:rPr>
          <w:rFonts w:eastAsiaTheme="minorHAnsi" w:cs="Tahoma"/>
          <w:color w:val="000000"/>
          <w:szCs w:val="18"/>
        </w:rPr>
        <w:t xml:space="preserve"> </w:t>
      </w:r>
    </w:p>
    <w:p w14:paraId="5954CBD2" w14:textId="77777777" w:rsidR="00683B90" w:rsidRPr="00683B90" w:rsidRDefault="00683B90" w:rsidP="00683B90">
      <w:pPr>
        <w:autoSpaceDE w:val="0"/>
        <w:autoSpaceDN w:val="0"/>
        <w:adjustRightInd w:val="0"/>
        <w:spacing w:before="60" w:after="60"/>
        <w:rPr>
          <w:rFonts w:eastAsiaTheme="minorHAnsi" w:cs="Tahoma"/>
          <w:color w:val="000000"/>
          <w:szCs w:val="18"/>
          <w:u w:val="single"/>
        </w:rPr>
      </w:pPr>
      <w:r w:rsidRPr="00683B90">
        <w:rPr>
          <w:rFonts w:eastAsiaTheme="minorHAnsi" w:cs="Tahoma"/>
          <w:iCs/>
          <w:color w:val="000000"/>
          <w:szCs w:val="18"/>
          <w:u w:val="single"/>
        </w:rPr>
        <w:t xml:space="preserve">Infant botulism </w:t>
      </w:r>
    </w:p>
    <w:p w14:paraId="251C18B3" w14:textId="77777777" w:rsidR="00683B90" w:rsidRPr="00683B90" w:rsidRDefault="00683B90" w:rsidP="00683B90">
      <w:pPr>
        <w:autoSpaceDE w:val="0"/>
        <w:autoSpaceDN w:val="0"/>
        <w:adjustRightInd w:val="0"/>
        <w:spacing w:before="60" w:after="60"/>
        <w:rPr>
          <w:rFonts w:eastAsiaTheme="minorHAnsi" w:cs="Tahoma"/>
          <w:color w:val="000000"/>
          <w:szCs w:val="18"/>
        </w:rPr>
      </w:pPr>
      <w:r w:rsidRPr="00683B90">
        <w:rPr>
          <w:rFonts w:eastAsiaTheme="minorHAnsi" w:cs="Tahoma"/>
          <w:color w:val="000000"/>
          <w:szCs w:val="18"/>
        </w:rPr>
        <w:t xml:space="preserve">Any infant with at least one of the following six: </w:t>
      </w:r>
    </w:p>
    <w:p w14:paraId="41EC4399" w14:textId="77777777" w:rsidR="00683B90" w:rsidRPr="000B4234" w:rsidRDefault="00683B90" w:rsidP="00683B90">
      <w:pPr>
        <w:autoSpaceDE w:val="0"/>
        <w:autoSpaceDN w:val="0"/>
        <w:adjustRightInd w:val="0"/>
        <w:spacing w:before="60" w:after="60"/>
        <w:rPr>
          <w:rFonts w:eastAsiaTheme="minorHAnsi" w:cs="Tahoma"/>
          <w:color w:val="000000"/>
          <w:szCs w:val="18"/>
        </w:rPr>
      </w:pPr>
      <w:r w:rsidRPr="000B4234">
        <w:rPr>
          <w:rFonts w:eastAsiaTheme="minorHAnsi" w:cs="Tahoma"/>
          <w:color w:val="000000"/>
          <w:szCs w:val="18"/>
        </w:rPr>
        <w:t xml:space="preserve">— </w:t>
      </w:r>
      <w:proofErr w:type="gramStart"/>
      <w:r w:rsidRPr="000B4234">
        <w:rPr>
          <w:rFonts w:eastAsiaTheme="minorHAnsi" w:cs="Tahoma"/>
          <w:color w:val="000000"/>
          <w:szCs w:val="18"/>
        </w:rPr>
        <w:t>Constipation;</w:t>
      </w:r>
      <w:proofErr w:type="gramEnd"/>
      <w:r w:rsidRPr="000B4234">
        <w:rPr>
          <w:rFonts w:eastAsiaTheme="minorHAnsi" w:cs="Tahoma"/>
          <w:color w:val="000000"/>
          <w:szCs w:val="18"/>
        </w:rPr>
        <w:t xml:space="preserve"> </w:t>
      </w:r>
    </w:p>
    <w:p w14:paraId="1FEA23BE" w14:textId="77777777" w:rsidR="00683B90" w:rsidRPr="000B4234" w:rsidRDefault="00683B90" w:rsidP="00683B90">
      <w:pPr>
        <w:autoSpaceDE w:val="0"/>
        <w:autoSpaceDN w:val="0"/>
        <w:adjustRightInd w:val="0"/>
        <w:spacing w:before="60" w:after="60"/>
        <w:rPr>
          <w:rFonts w:eastAsiaTheme="minorHAnsi" w:cs="Tahoma"/>
          <w:color w:val="000000"/>
          <w:szCs w:val="18"/>
        </w:rPr>
      </w:pPr>
      <w:r w:rsidRPr="000B4234">
        <w:rPr>
          <w:rFonts w:eastAsiaTheme="minorHAnsi" w:cs="Tahoma"/>
          <w:color w:val="000000"/>
          <w:szCs w:val="18"/>
        </w:rPr>
        <w:t xml:space="preserve">— </w:t>
      </w:r>
      <w:proofErr w:type="gramStart"/>
      <w:r w:rsidRPr="000B4234">
        <w:rPr>
          <w:rFonts w:eastAsiaTheme="minorHAnsi" w:cs="Tahoma"/>
          <w:color w:val="000000"/>
          <w:szCs w:val="18"/>
        </w:rPr>
        <w:t>Lethargy;</w:t>
      </w:r>
      <w:proofErr w:type="gramEnd"/>
      <w:r w:rsidRPr="000B4234">
        <w:rPr>
          <w:rFonts w:eastAsiaTheme="minorHAnsi" w:cs="Tahoma"/>
          <w:color w:val="000000"/>
          <w:szCs w:val="18"/>
        </w:rPr>
        <w:t xml:space="preserve"> </w:t>
      </w:r>
    </w:p>
    <w:p w14:paraId="7469FDB9" w14:textId="52424DD0" w:rsidR="00683B90" w:rsidRPr="000B4234" w:rsidRDefault="00683B90" w:rsidP="00683B90">
      <w:pPr>
        <w:autoSpaceDE w:val="0"/>
        <w:autoSpaceDN w:val="0"/>
        <w:adjustRightInd w:val="0"/>
        <w:spacing w:before="60" w:after="60"/>
        <w:rPr>
          <w:rFonts w:eastAsiaTheme="minorHAnsi" w:cs="Tahoma"/>
          <w:color w:val="000000"/>
          <w:szCs w:val="18"/>
        </w:rPr>
      </w:pPr>
      <w:r w:rsidRPr="000B4234">
        <w:rPr>
          <w:rFonts w:eastAsiaTheme="minorHAnsi" w:cs="Tahoma"/>
          <w:color w:val="000000"/>
          <w:szCs w:val="18"/>
        </w:rPr>
        <w:t xml:space="preserve">— </w:t>
      </w:r>
      <w:r w:rsidR="00F51D13" w:rsidRPr="000B4234">
        <w:rPr>
          <w:rFonts w:eastAsiaTheme="minorHAnsi" w:cs="Tahoma"/>
          <w:color w:val="000000"/>
          <w:szCs w:val="18"/>
        </w:rPr>
        <w:t xml:space="preserve">Difficulty in sucking or </w:t>
      </w:r>
      <w:proofErr w:type="gramStart"/>
      <w:r w:rsidR="00F51D13" w:rsidRPr="000B4234">
        <w:rPr>
          <w:rFonts w:eastAsiaTheme="minorHAnsi" w:cs="Tahoma"/>
          <w:color w:val="000000"/>
          <w:szCs w:val="18"/>
        </w:rPr>
        <w:t>feeding</w:t>
      </w:r>
      <w:r w:rsidRPr="000B4234">
        <w:rPr>
          <w:rFonts w:eastAsiaTheme="minorHAnsi" w:cs="Tahoma"/>
          <w:color w:val="000000"/>
          <w:szCs w:val="18"/>
        </w:rPr>
        <w:t>;</w:t>
      </w:r>
      <w:proofErr w:type="gramEnd"/>
      <w:r w:rsidRPr="000B4234">
        <w:rPr>
          <w:rFonts w:eastAsiaTheme="minorHAnsi" w:cs="Tahoma"/>
          <w:color w:val="000000"/>
          <w:szCs w:val="18"/>
        </w:rPr>
        <w:t xml:space="preserve"> </w:t>
      </w:r>
    </w:p>
    <w:p w14:paraId="213789E9" w14:textId="77777777" w:rsidR="00683B90" w:rsidRPr="000B4234" w:rsidRDefault="00683B90" w:rsidP="00683B90">
      <w:pPr>
        <w:autoSpaceDE w:val="0"/>
        <w:autoSpaceDN w:val="0"/>
        <w:adjustRightInd w:val="0"/>
        <w:spacing w:before="60" w:after="60"/>
        <w:rPr>
          <w:rFonts w:eastAsiaTheme="minorHAnsi" w:cs="Tahoma"/>
          <w:color w:val="000000"/>
          <w:szCs w:val="18"/>
        </w:rPr>
      </w:pPr>
      <w:r w:rsidRPr="000B4234">
        <w:rPr>
          <w:rFonts w:eastAsiaTheme="minorHAnsi" w:cs="Tahoma"/>
          <w:color w:val="000000"/>
          <w:szCs w:val="18"/>
        </w:rPr>
        <w:t xml:space="preserve">— </w:t>
      </w:r>
      <w:proofErr w:type="gramStart"/>
      <w:r w:rsidRPr="000B4234">
        <w:rPr>
          <w:rFonts w:eastAsiaTheme="minorHAnsi" w:cs="Tahoma"/>
          <w:color w:val="000000"/>
          <w:szCs w:val="18"/>
        </w:rPr>
        <w:t>Ptosis;</w:t>
      </w:r>
      <w:proofErr w:type="gramEnd"/>
      <w:r w:rsidRPr="000B4234">
        <w:rPr>
          <w:rFonts w:eastAsiaTheme="minorHAnsi" w:cs="Tahoma"/>
          <w:color w:val="000000"/>
          <w:szCs w:val="18"/>
        </w:rPr>
        <w:t xml:space="preserve"> </w:t>
      </w:r>
    </w:p>
    <w:p w14:paraId="6AB2721B" w14:textId="77777777" w:rsidR="00683B90" w:rsidRPr="000B4234" w:rsidRDefault="00683B90" w:rsidP="00683B90">
      <w:pPr>
        <w:autoSpaceDE w:val="0"/>
        <w:autoSpaceDN w:val="0"/>
        <w:adjustRightInd w:val="0"/>
        <w:spacing w:before="60" w:after="60"/>
        <w:rPr>
          <w:rFonts w:eastAsiaTheme="minorHAnsi" w:cs="Tahoma"/>
          <w:color w:val="000000"/>
          <w:szCs w:val="18"/>
        </w:rPr>
      </w:pPr>
      <w:r w:rsidRPr="000B4234">
        <w:rPr>
          <w:rFonts w:eastAsiaTheme="minorHAnsi" w:cs="Tahoma"/>
          <w:color w:val="000000"/>
          <w:szCs w:val="18"/>
        </w:rPr>
        <w:t xml:space="preserve">— </w:t>
      </w:r>
      <w:proofErr w:type="gramStart"/>
      <w:r w:rsidRPr="000B4234">
        <w:rPr>
          <w:rFonts w:eastAsiaTheme="minorHAnsi" w:cs="Tahoma"/>
          <w:color w:val="000000"/>
          <w:szCs w:val="18"/>
        </w:rPr>
        <w:t>Dysphagia;</w:t>
      </w:r>
      <w:proofErr w:type="gramEnd"/>
      <w:r w:rsidRPr="000B4234">
        <w:rPr>
          <w:rFonts w:eastAsiaTheme="minorHAnsi" w:cs="Tahoma"/>
          <w:color w:val="000000"/>
          <w:szCs w:val="18"/>
        </w:rPr>
        <w:t xml:space="preserve"> </w:t>
      </w:r>
    </w:p>
    <w:p w14:paraId="5AD05411" w14:textId="77777777" w:rsidR="00683B90" w:rsidRPr="000B4234" w:rsidRDefault="00683B90" w:rsidP="00683B90">
      <w:pPr>
        <w:autoSpaceDE w:val="0"/>
        <w:autoSpaceDN w:val="0"/>
        <w:adjustRightInd w:val="0"/>
        <w:spacing w:before="60" w:after="60"/>
        <w:rPr>
          <w:rFonts w:eastAsiaTheme="minorHAnsi" w:cs="Tahoma"/>
          <w:color w:val="000000"/>
          <w:szCs w:val="18"/>
        </w:rPr>
      </w:pPr>
      <w:r w:rsidRPr="000B4234">
        <w:rPr>
          <w:rFonts w:eastAsiaTheme="minorHAnsi" w:cs="Tahoma"/>
          <w:color w:val="000000"/>
          <w:szCs w:val="18"/>
        </w:rPr>
        <w:t>— General muscle weakness.</w:t>
      </w:r>
    </w:p>
    <w:p w14:paraId="0535FD5A" w14:textId="77777777" w:rsidR="00683B90" w:rsidRDefault="00683B90" w:rsidP="00683B90">
      <w:pPr>
        <w:autoSpaceDE w:val="0"/>
        <w:autoSpaceDN w:val="0"/>
        <w:adjustRightInd w:val="0"/>
        <w:spacing w:before="60" w:after="60"/>
        <w:rPr>
          <w:rFonts w:eastAsiaTheme="minorHAnsi" w:cs="Tahoma"/>
          <w:color w:val="000000"/>
          <w:szCs w:val="18"/>
        </w:rPr>
      </w:pPr>
      <w:r w:rsidRPr="000B4234">
        <w:rPr>
          <w:rFonts w:eastAsiaTheme="minorHAnsi" w:cs="Tahoma"/>
          <w:color w:val="000000"/>
          <w:szCs w:val="18"/>
        </w:rPr>
        <w:t>The type of botulism usually encountered in infants (&lt; 12 months of age) can affect children also over 12 months of age and occasionally adults, with altered gastrointestinal anatomy and microflora.</w:t>
      </w:r>
    </w:p>
    <w:p w14:paraId="03450BC3" w14:textId="6596C4E6" w:rsidR="004B523C" w:rsidRPr="000B4234" w:rsidRDefault="004B523C" w:rsidP="00DF7354">
      <w:pPr>
        <w:autoSpaceDE w:val="0"/>
        <w:autoSpaceDN w:val="0"/>
        <w:adjustRightInd w:val="0"/>
        <w:spacing w:before="60" w:after="60"/>
        <w:rPr>
          <w:rFonts w:eastAsiaTheme="minorHAnsi" w:cs="Tahoma"/>
          <w:color w:val="000000"/>
          <w:szCs w:val="18"/>
        </w:rPr>
      </w:pPr>
      <w:r w:rsidRPr="000B4234">
        <w:rPr>
          <w:rFonts w:eastAsiaTheme="minorHAnsi" w:cs="Tahoma"/>
          <w:b/>
          <w:bCs/>
          <w:color w:val="000000"/>
          <w:szCs w:val="18"/>
        </w:rPr>
        <w:t xml:space="preserve">Laboratory </w:t>
      </w:r>
      <w:r w:rsidR="00947887" w:rsidRPr="000B4234">
        <w:rPr>
          <w:rFonts w:eastAsiaTheme="minorHAnsi" w:cs="Tahoma"/>
          <w:b/>
          <w:bCs/>
          <w:color w:val="000000"/>
          <w:szCs w:val="18"/>
        </w:rPr>
        <w:t>c</w:t>
      </w:r>
      <w:r w:rsidRPr="000B4234">
        <w:rPr>
          <w:rFonts w:eastAsiaTheme="minorHAnsi" w:cs="Tahoma"/>
          <w:b/>
          <w:bCs/>
          <w:color w:val="000000"/>
          <w:szCs w:val="18"/>
        </w:rPr>
        <w:t xml:space="preserve">riteria </w:t>
      </w:r>
    </w:p>
    <w:p w14:paraId="0AE0F5CF" w14:textId="5CD5524A" w:rsidR="00683B90" w:rsidRPr="000B4234" w:rsidRDefault="00683B90" w:rsidP="00683B90">
      <w:pPr>
        <w:autoSpaceDE w:val="0"/>
        <w:autoSpaceDN w:val="0"/>
        <w:adjustRightInd w:val="0"/>
        <w:spacing w:before="60" w:after="60"/>
        <w:rPr>
          <w:rFonts w:eastAsiaTheme="minorHAnsi" w:cs="Tahoma"/>
          <w:color w:val="000000"/>
          <w:szCs w:val="18"/>
        </w:rPr>
      </w:pPr>
      <w:r w:rsidRPr="000B4234">
        <w:rPr>
          <w:rFonts w:eastAsiaTheme="minorHAnsi" w:cs="Tahoma"/>
          <w:color w:val="000000"/>
          <w:szCs w:val="18"/>
        </w:rPr>
        <w:t xml:space="preserve">At least one of the following </w:t>
      </w:r>
      <w:r w:rsidR="00FD5BAE" w:rsidRPr="000B4234">
        <w:rPr>
          <w:szCs w:val="18"/>
        </w:rPr>
        <w:t>three</w:t>
      </w:r>
      <w:r w:rsidRPr="000B4234">
        <w:rPr>
          <w:rFonts w:eastAsiaTheme="minorHAnsi" w:cs="Tahoma"/>
          <w:color w:val="000000"/>
          <w:szCs w:val="18"/>
        </w:rPr>
        <w:t xml:space="preserve">: </w:t>
      </w:r>
    </w:p>
    <w:p w14:paraId="4B3E8241" w14:textId="77777777" w:rsidR="008403F4" w:rsidRPr="000B4234" w:rsidRDefault="008403F4" w:rsidP="00273585">
      <w:pPr>
        <w:autoSpaceDE w:val="0"/>
        <w:autoSpaceDN w:val="0"/>
        <w:adjustRightInd w:val="0"/>
        <w:spacing w:before="60" w:after="60"/>
        <w:rPr>
          <w:szCs w:val="18"/>
        </w:rPr>
      </w:pPr>
      <w:r w:rsidRPr="000B4234">
        <w:rPr>
          <w:szCs w:val="18"/>
        </w:rPr>
        <w:t xml:space="preserve">— Isolation of BoNT-producing clostridia (for example, </w:t>
      </w:r>
      <w:r w:rsidRPr="000B4234">
        <w:rPr>
          <w:i/>
          <w:szCs w:val="18"/>
        </w:rPr>
        <w:t>Clostridium botulinum</w:t>
      </w:r>
      <w:r w:rsidRPr="000B4234">
        <w:rPr>
          <w:szCs w:val="18"/>
        </w:rPr>
        <w:t xml:space="preserve">, </w:t>
      </w:r>
      <w:r w:rsidRPr="000B4234">
        <w:rPr>
          <w:i/>
          <w:szCs w:val="18"/>
        </w:rPr>
        <w:t xml:space="preserve">C. </w:t>
      </w:r>
      <w:proofErr w:type="spellStart"/>
      <w:r w:rsidRPr="000B4234">
        <w:rPr>
          <w:i/>
          <w:szCs w:val="18"/>
        </w:rPr>
        <w:t>baratii</w:t>
      </w:r>
      <w:proofErr w:type="spellEnd"/>
      <w:r w:rsidRPr="000B4234">
        <w:rPr>
          <w:szCs w:val="18"/>
        </w:rPr>
        <w:t xml:space="preserve">, </w:t>
      </w:r>
      <w:r w:rsidRPr="000B4234">
        <w:rPr>
          <w:i/>
          <w:szCs w:val="18"/>
        </w:rPr>
        <w:t xml:space="preserve">C. </w:t>
      </w:r>
      <w:proofErr w:type="spellStart"/>
      <w:r w:rsidRPr="000B4234">
        <w:rPr>
          <w:i/>
          <w:szCs w:val="18"/>
        </w:rPr>
        <w:t>butyricum</w:t>
      </w:r>
      <w:proofErr w:type="spellEnd"/>
      <w:r w:rsidRPr="000B4234">
        <w:rPr>
          <w:szCs w:val="18"/>
        </w:rPr>
        <w:t>) for infant botulism (stool) or wound botulism (wound</w:t>
      </w:r>
      <w:proofErr w:type="gramStart"/>
      <w:r w:rsidRPr="000B4234">
        <w:rPr>
          <w:szCs w:val="18"/>
        </w:rPr>
        <w:t>);</w:t>
      </w:r>
      <w:proofErr w:type="gramEnd"/>
      <w:r w:rsidRPr="000B4234">
        <w:rPr>
          <w:szCs w:val="18"/>
        </w:rPr>
        <w:t xml:space="preserve"> </w:t>
      </w:r>
    </w:p>
    <w:p w14:paraId="05385BE7" w14:textId="77777777" w:rsidR="008403F4" w:rsidRPr="000B4234" w:rsidRDefault="008403F4" w:rsidP="00273585">
      <w:pPr>
        <w:autoSpaceDE w:val="0"/>
        <w:autoSpaceDN w:val="0"/>
        <w:adjustRightInd w:val="0"/>
        <w:spacing w:before="60" w:after="60"/>
        <w:rPr>
          <w:szCs w:val="18"/>
        </w:rPr>
      </w:pPr>
      <w:r w:rsidRPr="000B4234">
        <w:rPr>
          <w:szCs w:val="18"/>
        </w:rPr>
        <w:t xml:space="preserve">— Detection of botulinum neurotoxins in a clinical </w:t>
      </w:r>
      <w:proofErr w:type="gramStart"/>
      <w:r w:rsidRPr="000B4234">
        <w:rPr>
          <w:szCs w:val="18"/>
        </w:rPr>
        <w:t>specimen;</w:t>
      </w:r>
      <w:proofErr w:type="gramEnd"/>
      <w:r w:rsidRPr="000B4234">
        <w:rPr>
          <w:szCs w:val="18"/>
        </w:rPr>
        <w:t xml:space="preserve"> </w:t>
      </w:r>
    </w:p>
    <w:p w14:paraId="6E144B72" w14:textId="3817D44D" w:rsidR="008403F4" w:rsidRPr="00805F81" w:rsidRDefault="008403F4" w:rsidP="00273585">
      <w:pPr>
        <w:autoSpaceDE w:val="0"/>
        <w:autoSpaceDN w:val="0"/>
        <w:adjustRightInd w:val="0"/>
        <w:spacing w:before="60" w:after="60"/>
        <w:rPr>
          <w:szCs w:val="18"/>
        </w:rPr>
      </w:pPr>
      <w:r w:rsidRPr="000B4234">
        <w:rPr>
          <w:szCs w:val="18"/>
        </w:rPr>
        <w:t>— Detection of genes encoding for botulinum neurotoxins in a clinical specimen.</w:t>
      </w:r>
      <w:r w:rsidRPr="00805F81">
        <w:rPr>
          <w:szCs w:val="18"/>
        </w:rPr>
        <w:t xml:space="preserve"> </w:t>
      </w:r>
    </w:p>
    <w:p w14:paraId="555A1501" w14:textId="640C8937" w:rsidR="004B523C" w:rsidRPr="00683B90" w:rsidRDefault="004B523C" w:rsidP="00273585">
      <w:pPr>
        <w:autoSpaceDE w:val="0"/>
        <w:autoSpaceDN w:val="0"/>
        <w:adjustRightInd w:val="0"/>
        <w:spacing w:before="60" w:after="60"/>
        <w:rPr>
          <w:rFonts w:eastAsiaTheme="minorHAnsi" w:cs="Tahoma"/>
          <w:color w:val="000000"/>
          <w:szCs w:val="18"/>
        </w:rPr>
      </w:pPr>
      <w:r w:rsidRPr="00683B90">
        <w:rPr>
          <w:rFonts w:eastAsiaTheme="minorHAnsi" w:cs="Tahoma"/>
          <w:b/>
          <w:bCs/>
          <w:color w:val="000000"/>
          <w:szCs w:val="18"/>
        </w:rPr>
        <w:t xml:space="preserve">Epidemiological </w:t>
      </w:r>
      <w:r w:rsidR="00947887">
        <w:rPr>
          <w:rFonts w:eastAsiaTheme="minorHAnsi" w:cs="Tahoma"/>
          <w:b/>
          <w:bCs/>
          <w:color w:val="000000"/>
          <w:szCs w:val="18"/>
        </w:rPr>
        <w:t>c</w:t>
      </w:r>
      <w:r w:rsidRPr="00683B90">
        <w:rPr>
          <w:rFonts w:eastAsiaTheme="minorHAnsi" w:cs="Tahoma"/>
          <w:b/>
          <w:bCs/>
          <w:color w:val="000000"/>
          <w:szCs w:val="18"/>
        </w:rPr>
        <w:t xml:space="preserve">riteria </w:t>
      </w:r>
    </w:p>
    <w:p w14:paraId="7BE4A578" w14:textId="77777777" w:rsidR="00683B90" w:rsidRPr="00683B90" w:rsidRDefault="00683B90" w:rsidP="00683B90">
      <w:pPr>
        <w:autoSpaceDE w:val="0"/>
        <w:autoSpaceDN w:val="0"/>
        <w:adjustRightInd w:val="0"/>
        <w:spacing w:before="60" w:after="60"/>
        <w:rPr>
          <w:rFonts w:eastAsiaTheme="minorHAnsi" w:cs="Tahoma"/>
          <w:color w:val="000000"/>
          <w:szCs w:val="18"/>
        </w:rPr>
      </w:pPr>
      <w:r w:rsidRPr="00683B90">
        <w:rPr>
          <w:rFonts w:eastAsiaTheme="minorHAnsi" w:cs="Tahoma"/>
          <w:color w:val="000000"/>
          <w:szCs w:val="18"/>
        </w:rPr>
        <w:t xml:space="preserve">At least one of the following two epidemiological links: </w:t>
      </w:r>
    </w:p>
    <w:p w14:paraId="0DACF232" w14:textId="77777777" w:rsidR="00683B90" w:rsidRPr="00683B90" w:rsidRDefault="00683B90" w:rsidP="00683B90">
      <w:pPr>
        <w:autoSpaceDE w:val="0"/>
        <w:autoSpaceDN w:val="0"/>
        <w:adjustRightInd w:val="0"/>
        <w:spacing w:before="60" w:after="60"/>
        <w:rPr>
          <w:rFonts w:eastAsiaTheme="minorHAnsi" w:cs="Tahoma"/>
          <w:color w:val="000000"/>
          <w:szCs w:val="18"/>
        </w:rPr>
      </w:pPr>
      <w:r w:rsidRPr="00683B90">
        <w:rPr>
          <w:rFonts w:eastAsiaTheme="minorHAnsi" w:cs="Tahoma"/>
          <w:color w:val="000000"/>
          <w:szCs w:val="18"/>
        </w:rPr>
        <w:t xml:space="preserve">— Exposure to a common source (e.g. food, sharing of needles or other devices) </w:t>
      </w:r>
    </w:p>
    <w:p w14:paraId="3ED4168C" w14:textId="77777777" w:rsidR="00683B90" w:rsidRPr="00683B90" w:rsidRDefault="00683B90" w:rsidP="00683B90">
      <w:pPr>
        <w:pStyle w:val="CM4"/>
        <w:spacing w:before="60" w:after="60"/>
        <w:rPr>
          <w:rFonts w:ascii="Tahoma" w:hAnsi="Tahoma" w:cs="Tahoma"/>
          <w:color w:val="000000"/>
          <w:sz w:val="18"/>
          <w:szCs w:val="18"/>
        </w:rPr>
      </w:pPr>
      <w:r w:rsidRPr="00683B90">
        <w:rPr>
          <w:rFonts w:ascii="Tahoma" w:hAnsi="Tahoma" w:cs="Tahoma"/>
          <w:color w:val="000000"/>
          <w:sz w:val="18"/>
          <w:szCs w:val="18"/>
        </w:rPr>
        <w:t xml:space="preserve">— Exposure to contaminated food/drinking water </w:t>
      </w:r>
    </w:p>
    <w:p w14:paraId="2ABC85CC" w14:textId="77777777" w:rsidR="00947887" w:rsidRDefault="00947887" w:rsidP="00683B90">
      <w:pPr>
        <w:pStyle w:val="CM4"/>
        <w:spacing w:before="60" w:after="60"/>
        <w:rPr>
          <w:rFonts w:ascii="Tahoma" w:hAnsi="Tahoma" w:cs="Tahoma"/>
          <w:b/>
          <w:sz w:val="18"/>
          <w:szCs w:val="18"/>
        </w:rPr>
      </w:pPr>
    </w:p>
    <w:p w14:paraId="4B6E3413" w14:textId="77777777" w:rsidR="004B523C" w:rsidRPr="000B4234" w:rsidRDefault="004B523C" w:rsidP="00683B90">
      <w:pPr>
        <w:pStyle w:val="CM4"/>
        <w:spacing w:before="60" w:after="60"/>
        <w:rPr>
          <w:rFonts w:ascii="Tahoma" w:hAnsi="Tahoma" w:cs="Tahoma"/>
          <w:color w:val="000000"/>
          <w:sz w:val="18"/>
          <w:szCs w:val="18"/>
        </w:rPr>
      </w:pPr>
      <w:r w:rsidRPr="000B4234">
        <w:rPr>
          <w:rFonts w:ascii="Tahoma" w:hAnsi="Tahoma" w:cs="Tahoma"/>
          <w:b/>
          <w:sz w:val="18"/>
          <w:szCs w:val="18"/>
        </w:rPr>
        <w:t>Case classification</w:t>
      </w:r>
    </w:p>
    <w:p w14:paraId="41CF48EC" w14:textId="52BE419B" w:rsidR="006B593F" w:rsidRPr="000B4234" w:rsidRDefault="006B593F" w:rsidP="004B523C">
      <w:pPr>
        <w:pStyle w:val="Default"/>
        <w:rPr>
          <w:rFonts w:ascii="Tahoma" w:hAnsi="Tahoma" w:cs="Tahoma"/>
          <w:sz w:val="18"/>
          <w:szCs w:val="18"/>
        </w:rPr>
      </w:pPr>
      <w:r w:rsidRPr="000B4234">
        <w:rPr>
          <w:rFonts w:ascii="Tahoma" w:hAnsi="Tahoma" w:cs="Tahoma"/>
          <w:sz w:val="18"/>
          <w:szCs w:val="18"/>
        </w:rPr>
        <w:t>A. Possible case</w:t>
      </w:r>
      <w:r w:rsidR="00B519E4" w:rsidRPr="000B4234">
        <w:rPr>
          <w:rFonts w:ascii="Tahoma" w:hAnsi="Tahoma" w:cs="Tahoma"/>
          <w:sz w:val="18"/>
          <w:szCs w:val="18"/>
        </w:rPr>
        <w:t>:</w:t>
      </w:r>
      <w:r w:rsidRPr="000B4234">
        <w:rPr>
          <w:rFonts w:ascii="Tahoma" w:hAnsi="Tahoma" w:cs="Tahoma"/>
          <w:sz w:val="18"/>
          <w:szCs w:val="18"/>
        </w:rPr>
        <w:t xml:space="preserve"> NA</w:t>
      </w:r>
      <w:r w:rsidRPr="000B4234">
        <w:rPr>
          <w:rFonts w:cs="Tahoma"/>
          <w:sz w:val="18"/>
          <w:szCs w:val="18"/>
        </w:rPr>
        <w:t xml:space="preserve"> </w:t>
      </w:r>
      <w:r w:rsidRPr="000B4234">
        <w:rPr>
          <w:rFonts w:cs="Tahoma"/>
          <w:sz w:val="18"/>
          <w:szCs w:val="18"/>
        </w:rPr>
        <w:br/>
      </w:r>
      <w:r w:rsidRPr="000B4234">
        <w:rPr>
          <w:rFonts w:ascii="Tahoma" w:hAnsi="Tahoma" w:cs="Tahoma"/>
          <w:sz w:val="18"/>
          <w:szCs w:val="18"/>
        </w:rPr>
        <w:t>B. Probable case</w:t>
      </w:r>
      <w:r w:rsidR="00B519E4" w:rsidRPr="000B4234">
        <w:rPr>
          <w:rFonts w:ascii="Tahoma" w:hAnsi="Tahoma" w:cs="Tahoma"/>
          <w:sz w:val="18"/>
          <w:szCs w:val="18"/>
        </w:rPr>
        <w:t>:</w:t>
      </w:r>
      <w:r w:rsidRPr="000B4234">
        <w:rPr>
          <w:rFonts w:ascii="Tahoma" w:hAnsi="Tahoma" w:cs="Tahoma"/>
          <w:sz w:val="18"/>
          <w:szCs w:val="18"/>
        </w:rPr>
        <w:t xml:space="preserve"> Any person meeting the clinical criteria with an epidemiological link</w:t>
      </w:r>
    </w:p>
    <w:p w14:paraId="69F2383B" w14:textId="73BAE056" w:rsidR="0034321A" w:rsidRPr="0001197D" w:rsidRDefault="006B593F" w:rsidP="004B523C">
      <w:pPr>
        <w:pStyle w:val="Default"/>
        <w:rPr>
          <w:rFonts w:ascii="Tahoma" w:hAnsi="Tahoma" w:cs="Tahoma"/>
          <w:sz w:val="18"/>
          <w:szCs w:val="18"/>
        </w:rPr>
      </w:pPr>
      <w:r w:rsidRPr="000B4234">
        <w:rPr>
          <w:rFonts w:ascii="Tahoma" w:hAnsi="Tahoma" w:cs="Tahoma"/>
          <w:sz w:val="18"/>
          <w:szCs w:val="18"/>
        </w:rPr>
        <w:t>C. Confirmed case</w:t>
      </w:r>
      <w:r w:rsidR="00B519E4" w:rsidRPr="000B4234">
        <w:rPr>
          <w:rFonts w:ascii="Tahoma" w:hAnsi="Tahoma" w:cs="Tahoma"/>
          <w:sz w:val="18"/>
          <w:szCs w:val="18"/>
        </w:rPr>
        <w:t>:</w:t>
      </w:r>
      <w:r w:rsidRPr="000B4234">
        <w:rPr>
          <w:rFonts w:ascii="Tahoma" w:hAnsi="Tahoma" w:cs="Tahoma"/>
          <w:sz w:val="18"/>
          <w:szCs w:val="18"/>
        </w:rPr>
        <w:t xml:space="preserve"> Any person meeting the clinical and the laboratory criteria</w:t>
      </w:r>
    </w:p>
    <w:p w14:paraId="13FC4586" w14:textId="77777777" w:rsidR="000B4234" w:rsidRDefault="000B4234" w:rsidP="000B4234">
      <w:pPr>
        <w:pStyle w:val="EC-Para"/>
        <w:spacing w:after="0" w:line="240" w:lineRule="auto"/>
        <w:jc w:val="both"/>
        <w:rPr>
          <w:rFonts w:cs="Tahoma"/>
        </w:rPr>
      </w:pPr>
      <w:r>
        <w:rPr>
          <w:rFonts w:cs="Tahoma"/>
        </w:rPr>
        <w:t>------------------------</w:t>
      </w:r>
    </w:p>
    <w:p w14:paraId="7FAFF0C1" w14:textId="7E579F81" w:rsidR="00B960F7" w:rsidRPr="00B960F7" w:rsidRDefault="000B4234" w:rsidP="00584F83">
      <w:r w:rsidRPr="000B4234">
        <w:t>(</w:t>
      </w:r>
      <w:r w:rsidR="00955A50" w:rsidRPr="000B4234">
        <w:t>C</w:t>
      </w:r>
      <w:r w:rsidR="002965CF" w:rsidRPr="000B4234">
        <w:t xml:space="preserve">ompared to the 2008 and 2012 </w:t>
      </w:r>
      <w:r w:rsidR="00B960F7" w:rsidRPr="000B4234">
        <w:t>EU cas</w:t>
      </w:r>
      <w:r w:rsidR="002C6696" w:rsidRPr="000B4234">
        <w:t>e definition of botulism</w:t>
      </w:r>
      <w:r w:rsidR="002965CF" w:rsidRPr="000B4234">
        <w:t>,</w:t>
      </w:r>
      <w:r w:rsidR="002C6696" w:rsidRPr="000B4234">
        <w:t xml:space="preserve"> the</w:t>
      </w:r>
      <w:r w:rsidR="00B960F7" w:rsidRPr="000B4234">
        <w:t xml:space="preserve"> 20</w:t>
      </w:r>
      <w:r w:rsidR="002965CF" w:rsidRPr="000B4234">
        <w:t>1</w:t>
      </w:r>
      <w:r w:rsidR="00B960F7" w:rsidRPr="000B4234">
        <w:t xml:space="preserve">8 </w:t>
      </w:r>
      <w:r w:rsidR="002C6696" w:rsidRPr="000B4234">
        <w:t xml:space="preserve">EU case definition </w:t>
      </w:r>
      <w:r w:rsidR="00625C7B" w:rsidRPr="000B4234">
        <w:t>covers</w:t>
      </w:r>
      <w:r w:rsidR="002965CF" w:rsidRPr="000B4234">
        <w:t xml:space="preserve"> also other species of BoNT-producing</w:t>
      </w:r>
      <w:r w:rsidR="002965CF" w:rsidRPr="000B4234">
        <w:rPr>
          <w:i/>
        </w:rPr>
        <w:t xml:space="preserve"> Clostridium</w:t>
      </w:r>
      <w:r w:rsidR="002965CF" w:rsidRPr="000B4234">
        <w:t xml:space="preserve"> and allows genotypic tests for</w:t>
      </w:r>
      <w:r w:rsidR="00625C7B" w:rsidRPr="000B4234">
        <w:t xml:space="preserve"> laboratory</w:t>
      </w:r>
      <w:r w:rsidR="002965CF" w:rsidRPr="000B4234">
        <w:t xml:space="preserve"> confirmation</w:t>
      </w:r>
      <w:r w:rsidR="002C6696" w:rsidRPr="000B4234">
        <w:t>.</w:t>
      </w:r>
      <w:r w:rsidRPr="000B4234">
        <w:t>)</w:t>
      </w:r>
      <w:r w:rsidR="002C6696" w:rsidRPr="000B4234">
        <w:t xml:space="preserve"> </w:t>
      </w:r>
    </w:p>
    <w:p w14:paraId="77E8B43B" w14:textId="170385C3" w:rsidR="00C82DDE" w:rsidRPr="004B056A" w:rsidRDefault="00C82DDE" w:rsidP="004B056A">
      <w:pPr>
        <w:pStyle w:val="EC-Title-6"/>
      </w:pPr>
      <w:r w:rsidRPr="004B056A">
        <w:lastRenderedPageBreak/>
        <w:t xml:space="preserve">Data collection and analysis </w:t>
      </w:r>
    </w:p>
    <w:p w14:paraId="681C5C42" w14:textId="557DBF95" w:rsidR="004B523C" w:rsidRDefault="004B523C" w:rsidP="004B523C">
      <w:pPr>
        <w:pStyle w:val="EC-Para"/>
        <w:spacing w:line="240" w:lineRule="auto"/>
        <w:jc w:val="both"/>
        <w:rPr>
          <w:rFonts w:cs="Tahoma"/>
        </w:rPr>
      </w:pPr>
      <w:r>
        <w:rPr>
          <w:rFonts w:cs="Tahoma"/>
        </w:rPr>
        <w:t>Data are collected on an annual basis</w:t>
      </w:r>
      <w:r w:rsidR="002173DA">
        <w:rPr>
          <w:rFonts w:cs="Tahoma"/>
        </w:rPr>
        <w:t xml:space="preserve"> </w:t>
      </w:r>
      <w:r>
        <w:rPr>
          <w:rFonts w:cs="Tahoma"/>
        </w:rPr>
        <w:t xml:space="preserve">for the previous year. </w:t>
      </w:r>
      <w:r w:rsidR="002173DA">
        <w:rPr>
          <w:rFonts w:cs="Tahoma"/>
        </w:rPr>
        <w:t>C</w:t>
      </w:r>
      <w:r w:rsidR="002173DA" w:rsidRPr="007B34B1">
        <w:rPr>
          <w:rFonts w:cs="Tahoma"/>
        </w:rPr>
        <w:t>ountries can also update their data</w:t>
      </w:r>
      <w:r w:rsidR="00663C7C">
        <w:rPr>
          <w:rFonts w:cs="Tahoma"/>
        </w:rPr>
        <w:t xml:space="preserve"> at any</w:t>
      </w:r>
      <w:r w:rsidR="00CD58EB">
        <w:rPr>
          <w:rFonts w:cs="Tahoma"/>
        </w:rPr>
        <w:t xml:space="preserve"> time</w:t>
      </w:r>
      <w:r w:rsidR="002173DA">
        <w:rPr>
          <w:rFonts w:cs="Tahoma"/>
        </w:rPr>
        <w:t>.</w:t>
      </w:r>
      <w:r>
        <w:rPr>
          <w:rFonts w:cs="Tahoma"/>
        </w:rPr>
        <w:t xml:space="preserve"> Before analysis, data are validated with nominated data providers in </w:t>
      </w:r>
      <w:r w:rsidR="00E75405">
        <w:rPr>
          <w:rFonts w:cs="Tahoma"/>
        </w:rPr>
        <w:t>EU</w:t>
      </w:r>
      <w:r w:rsidR="00881B11">
        <w:rPr>
          <w:rFonts w:cs="Tahoma"/>
        </w:rPr>
        <w:t>/EEA countries</w:t>
      </w:r>
      <w:r>
        <w:rPr>
          <w:rFonts w:cs="Tahoma"/>
        </w:rPr>
        <w:t>.</w:t>
      </w:r>
      <w:r w:rsidR="00947887">
        <w:rPr>
          <w:rFonts w:cs="Tahoma"/>
        </w:rPr>
        <w:t xml:space="preserve"> C</w:t>
      </w:r>
      <w:r>
        <w:t xml:space="preserve">ountry population denominators by age group </w:t>
      </w:r>
      <w:r w:rsidR="00947887">
        <w:t xml:space="preserve">for the calculation of notification rates </w:t>
      </w:r>
      <w:r>
        <w:t>were obtained from Eurostat</w:t>
      </w:r>
      <w:r>
        <w:rPr>
          <w:rStyle w:val="FootnoteReference"/>
        </w:rPr>
        <w:footnoteReference w:id="4"/>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230C2D30" w14:textId="27962BAF" w:rsidR="004B523C" w:rsidRDefault="00947887" w:rsidP="004B523C">
      <w:pPr>
        <w:pStyle w:val="EC-Para"/>
        <w:jc w:val="both"/>
      </w:pPr>
      <w:r>
        <w:t>Indicators were displayed as “</w:t>
      </w:r>
      <w:r w:rsidRPr="00321372">
        <w:rPr>
          <w:rFonts w:eastAsiaTheme="minorHAnsi" w:cs="Tahoma"/>
          <w:b/>
          <w:lang w:eastAsia="en-US"/>
        </w:rPr>
        <w:t>–</w:t>
      </w:r>
      <w:r>
        <w:t xml:space="preserve">” and not calculated for </w:t>
      </w:r>
      <w:r w:rsidR="004B523C">
        <w:t>variable</w:t>
      </w:r>
      <w:r>
        <w:t>s</w:t>
      </w:r>
      <w:r w:rsidR="004B523C">
        <w:t xml:space="preserve"> </w:t>
      </w:r>
      <w:r>
        <w:t>with</w:t>
      </w:r>
      <w:r w:rsidR="004B523C">
        <w:t xml:space="preserve"> more than 50% </w:t>
      </w:r>
      <w:r w:rsidR="00723F5A">
        <w:t xml:space="preserve">of </w:t>
      </w:r>
      <w:r w:rsidR="004B523C">
        <w:t xml:space="preserve">cases </w:t>
      </w:r>
      <w:r>
        <w:t xml:space="preserve">with undocumented information (unknown or missing) </w:t>
      </w:r>
      <w:r w:rsidR="003213C8">
        <w:t xml:space="preserve">for </w:t>
      </w:r>
      <w:r w:rsidRPr="00947887">
        <w:t>a given geograph</w:t>
      </w:r>
      <w:r>
        <w:t xml:space="preserve">ical resolution </w:t>
      </w:r>
      <w:r w:rsidR="0089652D">
        <w:t xml:space="preserve">(e.g. country, EU/EEA) </w:t>
      </w:r>
      <w:r>
        <w:t xml:space="preserve">and </w:t>
      </w:r>
      <w:proofErr w:type="gramStart"/>
      <w:r>
        <w:t>time period</w:t>
      </w:r>
      <w:proofErr w:type="gramEnd"/>
      <w:r w:rsidR="004B523C">
        <w:t xml:space="preserve">. </w:t>
      </w:r>
      <w:r>
        <w:t>T</w:t>
      </w:r>
      <w:r w:rsidR="002173DA" w:rsidRPr="00C51AE7">
        <w:rPr>
          <w:rFonts w:cstheme="minorHAnsi"/>
        </w:rPr>
        <w:t xml:space="preserve">he age-standardised rate and the notification rate for domestic cases were calculated when age </w:t>
      </w:r>
      <w:r w:rsidR="00723F5A">
        <w:rPr>
          <w:rFonts w:cstheme="minorHAnsi"/>
        </w:rPr>
        <w:t>and</w:t>
      </w:r>
      <w:r w:rsidR="002173DA" w:rsidRPr="00C51AE7">
        <w:rPr>
          <w:rFonts w:cstheme="minorHAnsi"/>
        </w:rPr>
        <w:t xml:space="preserve"> </w:t>
      </w:r>
      <w:r w:rsidR="00CD58EB">
        <w:rPr>
          <w:rFonts w:cstheme="minorHAnsi"/>
        </w:rPr>
        <w:t xml:space="preserve">travel history </w:t>
      </w:r>
      <w:r w:rsidR="002173DA" w:rsidRPr="00C51AE7">
        <w:rPr>
          <w:rFonts w:cstheme="minorHAnsi"/>
        </w:rPr>
        <w:t>w</w:t>
      </w:r>
      <w:r w:rsidR="00723F5A">
        <w:rPr>
          <w:rFonts w:cstheme="minorHAnsi"/>
        </w:rPr>
        <w:t>ere</w:t>
      </w:r>
      <w:r w:rsidR="002173DA" w:rsidRPr="00C51AE7">
        <w:rPr>
          <w:rFonts w:cstheme="minorHAnsi"/>
        </w:rPr>
        <w:t xml:space="preserve"> known </w:t>
      </w:r>
      <w:r w:rsidR="00723F5A">
        <w:rPr>
          <w:rFonts w:cstheme="minorHAnsi"/>
        </w:rPr>
        <w:t>for</w:t>
      </w:r>
      <w:r w:rsidR="002173DA" w:rsidRPr="00C51AE7">
        <w:rPr>
          <w:rFonts w:cstheme="minorHAnsi"/>
        </w:rPr>
        <w:t xml:space="preserve"> at least 90% of cases. </w:t>
      </w:r>
    </w:p>
    <w:p w14:paraId="252E62C8" w14:textId="336F563E" w:rsidR="004B523C" w:rsidRDefault="004B523C" w:rsidP="004B523C">
      <w:pPr>
        <w:pStyle w:val="EC-Para"/>
        <w:jc w:val="both"/>
        <w:rPr>
          <w:rFonts w:cs="Tahoma"/>
        </w:rPr>
      </w:pPr>
      <w:r>
        <w:rPr>
          <w:rFonts w:cs="Tahoma"/>
        </w:rPr>
        <w:t xml:space="preserve">Surveillance systems across the EU/EEA countries are heterogeneous and a surveillance systems overview is displayed in </w:t>
      </w:r>
      <w:r w:rsidR="005E139C">
        <w:rPr>
          <w:rFonts w:cs="Tahoma"/>
        </w:rPr>
        <w:t>Annex 1.</w:t>
      </w:r>
    </w:p>
    <w:p w14:paraId="7CA81908" w14:textId="77777777" w:rsidR="00C351F7" w:rsidRDefault="00C351F7" w:rsidP="004B523C">
      <w:pPr>
        <w:pStyle w:val="EC-Para"/>
        <w:jc w:val="both"/>
        <w:rPr>
          <w:rFonts w:cs="Tahoma"/>
        </w:rPr>
      </w:pPr>
    </w:p>
    <w:p w14:paraId="7F904C0C" w14:textId="77777777" w:rsidR="004B523C" w:rsidRPr="004B056A" w:rsidRDefault="004B523C" w:rsidP="004B056A">
      <w:pPr>
        <w:pStyle w:val="EC-Title-6"/>
      </w:pPr>
      <w:r w:rsidRPr="004B056A">
        <w:t>Surveillance Atlas indicators</w:t>
      </w:r>
    </w:p>
    <w:p w14:paraId="5DC26DCE" w14:textId="56E2A65E" w:rsidR="004B523C" w:rsidRDefault="004B523C" w:rsidP="008D6924">
      <w:pPr>
        <w:pStyle w:val="EC-Para"/>
        <w:spacing w:line="240" w:lineRule="auto"/>
        <w:rPr>
          <w:rFonts w:cs="Tahoma"/>
        </w:rPr>
      </w:pPr>
      <w:r w:rsidRPr="005E139C">
        <w:rPr>
          <w:rFonts w:cs="Tahoma"/>
        </w:rPr>
        <w:t>The Surveillance Atl</w:t>
      </w:r>
      <w:r w:rsidR="002F71CA" w:rsidRPr="005E139C">
        <w:rPr>
          <w:rFonts w:cs="Tahoma"/>
        </w:rPr>
        <w:t xml:space="preserve">as indicators for </w:t>
      </w:r>
      <w:r w:rsidR="00BB25AA">
        <w:rPr>
          <w:rFonts w:cs="Tahoma"/>
        </w:rPr>
        <w:t xml:space="preserve">confirmed </w:t>
      </w:r>
      <w:r w:rsidR="002F71CA" w:rsidRPr="005E139C">
        <w:rPr>
          <w:rFonts w:cs="Tahoma"/>
        </w:rPr>
        <w:t>botulism</w:t>
      </w:r>
      <w:r w:rsidRPr="005E139C">
        <w:rPr>
          <w:rFonts w:cs="Tahoma"/>
        </w:rPr>
        <w:t xml:space="preserve"> are:</w:t>
      </w:r>
    </w:p>
    <w:p w14:paraId="29F14D39" w14:textId="77777777" w:rsidR="00206DFA" w:rsidRPr="007B34B1" w:rsidRDefault="00206DFA" w:rsidP="000617B1">
      <w:pPr>
        <w:numPr>
          <w:ilvl w:val="0"/>
          <w:numId w:val="3"/>
        </w:numPr>
        <w:kinsoku w:val="0"/>
        <w:autoSpaceDE w:val="0"/>
        <w:autoSpaceDN w:val="0"/>
        <w:adjustRightInd w:val="0"/>
        <w:spacing w:line="240" w:lineRule="auto"/>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292C499E" w14:textId="77777777" w:rsidR="00206DFA" w:rsidRPr="007B34B1" w:rsidRDefault="00206DFA" w:rsidP="000617B1">
      <w:pPr>
        <w:numPr>
          <w:ilvl w:val="0"/>
          <w:numId w:val="3"/>
        </w:numPr>
        <w:kinsoku w:val="0"/>
        <w:autoSpaceDE w:val="0"/>
        <w:autoSpaceDN w:val="0"/>
        <w:adjustRightInd w:val="0"/>
        <w:spacing w:line="240" w:lineRule="auto"/>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58C2F4C1" w14:textId="6567F570" w:rsidR="002173DA" w:rsidRDefault="002173DA" w:rsidP="000617B1">
      <w:pPr>
        <w:numPr>
          <w:ilvl w:val="0"/>
          <w:numId w:val="3"/>
        </w:numPr>
        <w:kinsoku w:val="0"/>
        <w:autoSpaceDE w:val="0"/>
        <w:autoSpaceDN w:val="0"/>
        <w:adjustRightInd w:val="0"/>
        <w:spacing w:line="240" w:lineRule="auto"/>
        <w:rPr>
          <w:rFonts w:eastAsia="Arial Unicode MS" w:cs="Tahoma"/>
          <w:kern w:val="22"/>
          <w:szCs w:val="18"/>
        </w:rPr>
      </w:pPr>
      <w:r>
        <w:rPr>
          <w:rFonts w:eastAsia="Arial Unicode MS" w:cs="Tahoma"/>
          <w:kern w:val="22"/>
          <w:szCs w:val="18"/>
        </w:rPr>
        <w:t xml:space="preserve">Age-standardised rate per 100 000 </w:t>
      </w:r>
      <w:proofErr w:type="gramStart"/>
      <w:r>
        <w:rPr>
          <w:rFonts w:eastAsia="Arial Unicode MS" w:cs="Tahoma"/>
          <w:kern w:val="22"/>
          <w:szCs w:val="18"/>
        </w:rPr>
        <w:t>population;</w:t>
      </w:r>
      <w:proofErr w:type="gramEnd"/>
    </w:p>
    <w:p w14:paraId="1B09E376" w14:textId="705FC502" w:rsidR="002173DA" w:rsidRDefault="002173DA" w:rsidP="000617B1">
      <w:pPr>
        <w:numPr>
          <w:ilvl w:val="0"/>
          <w:numId w:val="3"/>
        </w:numPr>
        <w:kinsoku w:val="0"/>
        <w:autoSpaceDE w:val="0"/>
        <w:autoSpaceDN w:val="0"/>
        <w:adjustRightInd w:val="0"/>
        <w:spacing w:line="240" w:lineRule="auto"/>
        <w:rPr>
          <w:rFonts w:eastAsia="Arial Unicode MS" w:cs="Tahoma"/>
          <w:kern w:val="22"/>
          <w:szCs w:val="18"/>
        </w:rPr>
      </w:pPr>
      <w:r>
        <w:rPr>
          <w:rFonts w:eastAsia="Arial Unicode MS" w:cs="Tahoma"/>
          <w:kern w:val="22"/>
          <w:szCs w:val="18"/>
        </w:rPr>
        <w:t xml:space="preserve">Number of hospitalised </w:t>
      </w:r>
      <w:proofErr w:type="gramStart"/>
      <w:r>
        <w:rPr>
          <w:rFonts w:eastAsia="Arial Unicode MS" w:cs="Tahoma"/>
          <w:kern w:val="22"/>
          <w:szCs w:val="18"/>
        </w:rPr>
        <w:t>cases</w:t>
      </w:r>
      <w:r w:rsidR="009E3B14">
        <w:rPr>
          <w:rFonts w:eastAsia="Arial Unicode MS" w:cs="Tahoma"/>
          <w:kern w:val="22"/>
          <w:szCs w:val="18"/>
        </w:rPr>
        <w:t>;</w:t>
      </w:r>
      <w:proofErr w:type="gramEnd"/>
    </w:p>
    <w:p w14:paraId="7F2AA2E9" w14:textId="13C102D6" w:rsidR="002173DA" w:rsidRPr="002173DA" w:rsidRDefault="002173DA" w:rsidP="000617B1">
      <w:pPr>
        <w:pStyle w:val="EC-Para"/>
        <w:numPr>
          <w:ilvl w:val="0"/>
          <w:numId w:val="3"/>
        </w:numPr>
        <w:spacing w:after="0" w:line="240" w:lineRule="auto"/>
        <w:rPr>
          <w:rFonts w:cs="Tahoma"/>
        </w:rPr>
      </w:pPr>
      <w:r>
        <w:rPr>
          <w:rFonts w:cs="Tahoma"/>
        </w:rPr>
        <w:t xml:space="preserve">Proportion of hospitalised cases among confirmed cases </w:t>
      </w:r>
      <w:r w:rsidR="00D01F4B">
        <w:rPr>
          <w:rFonts w:cs="Tahoma"/>
        </w:rPr>
        <w:t xml:space="preserve">with known history of hospitalisation </w:t>
      </w:r>
      <w:r>
        <w:rPr>
          <w:rFonts w:cs="Tahoma"/>
        </w:rPr>
        <w:t>(%</w:t>
      </w:r>
      <w:proofErr w:type="gramStart"/>
      <w:r>
        <w:rPr>
          <w:rFonts w:cs="Tahoma"/>
        </w:rPr>
        <w:t>);</w:t>
      </w:r>
      <w:proofErr w:type="gramEnd"/>
    </w:p>
    <w:p w14:paraId="4B9039D7" w14:textId="1106070F" w:rsidR="00206DFA" w:rsidRPr="007B34B1" w:rsidRDefault="00206DFA" w:rsidP="000617B1">
      <w:pPr>
        <w:numPr>
          <w:ilvl w:val="0"/>
          <w:numId w:val="3"/>
        </w:numPr>
        <w:kinsoku w:val="0"/>
        <w:autoSpaceDE w:val="0"/>
        <w:autoSpaceDN w:val="0"/>
        <w:adjustRightInd w:val="0"/>
        <w:spacing w:line="240" w:lineRule="auto"/>
        <w:rPr>
          <w:rFonts w:eastAsia="Arial Unicode MS" w:cs="Tahoma"/>
          <w:kern w:val="22"/>
          <w:szCs w:val="18"/>
        </w:rPr>
      </w:pPr>
      <w:r w:rsidRPr="007B34B1">
        <w:rPr>
          <w:rFonts w:eastAsia="Arial Unicode MS" w:cs="Tahoma"/>
          <w:kern w:val="22"/>
          <w:szCs w:val="18"/>
        </w:rPr>
        <w:t xml:space="preserve">Number of deaths derived from reporting of </w:t>
      </w:r>
      <w:r w:rsidR="008F3C33" w:rsidRPr="007B34B1">
        <w:rPr>
          <w:rFonts w:eastAsia="Arial Unicode MS" w:cs="Tahoma"/>
          <w:kern w:val="22"/>
          <w:szCs w:val="18"/>
        </w:rPr>
        <w:t xml:space="preserve">disease </w:t>
      </w:r>
      <w:proofErr w:type="gramStart"/>
      <w:r w:rsidRPr="007B34B1">
        <w:rPr>
          <w:rFonts w:eastAsia="Arial Unicode MS" w:cs="Tahoma"/>
          <w:kern w:val="22"/>
          <w:szCs w:val="18"/>
        </w:rPr>
        <w:t>outcome;</w:t>
      </w:r>
      <w:proofErr w:type="gramEnd"/>
    </w:p>
    <w:p w14:paraId="7707DA7F" w14:textId="313D8EC8" w:rsidR="00206DFA" w:rsidRPr="007B34B1" w:rsidRDefault="00206DFA" w:rsidP="000617B1">
      <w:pPr>
        <w:numPr>
          <w:ilvl w:val="0"/>
          <w:numId w:val="3"/>
        </w:numPr>
        <w:kinsoku w:val="0"/>
        <w:autoSpaceDE w:val="0"/>
        <w:autoSpaceDN w:val="0"/>
        <w:adjustRightInd w:val="0"/>
        <w:spacing w:line="240" w:lineRule="auto"/>
        <w:rPr>
          <w:rFonts w:eastAsia="Arial Unicode MS" w:cs="Tahoma"/>
          <w:kern w:val="22"/>
          <w:szCs w:val="18"/>
        </w:rPr>
      </w:pPr>
      <w:r>
        <w:rPr>
          <w:rFonts w:eastAsia="Arial Unicode MS" w:cs="Tahoma"/>
          <w:kern w:val="22"/>
          <w:szCs w:val="18"/>
        </w:rPr>
        <w:t>Case</w:t>
      </w:r>
      <w:r w:rsidR="00721E95">
        <w:rPr>
          <w:rFonts w:eastAsia="Arial Unicode MS" w:cs="Tahoma"/>
          <w:kern w:val="22"/>
          <w:szCs w:val="18"/>
        </w:rPr>
        <w:t xml:space="preserve"> </w:t>
      </w:r>
      <w:r>
        <w:rPr>
          <w:rFonts w:eastAsia="Arial Unicode MS" w:cs="Tahoma"/>
          <w:kern w:val="22"/>
          <w:szCs w:val="18"/>
        </w:rPr>
        <w:t xml:space="preserve">fatality calculated as proportion of deaths among confirmed cases with known </w:t>
      </w:r>
      <w:r w:rsidR="00215C01">
        <w:rPr>
          <w:rFonts w:eastAsia="Arial Unicode MS" w:cs="Tahoma"/>
          <w:kern w:val="22"/>
          <w:szCs w:val="18"/>
        </w:rPr>
        <w:t xml:space="preserve">disease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035641D6" w14:textId="77777777" w:rsidR="00206DFA" w:rsidRPr="007B34B1" w:rsidRDefault="00206DFA" w:rsidP="000617B1">
      <w:pPr>
        <w:numPr>
          <w:ilvl w:val="0"/>
          <w:numId w:val="3"/>
        </w:numPr>
        <w:kinsoku w:val="0"/>
        <w:autoSpaceDE w:val="0"/>
        <w:autoSpaceDN w:val="0"/>
        <w:adjustRightInd w:val="0"/>
        <w:spacing w:line="240" w:lineRule="auto"/>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1F28606C" w14:textId="46460342" w:rsidR="00206DFA" w:rsidRPr="007B34B1" w:rsidRDefault="00206DFA" w:rsidP="000617B1">
      <w:pPr>
        <w:numPr>
          <w:ilvl w:val="0"/>
          <w:numId w:val="3"/>
        </w:numPr>
        <w:kinsoku w:val="0"/>
        <w:autoSpaceDE w:val="0"/>
        <w:autoSpaceDN w:val="0"/>
        <w:adjustRightInd w:val="0"/>
        <w:spacing w:line="240" w:lineRule="auto"/>
        <w:rPr>
          <w:rFonts w:eastAsia="Arial Unicode MS" w:cs="Tahoma"/>
          <w:kern w:val="22"/>
          <w:szCs w:val="18"/>
        </w:rPr>
      </w:pPr>
      <w:r>
        <w:rPr>
          <w:rFonts w:eastAsia="Arial Unicode MS" w:cs="Tahoma"/>
          <w:kern w:val="22"/>
          <w:szCs w:val="18"/>
        </w:rPr>
        <w:t>Proportion of travel associated</w:t>
      </w:r>
      <w:r w:rsidRPr="007B34B1">
        <w:rPr>
          <w:rFonts w:eastAsia="Arial Unicode MS" w:cs="Tahoma"/>
          <w:kern w:val="22"/>
          <w:szCs w:val="18"/>
        </w:rPr>
        <w:t xml:space="preserve"> cases </w:t>
      </w:r>
      <w:r>
        <w:rPr>
          <w:rFonts w:eastAsia="Arial Unicode MS" w:cs="Tahoma"/>
          <w:kern w:val="22"/>
          <w:szCs w:val="18"/>
        </w:rPr>
        <w:t>among confirmed cases</w:t>
      </w:r>
      <w:r w:rsidR="00D01F4B">
        <w:rPr>
          <w:rFonts w:eastAsia="Arial Unicode MS" w:cs="Tahoma"/>
          <w:kern w:val="22"/>
          <w:szCs w:val="18"/>
        </w:rPr>
        <w:t xml:space="preserve"> with known travel </w:t>
      </w:r>
      <w:r w:rsidR="00663C7C">
        <w:rPr>
          <w:rFonts w:eastAsia="Arial Unicode MS" w:cs="Tahoma"/>
          <w:kern w:val="22"/>
          <w:szCs w:val="18"/>
        </w:rPr>
        <w:t>history outside the reporting country</w:t>
      </w:r>
      <w:r>
        <w:rPr>
          <w:rFonts w:eastAsia="Arial Unicode MS" w:cs="Tahoma"/>
          <w:kern w:val="22"/>
          <w:szCs w:val="18"/>
        </w:rPr>
        <w:t xml:space="preserve"> (%</w:t>
      </w:r>
      <w:proofErr w:type="gramStart"/>
      <w:r>
        <w:rPr>
          <w:rFonts w:eastAsia="Arial Unicode MS" w:cs="Tahoma"/>
          <w:kern w:val="22"/>
          <w:szCs w:val="18"/>
        </w:rPr>
        <w:t>)</w:t>
      </w:r>
      <w:r w:rsidRPr="007B34B1">
        <w:rPr>
          <w:rFonts w:eastAsia="Arial Unicode MS" w:cs="Tahoma"/>
          <w:kern w:val="22"/>
          <w:szCs w:val="18"/>
        </w:rPr>
        <w:t>;</w:t>
      </w:r>
      <w:proofErr w:type="gramEnd"/>
    </w:p>
    <w:p w14:paraId="6B07D31E" w14:textId="77777777" w:rsidR="00206DFA" w:rsidRPr="007B34B1" w:rsidRDefault="00206DFA" w:rsidP="00206DFA">
      <w:pPr>
        <w:kinsoku w:val="0"/>
        <w:autoSpaceDE w:val="0"/>
        <w:autoSpaceDN w:val="0"/>
        <w:adjustRightInd w:val="0"/>
        <w:spacing w:line="200" w:lineRule="atLeast"/>
        <w:ind w:left="720"/>
        <w:rPr>
          <w:rFonts w:eastAsia="Arial Unicode MS" w:cs="Tahoma"/>
          <w:kern w:val="22"/>
          <w:szCs w:val="18"/>
        </w:rPr>
      </w:pPr>
    </w:p>
    <w:p w14:paraId="26D1BE02" w14:textId="08DC8EB6" w:rsidR="00206DFA" w:rsidRPr="007B34B1" w:rsidRDefault="00206DFA" w:rsidP="00206DFA">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57730BD2" w14:textId="2586D3CA" w:rsidR="00206DFA" w:rsidRPr="007B34B1" w:rsidRDefault="00206DFA"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008415E3" w:rsidRPr="00683B90">
        <w:rPr>
          <w:rFonts w:eastAsiaTheme="minorHAnsi" w:cs="Tahoma"/>
          <w:color w:val="000000"/>
          <w:szCs w:val="18"/>
        </w:rPr>
        <w:t>&lt;</w:t>
      </w:r>
      <w:r w:rsidR="008415E3">
        <w:rPr>
          <w:rFonts w:eastAsiaTheme="minorHAnsi" w:cs="Tahoma"/>
          <w:color w:val="000000"/>
          <w:szCs w:val="18"/>
        </w:rPr>
        <w:t xml:space="preserve"> </w:t>
      </w:r>
      <w:r w:rsidR="008415E3">
        <w:rPr>
          <w:rFonts w:eastAsia="Arial Unicode MS" w:cs="Tahoma"/>
          <w:kern w:val="22"/>
          <w:szCs w:val="18"/>
        </w:rPr>
        <w:t>1 year</w:t>
      </w:r>
      <w:r w:rsidR="00AB0F63">
        <w:rPr>
          <w:rFonts w:eastAsia="Arial Unicode MS" w:cs="Tahoma"/>
          <w:kern w:val="22"/>
          <w:szCs w:val="18"/>
        </w:rPr>
        <w:t>, 1</w:t>
      </w:r>
      <w:r w:rsidRPr="007B34B1">
        <w:rPr>
          <w:rFonts w:eastAsia="Arial Unicode MS" w:cs="Tahoma"/>
          <w:kern w:val="22"/>
          <w:szCs w:val="18"/>
        </w:rPr>
        <w:t>-4, 5-14, 15-24, 25-44, 45-64, 65 years and above</w:t>
      </w:r>
      <w:proofErr w:type="gramStart"/>
      <w:r w:rsidRPr="007B34B1">
        <w:rPr>
          <w:rFonts w:eastAsia="Arial Unicode MS" w:cs="Tahoma"/>
          <w:kern w:val="22"/>
          <w:szCs w:val="18"/>
        </w:rPr>
        <w:t>);</w:t>
      </w:r>
      <w:proofErr w:type="gramEnd"/>
    </w:p>
    <w:p w14:paraId="739960DC" w14:textId="510C0544" w:rsidR="00206DFA" w:rsidRPr="007B34B1" w:rsidRDefault="00C82DDE"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00206DFA" w:rsidRPr="007B34B1">
        <w:rPr>
          <w:rFonts w:eastAsia="Arial Unicode MS" w:cs="Tahoma"/>
          <w:kern w:val="22"/>
          <w:szCs w:val="18"/>
        </w:rPr>
        <w:t>ender</w:t>
      </w:r>
      <w:r>
        <w:rPr>
          <w:rFonts w:eastAsia="Arial Unicode MS" w:cs="Tahoma"/>
          <w:kern w:val="22"/>
          <w:szCs w:val="18"/>
        </w:rPr>
        <w:t>-specific notification rate</w:t>
      </w:r>
      <w:r w:rsidR="00947887">
        <w:rPr>
          <w:rFonts w:eastAsia="Arial Unicode MS" w:cs="Tahoma"/>
          <w:kern w:val="22"/>
          <w:szCs w:val="18"/>
        </w:rPr>
        <w:t>.</w:t>
      </w:r>
    </w:p>
    <w:p w14:paraId="5E25D580" w14:textId="77777777" w:rsidR="00206DFA" w:rsidRDefault="00206DFA" w:rsidP="00206DFA">
      <w:pPr>
        <w:kinsoku w:val="0"/>
        <w:autoSpaceDE w:val="0"/>
        <w:autoSpaceDN w:val="0"/>
        <w:adjustRightInd w:val="0"/>
        <w:spacing w:line="200" w:lineRule="atLeast"/>
        <w:rPr>
          <w:rFonts w:eastAsia="Arial Unicode MS" w:cs="Tahoma"/>
          <w:kern w:val="22"/>
          <w:szCs w:val="18"/>
        </w:rPr>
      </w:pPr>
    </w:p>
    <w:p w14:paraId="26859F9A" w14:textId="18DC62F6" w:rsidR="00206DFA" w:rsidRPr="007B34B1" w:rsidRDefault="00206DFA" w:rsidP="00206DFA">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w:t>
      </w:r>
      <w:r w:rsidR="00C82DDE">
        <w:rPr>
          <w:rFonts w:eastAsia="Arial Unicode MS" w:cs="Tahoma"/>
          <w:kern w:val="22"/>
          <w:szCs w:val="18"/>
          <w:u w:val="single"/>
        </w:rPr>
        <w:t xml:space="preserve"> other</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6F48A0E6" w14:textId="38D699FF" w:rsidR="00206DFA" w:rsidRPr="007B34B1" w:rsidRDefault="006779BD"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00206DFA" w:rsidRPr="007B34B1">
        <w:rPr>
          <w:rFonts w:eastAsia="Arial Unicode MS" w:cs="Tahoma"/>
          <w:kern w:val="22"/>
          <w:szCs w:val="18"/>
        </w:rPr>
        <w:t>ge groups (</w:t>
      </w:r>
      <w:r w:rsidR="008415E3" w:rsidRPr="00683B90">
        <w:rPr>
          <w:rFonts w:eastAsiaTheme="minorHAnsi" w:cs="Tahoma"/>
          <w:color w:val="000000"/>
          <w:szCs w:val="18"/>
        </w:rPr>
        <w:t>&lt;</w:t>
      </w:r>
      <w:r w:rsidR="008415E3">
        <w:rPr>
          <w:rFonts w:eastAsiaTheme="minorHAnsi" w:cs="Tahoma"/>
          <w:color w:val="000000"/>
          <w:szCs w:val="18"/>
        </w:rPr>
        <w:t xml:space="preserve"> </w:t>
      </w:r>
      <w:r w:rsidR="008415E3">
        <w:rPr>
          <w:rFonts w:eastAsia="Arial Unicode MS" w:cs="Tahoma"/>
          <w:kern w:val="22"/>
          <w:szCs w:val="18"/>
        </w:rPr>
        <w:t>1 year</w:t>
      </w:r>
      <w:r w:rsidR="00AB0F63">
        <w:rPr>
          <w:rFonts w:eastAsia="Arial Unicode MS" w:cs="Tahoma"/>
          <w:kern w:val="22"/>
          <w:szCs w:val="18"/>
        </w:rPr>
        <w:t>, 1</w:t>
      </w:r>
      <w:r w:rsidR="00206DFA" w:rsidRPr="007B34B1">
        <w:rPr>
          <w:rFonts w:eastAsia="Arial Unicode MS" w:cs="Tahoma"/>
          <w:kern w:val="22"/>
          <w:szCs w:val="18"/>
        </w:rPr>
        <w:t>-4, 5-14, 15-24, 25-44, 45-64, 65 years and above</w:t>
      </w:r>
      <w:proofErr w:type="gramStart"/>
      <w:r w:rsidR="00206DFA" w:rsidRPr="007B34B1">
        <w:rPr>
          <w:rFonts w:eastAsia="Arial Unicode MS" w:cs="Tahoma"/>
          <w:kern w:val="22"/>
          <w:szCs w:val="18"/>
        </w:rPr>
        <w:t>);</w:t>
      </w:r>
      <w:proofErr w:type="gramEnd"/>
    </w:p>
    <w:p w14:paraId="6CB47D47" w14:textId="339C8F88" w:rsidR="00206DFA" w:rsidRPr="00020804" w:rsidRDefault="00206DFA"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44389085" w14:textId="2BEA96A6" w:rsidR="006779BD" w:rsidRDefault="006779BD" w:rsidP="000617B1">
      <w:pPr>
        <w:pStyle w:val="ListParagraph"/>
        <w:numPr>
          <w:ilvl w:val="0"/>
          <w:numId w:val="6"/>
        </w:numPr>
        <w:kinsoku w:val="0"/>
        <w:autoSpaceDE w:val="0"/>
        <w:autoSpaceDN w:val="0"/>
        <w:adjustRightInd w:val="0"/>
        <w:spacing w:after="0" w:line="200" w:lineRule="atLeast"/>
        <w:rPr>
          <w:rFonts w:eastAsia="Arial Unicode MS" w:cs="Tahoma"/>
          <w:kern w:val="22"/>
          <w:szCs w:val="18"/>
          <w:lang w:eastAsia="ko-KR"/>
        </w:rPr>
      </w:pPr>
      <w:r>
        <w:rPr>
          <w:rFonts w:eastAsia="Arial Unicode MS" w:cs="Tahoma"/>
          <w:kern w:val="22"/>
          <w:szCs w:val="18"/>
          <w:lang w:eastAsia="ko-KR"/>
        </w:rPr>
        <w:t>Neurotoxin type.</w:t>
      </w:r>
    </w:p>
    <w:p w14:paraId="468D0AF8" w14:textId="77777777" w:rsidR="00E8283A" w:rsidRPr="00E8283A" w:rsidRDefault="00E8283A" w:rsidP="00E8283A">
      <w:pPr>
        <w:kinsoku w:val="0"/>
        <w:autoSpaceDE w:val="0"/>
        <w:autoSpaceDN w:val="0"/>
        <w:adjustRightInd w:val="0"/>
        <w:spacing w:line="200" w:lineRule="atLeast"/>
        <w:rPr>
          <w:rFonts w:eastAsia="Arial Unicode MS" w:cs="Tahoma"/>
          <w:color w:val="000000"/>
          <w:kern w:val="22"/>
          <w:szCs w:val="18"/>
        </w:rPr>
      </w:pPr>
    </w:p>
    <w:p w14:paraId="2BEB05F3" w14:textId="219B5132" w:rsidR="004B523C" w:rsidRDefault="004B523C" w:rsidP="00C82DDE">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Symbols used in the Surveillance Atlas</w:t>
      </w:r>
      <w:r w:rsidR="00206DFA">
        <w:rPr>
          <w:rFonts w:eastAsia="Arial Unicode MS"/>
          <w:b w:val="0"/>
          <w:bCs w:val="0"/>
          <w:color w:val="auto"/>
          <w:kern w:val="22"/>
          <w:sz w:val="18"/>
          <w:szCs w:val="18"/>
        </w:rPr>
        <w:t xml:space="preserve"> </w:t>
      </w:r>
      <w:r w:rsidR="00171E1C">
        <w:rPr>
          <w:rFonts w:eastAsia="Arial Unicode MS"/>
          <w:b w:val="0"/>
          <w:bCs w:val="0"/>
          <w:color w:val="auto"/>
          <w:kern w:val="22"/>
          <w:sz w:val="18"/>
          <w:szCs w:val="18"/>
        </w:rPr>
        <w:t>t</w:t>
      </w:r>
      <w:r w:rsidR="00206DFA">
        <w:rPr>
          <w:rFonts w:eastAsia="Arial Unicode MS"/>
          <w:b w:val="0"/>
          <w:bCs w:val="0"/>
          <w:color w:val="auto"/>
          <w:kern w:val="22"/>
          <w:sz w:val="18"/>
          <w:szCs w:val="18"/>
        </w:rPr>
        <w:t>able</w:t>
      </w:r>
      <w:r>
        <w:rPr>
          <w:rFonts w:eastAsia="Arial Unicode MS"/>
          <w:b w:val="0"/>
          <w:bCs w:val="0"/>
          <w:color w:val="auto"/>
          <w:kern w:val="22"/>
          <w:sz w:val="18"/>
          <w:szCs w:val="18"/>
        </w:rPr>
        <w:t xml:space="preserve">: </w:t>
      </w:r>
    </w:p>
    <w:tbl>
      <w:tblPr>
        <w:tblStyle w:val="TableGrid"/>
        <w:tblW w:w="0" w:type="auto"/>
        <w:tblLook w:val="04A0" w:firstRow="1" w:lastRow="0" w:firstColumn="1" w:lastColumn="0" w:noHBand="0" w:noVBand="1"/>
      </w:tblPr>
      <w:tblGrid>
        <w:gridCol w:w="1101"/>
        <w:gridCol w:w="5103"/>
      </w:tblGrid>
      <w:tr w:rsidR="004B523C" w14:paraId="17CC4D5C" w14:textId="77777777" w:rsidTr="008F0C94">
        <w:tc>
          <w:tcPr>
            <w:tcW w:w="1101" w:type="dxa"/>
            <w:tcBorders>
              <w:top w:val="single" w:sz="4" w:space="0" w:color="000000"/>
              <w:left w:val="single" w:sz="4" w:space="0" w:color="000000"/>
              <w:bottom w:val="single" w:sz="4" w:space="0" w:color="000000"/>
              <w:right w:val="single" w:sz="4" w:space="0" w:color="000000"/>
            </w:tcBorders>
            <w:hideMark/>
          </w:tcPr>
          <w:p w14:paraId="72500A40" w14:textId="77777777" w:rsidR="004B523C" w:rsidRDefault="004B523C" w:rsidP="008F0C94">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03A62454" w14:textId="77777777" w:rsidR="004B523C" w:rsidRDefault="004B523C" w:rsidP="008F0C94">
            <w:pPr>
              <w:pStyle w:val="EC-Para"/>
              <w:rPr>
                <w:lang w:eastAsia="en-US"/>
              </w:rPr>
            </w:pPr>
            <w:r>
              <w:rPr>
                <w:lang w:eastAsia="en-US"/>
              </w:rPr>
              <w:t>Comment</w:t>
            </w:r>
          </w:p>
        </w:tc>
      </w:tr>
      <w:tr w:rsidR="004B523C" w14:paraId="7AC5F48B" w14:textId="77777777" w:rsidTr="008F0C94">
        <w:tc>
          <w:tcPr>
            <w:tcW w:w="1101" w:type="dxa"/>
            <w:tcBorders>
              <w:top w:val="single" w:sz="4" w:space="0" w:color="000000"/>
              <w:left w:val="single" w:sz="4" w:space="0" w:color="000000"/>
              <w:bottom w:val="single" w:sz="4" w:space="0" w:color="000000"/>
              <w:right w:val="single" w:sz="4" w:space="0" w:color="000000"/>
            </w:tcBorders>
            <w:hideMark/>
          </w:tcPr>
          <w:p w14:paraId="13C087A9" w14:textId="5E86AA07" w:rsidR="004B523C" w:rsidRDefault="00663C7C" w:rsidP="008F0C94">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C210B93" w14:textId="6F35B797" w:rsidR="004B523C" w:rsidRDefault="004B523C" w:rsidP="00746C99">
            <w:pPr>
              <w:pStyle w:val="EC-Para"/>
              <w:rPr>
                <w:lang w:eastAsia="en-US"/>
              </w:rPr>
            </w:pPr>
            <w:r>
              <w:rPr>
                <w:lang w:eastAsia="en-US"/>
              </w:rPr>
              <w:t xml:space="preserve">Indicator is not calculated for </w:t>
            </w:r>
            <w:r w:rsidR="00746C99">
              <w:rPr>
                <w:lang w:eastAsia="en-US"/>
              </w:rPr>
              <w:t>a given</w:t>
            </w:r>
            <w:r>
              <w:rPr>
                <w:lang w:eastAsia="en-US"/>
              </w:rPr>
              <w:t xml:space="preserve"> geographical resolution and </w:t>
            </w:r>
            <w:proofErr w:type="gramStart"/>
            <w:r>
              <w:rPr>
                <w:lang w:eastAsia="en-US"/>
              </w:rPr>
              <w:t>time period</w:t>
            </w:r>
            <w:proofErr w:type="gramEnd"/>
            <w:r>
              <w:rPr>
                <w:lang w:eastAsia="en-US"/>
              </w:rPr>
              <w:t>.</w:t>
            </w:r>
          </w:p>
        </w:tc>
      </w:tr>
      <w:tr w:rsidR="004B523C" w14:paraId="0C20D3A3" w14:textId="77777777" w:rsidTr="008F0C94">
        <w:tc>
          <w:tcPr>
            <w:tcW w:w="1101" w:type="dxa"/>
            <w:tcBorders>
              <w:top w:val="single" w:sz="4" w:space="0" w:color="000000"/>
              <w:left w:val="single" w:sz="4" w:space="0" w:color="000000"/>
              <w:bottom w:val="single" w:sz="4" w:space="0" w:color="000000"/>
              <w:right w:val="single" w:sz="4" w:space="0" w:color="000000"/>
            </w:tcBorders>
            <w:hideMark/>
          </w:tcPr>
          <w:p w14:paraId="17437927" w14:textId="77777777" w:rsidR="004B523C" w:rsidRDefault="004B523C" w:rsidP="008F0C94">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128B7C00" w14:textId="7AD10F04" w:rsidR="004B523C" w:rsidRDefault="004B523C" w:rsidP="00746C99">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w:t>
            </w:r>
            <w:r w:rsidR="00746C99">
              <w:rPr>
                <w:lang w:eastAsia="en-US"/>
              </w:rPr>
              <w:t>a given</w:t>
            </w:r>
            <w:r>
              <w:rPr>
                <w:lang w:eastAsia="en-US"/>
              </w:rPr>
              <w:t xml:space="preserve"> </w:t>
            </w:r>
            <w:proofErr w:type="gramStart"/>
            <w:r>
              <w:rPr>
                <w:lang w:eastAsia="en-US"/>
              </w:rPr>
              <w:t>time period</w:t>
            </w:r>
            <w:proofErr w:type="gramEnd"/>
            <w:r>
              <w:rPr>
                <w:lang w:eastAsia="en-US"/>
              </w:rPr>
              <w:t>.</w:t>
            </w:r>
          </w:p>
        </w:tc>
      </w:tr>
    </w:tbl>
    <w:p w14:paraId="6263BA34" w14:textId="77777777" w:rsidR="004B523C" w:rsidRDefault="004B523C" w:rsidP="004B523C">
      <w:pPr>
        <w:pStyle w:val="EC-Para"/>
        <w:rPr>
          <w:lang w:eastAsia="en-US"/>
        </w:rPr>
      </w:pPr>
    </w:p>
    <w:p w14:paraId="26EB3A41" w14:textId="05AC550C" w:rsidR="004B523C" w:rsidRPr="00C82DDE" w:rsidRDefault="004B523C" w:rsidP="00D1043F">
      <w:pPr>
        <w:pStyle w:val="EC-Title-6"/>
      </w:pPr>
      <w:r w:rsidRPr="00C82DDE">
        <w:t xml:space="preserve">Data </w:t>
      </w:r>
      <w:r w:rsidRPr="00D1043F">
        <w:t>quality</w:t>
      </w:r>
    </w:p>
    <w:p w14:paraId="7A9F8211" w14:textId="68169BCA" w:rsidR="00564F55" w:rsidRDefault="00771981" w:rsidP="00564F55">
      <w:pPr>
        <w:autoSpaceDE w:val="0"/>
        <w:autoSpaceDN w:val="0"/>
        <w:adjustRightInd w:val="0"/>
        <w:jc w:val="both"/>
        <w:rPr>
          <w:rFonts w:eastAsia="Arial Unicode MS" w:cs="Tahoma"/>
          <w:kern w:val="22"/>
          <w:szCs w:val="18"/>
        </w:rPr>
      </w:pPr>
      <w:r w:rsidRPr="009E3B9F">
        <w:rPr>
          <w:rFonts w:eastAsia="Arial Unicode MS" w:cs="Tahoma"/>
          <w:kern w:val="22"/>
          <w:szCs w:val="18"/>
        </w:rPr>
        <w:t>EU</w:t>
      </w:r>
      <w:r w:rsidR="009910BB" w:rsidRPr="009E3B9F">
        <w:rPr>
          <w:rFonts w:eastAsia="Arial Unicode MS" w:cs="Tahoma"/>
          <w:kern w:val="22"/>
          <w:szCs w:val="18"/>
        </w:rPr>
        <w:t>/EEA countries report</w:t>
      </w:r>
      <w:r w:rsidR="007B21B3" w:rsidRPr="009E3B9F">
        <w:rPr>
          <w:rFonts w:eastAsia="Arial Unicode MS" w:cs="Tahoma"/>
          <w:kern w:val="22"/>
          <w:szCs w:val="18"/>
        </w:rPr>
        <w:t>ing</w:t>
      </w:r>
      <w:r w:rsidRPr="009E3B9F">
        <w:rPr>
          <w:rFonts w:eastAsia="Arial Unicode MS" w:cs="Tahoma"/>
          <w:kern w:val="22"/>
          <w:szCs w:val="18"/>
        </w:rPr>
        <w:t xml:space="preserve"> data on botulism </w:t>
      </w:r>
      <w:r w:rsidR="009910BB" w:rsidRPr="009E3B9F">
        <w:rPr>
          <w:rFonts w:eastAsia="Arial Unicode MS" w:cs="Tahoma"/>
          <w:kern w:val="22"/>
          <w:szCs w:val="18"/>
        </w:rPr>
        <w:t xml:space="preserve">as displayed in the </w:t>
      </w:r>
      <w:r w:rsidR="00E26023" w:rsidRPr="009E3B9F">
        <w:rPr>
          <w:rFonts w:eastAsia="Arial Unicode MS" w:cs="Tahoma"/>
          <w:kern w:val="22"/>
          <w:szCs w:val="18"/>
        </w:rPr>
        <w:t xml:space="preserve">Annex 1. </w:t>
      </w:r>
      <w:r w:rsidR="00D706E7">
        <w:rPr>
          <w:rFonts w:eastAsia="Arial Unicode MS" w:cs="Tahoma"/>
          <w:kern w:val="22"/>
          <w:szCs w:val="18"/>
        </w:rPr>
        <w:t>For data quality, r</w:t>
      </w:r>
      <w:r w:rsidR="00040D06" w:rsidRPr="009E3B9F">
        <w:rPr>
          <w:rFonts w:eastAsia="Arial Unicode MS" w:cs="Tahoma"/>
          <w:kern w:val="22"/>
          <w:szCs w:val="18"/>
        </w:rPr>
        <w:t xml:space="preserve">eporting </w:t>
      </w:r>
      <w:r w:rsidRPr="009E3B9F">
        <w:rPr>
          <w:rFonts w:eastAsia="Arial Unicode MS" w:cs="Tahoma"/>
          <w:kern w:val="22"/>
          <w:szCs w:val="18"/>
        </w:rPr>
        <w:t>c</w:t>
      </w:r>
      <w:r w:rsidR="004B523C" w:rsidRPr="009E3B9F">
        <w:rPr>
          <w:rFonts w:eastAsia="Arial Unicode MS" w:cs="Tahoma"/>
          <w:kern w:val="22"/>
          <w:szCs w:val="18"/>
        </w:rPr>
        <w:t xml:space="preserve">ompleteness </w:t>
      </w:r>
      <w:r w:rsidR="00D706E7">
        <w:rPr>
          <w:rFonts w:eastAsia="Arial Unicode MS" w:cs="Tahoma"/>
          <w:kern w:val="22"/>
          <w:szCs w:val="18"/>
        </w:rPr>
        <w:t xml:space="preserve">of variables used to calculate Surveillance Atlas indicators </w:t>
      </w:r>
      <w:r w:rsidR="00564F55" w:rsidRPr="009E3B9F">
        <w:rPr>
          <w:rFonts w:eastAsia="Arial Unicode MS" w:cs="Tahoma"/>
          <w:kern w:val="22"/>
          <w:szCs w:val="18"/>
        </w:rPr>
        <w:t xml:space="preserve">was analysed for </w:t>
      </w:r>
      <w:r w:rsidR="00304AFE" w:rsidRPr="009E3B9F">
        <w:rPr>
          <w:rFonts w:eastAsia="Arial Unicode MS" w:cs="Tahoma"/>
          <w:kern w:val="22"/>
          <w:szCs w:val="18"/>
        </w:rPr>
        <w:t>reported</w:t>
      </w:r>
      <w:r w:rsidR="006A45CA" w:rsidRPr="009E3B9F">
        <w:rPr>
          <w:rFonts w:eastAsia="Arial Unicode MS" w:cs="Tahoma"/>
          <w:kern w:val="22"/>
          <w:szCs w:val="18"/>
        </w:rPr>
        <w:t>,</w:t>
      </w:r>
      <w:r w:rsidRPr="009E3B9F">
        <w:rPr>
          <w:rFonts w:eastAsia="Arial Unicode MS" w:cs="Tahoma"/>
          <w:kern w:val="22"/>
          <w:szCs w:val="18"/>
        </w:rPr>
        <w:t xml:space="preserve"> confirmed c</w:t>
      </w:r>
      <w:r w:rsidR="001A0ACC" w:rsidRPr="009E3B9F">
        <w:rPr>
          <w:rFonts w:eastAsia="Arial Unicode MS" w:cs="Tahoma"/>
          <w:kern w:val="22"/>
          <w:szCs w:val="18"/>
        </w:rPr>
        <w:t>ases</w:t>
      </w:r>
      <w:r w:rsidR="00304AFE" w:rsidRPr="009E3B9F">
        <w:rPr>
          <w:rFonts w:eastAsia="Arial Unicode MS" w:cs="Tahoma"/>
          <w:kern w:val="22"/>
          <w:szCs w:val="18"/>
        </w:rPr>
        <w:t xml:space="preserve">. </w:t>
      </w:r>
      <w:r w:rsidR="001A0ACC" w:rsidRPr="009E3B9F">
        <w:rPr>
          <w:rFonts w:eastAsia="Arial Unicode MS" w:cs="Tahoma"/>
          <w:kern w:val="22"/>
          <w:szCs w:val="18"/>
        </w:rPr>
        <w:t xml:space="preserve"> </w:t>
      </w:r>
      <w:r w:rsidR="00344FE1" w:rsidRPr="009E3B9F">
        <w:rPr>
          <w:rFonts w:eastAsia="Arial Unicode MS" w:cs="Tahoma"/>
          <w:kern w:val="22"/>
          <w:szCs w:val="18"/>
        </w:rPr>
        <w:t xml:space="preserve">For countries reporting data only </w:t>
      </w:r>
      <w:r w:rsidR="007B21B3" w:rsidRPr="009E3B9F">
        <w:rPr>
          <w:rFonts w:eastAsia="Arial Unicode MS" w:cs="Tahoma"/>
          <w:kern w:val="22"/>
          <w:szCs w:val="18"/>
        </w:rPr>
        <w:t>in aggregated format</w:t>
      </w:r>
      <w:r w:rsidR="00344FE1" w:rsidRPr="009E3B9F">
        <w:rPr>
          <w:rFonts w:eastAsia="Arial Unicode MS" w:cs="Tahoma"/>
          <w:kern w:val="22"/>
          <w:szCs w:val="18"/>
        </w:rPr>
        <w:t xml:space="preserve">, </w:t>
      </w:r>
      <w:r w:rsidR="00042DB0" w:rsidRPr="009E3B9F">
        <w:rPr>
          <w:rFonts w:eastAsia="Arial Unicode MS" w:cs="Tahoma"/>
          <w:kern w:val="22"/>
          <w:szCs w:val="18"/>
        </w:rPr>
        <w:t>t</w:t>
      </w:r>
      <w:r w:rsidR="007B21B3" w:rsidRPr="009E3B9F">
        <w:rPr>
          <w:rFonts w:eastAsia="Arial Unicode MS" w:cs="Tahoma"/>
          <w:kern w:val="22"/>
          <w:szCs w:val="18"/>
        </w:rPr>
        <w:t xml:space="preserve">he analysis of </w:t>
      </w:r>
      <w:r w:rsidR="00042DB0" w:rsidRPr="009E3B9F">
        <w:rPr>
          <w:rFonts w:eastAsia="Arial Unicode MS" w:cs="Tahoma"/>
          <w:kern w:val="22"/>
          <w:szCs w:val="18"/>
        </w:rPr>
        <w:t xml:space="preserve">data </w:t>
      </w:r>
      <w:r w:rsidR="007B21B3" w:rsidRPr="009E3B9F">
        <w:rPr>
          <w:rFonts w:eastAsia="Arial Unicode MS" w:cs="Tahoma"/>
          <w:kern w:val="22"/>
          <w:szCs w:val="18"/>
        </w:rPr>
        <w:t xml:space="preserve">completeness </w:t>
      </w:r>
      <w:r w:rsidR="00D32F8B">
        <w:rPr>
          <w:rFonts w:eastAsia="Arial Unicode MS" w:cs="Tahoma"/>
          <w:kern w:val="22"/>
          <w:szCs w:val="18"/>
        </w:rPr>
        <w:t>is allowed</w:t>
      </w:r>
      <w:r w:rsidR="00042DB0" w:rsidRPr="009E3B9F">
        <w:rPr>
          <w:rFonts w:eastAsia="Arial Unicode MS" w:cs="Tahoma"/>
          <w:kern w:val="22"/>
          <w:szCs w:val="18"/>
        </w:rPr>
        <w:t xml:space="preserve"> only for data reported such as age and gender. </w:t>
      </w:r>
    </w:p>
    <w:p w14:paraId="3551270E" w14:textId="69C3456A" w:rsidR="00771981" w:rsidRDefault="00771981" w:rsidP="00F55722">
      <w:pPr>
        <w:autoSpaceDE w:val="0"/>
        <w:autoSpaceDN w:val="0"/>
        <w:adjustRightInd w:val="0"/>
        <w:jc w:val="both"/>
        <w:rPr>
          <w:rFonts w:eastAsia="Arial Unicode MS" w:cs="Tahoma"/>
          <w:kern w:val="22"/>
          <w:szCs w:val="18"/>
        </w:rPr>
      </w:pPr>
    </w:p>
    <w:p w14:paraId="14DBBC15" w14:textId="3541FC71" w:rsidR="00771981" w:rsidRDefault="00ED42C7" w:rsidP="00F55722">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w:t>
      </w:r>
      <w:r w:rsidR="00FC280D">
        <w:rPr>
          <w:rFonts w:eastAsia="Arial Unicode MS" w:cs="Tahoma"/>
          <w:kern w:val="22"/>
          <w:szCs w:val="18"/>
        </w:rPr>
        <w:t>quality</w:t>
      </w:r>
      <w:r w:rsidR="005E085B">
        <w:rPr>
          <w:rFonts w:eastAsia="Arial Unicode MS" w:cs="Tahoma"/>
          <w:kern w:val="22"/>
          <w:szCs w:val="18"/>
        </w:rPr>
        <w:t xml:space="preserve"> of</w:t>
      </w:r>
      <w:r w:rsidR="00E95571">
        <w:rPr>
          <w:rFonts w:eastAsia="Arial Unicode MS" w:cs="Tahoma"/>
          <w:kern w:val="22"/>
          <w:szCs w:val="18"/>
        </w:rPr>
        <w:t xml:space="preserve"> </w:t>
      </w:r>
      <w:r w:rsidR="00E95571" w:rsidRPr="00E95571">
        <w:rPr>
          <w:rFonts w:eastAsia="Arial Unicode MS" w:cs="Tahoma"/>
          <w:kern w:val="22"/>
          <w:szCs w:val="18"/>
        </w:rPr>
        <w:t>confirmed botulism</w:t>
      </w:r>
      <w:r w:rsidR="00E95571">
        <w:rPr>
          <w:rFonts w:eastAsia="Arial Unicode MS" w:cs="Tahoma"/>
          <w:kern w:val="22"/>
          <w:szCs w:val="18"/>
        </w:rPr>
        <w:t xml:space="preserve"> </w:t>
      </w:r>
      <w:r w:rsidR="00DA0E63">
        <w:rPr>
          <w:rFonts w:eastAsia="Arial Unicode MS" w:cs="Tahoma"/>
          <w:kern w:val="22"/>
          <w:szCs w:val="18"/>
        </w:rPr>
        <w:t xml:space="preserve">cases </w:t>
      </w:r>
      <w:r w:rsidR="005D7E27">
        <w:rPr>
          <w:rFonts w:eastAsia="Arial Unicode MS" w:cs="Tahoma"/>
          <w:kern w:val="22"/>
          <w:szCs w:val="18"/>
        </w:rPr>
        <w:t>are:</w:t>
      </w:r>
    </w:p>
    <w:p w14:paraId="1687EECC" w14:textId="520DCE3F" w:rsidR="00DC2F16"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68746A75" w14:textId="34B04ED9" w:rsidR="00DC2F16"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16FDD08F" w14:textId="0EC835EA" w:rsidR="00DC2F16"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6E546E8C" w14:textId="7A95288B" w:rsidR="0056106A"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06556527" w14:textId="74C0153D" w:rsidR="0056106A"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42FFDBFA" w14:textId="501696CB" w:rsidR="0056106A"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neurotoxin type (%</w:t>
      </w:r>
      <w:proofErr w:type="gramStart"/>
      <w:r>
        <w:rPr>
          <w:rFonts w:eastAsia="Arial Unicode MS" w:cs="Tahoma"/>
          <w:kern w:val="22"/>
          <w:szCs w:val="18"/>
        </w:rPr>
        <w:t>);</w:t>
      </w:r>
      <w:proofErr w:type="gramEnd"/>
    </w:p>
    <w:p w14:paraId="0DA3D3B3" w14:textId="77777777" w:rsidR="001B59F8" w:rsidRDefault="001B59F8" w:rsidP="001B59F8">
      <w:pPr>
        <w:pStyle w:val="ListParagraph"/>
        <w:autoSpaceDE w:val="0"/>
        <w:autoSpaceDN w:val="0"/>
        <w:adjustRightInd w:val="0"/>
        <w:jc w:val="both"/>
        <w:rPr>
          <w:rFonts w:eastAsia="Arial Unicode MS" w:cs="Tahoma"/>
          <w:kern w:val="22"/>
          <w:szCs w:val="18"/>
        </w:rPr>
      </w:pPr>
    </w:p>
    <w:p w14:paraId="7896EC58" w14:textId="167AA5E3" w:rsidR="004B523C" w:rsidRDefault="004B523C" w:rsidP="009F5B73">
      <w:pPr>
        <w:pStyle w:val="EC-Title-6"/>
        <w:outlineLvl w:val="1"/>
        <w:rPr>
          <w:rFonts w:cs="Tahoma"/>
        </w:rPr>
      </w:pPr>
      <w:bookmarkStart w:id="4" w:name="_Toc371680469"/>
      <w:bookmarkStart w:id="5" w:name="_Toc370820716"/>
      <w:bookmarkStart w:id="6" w:name="_Toc343006536"/>
      <w:r w:rsidRPr="00C82DDE">
        <w:rPr>
          <w:rFonts w:cs="Tahoma"/>
        </w:rPr>
        <w:t xml:space="preserve">Interpretation </w:t>
      </w:r>
      <w:bookmarkStart w:id="7" w:name="_Toc371680471"/>
      <w:bookmarkStart w:id="8" w:name="_Toc370820718"/>
      <w:bookmarkStart w:id="9" w:name="_Toc369763632"/>
      <w:bookmarkEnd w:id="4"/>
      <w:bookmarkEnd w:id="5"/>
      <w:bookmarkEnd w:id="6"/>
    </w:p>
    <w:p w14:paraId="7BBC925A" w14:textId="7F1F21DA" w:rsidR="00B12265" w:rsidRDefault="00C82DDE" w:rsidP="00C82DDE">
      <w:pPr>
        <w:pStyle w:val="EC-Para"/>
        <w:jc w:val="both"/>
        <w:rPr>
          <w:rFonts w:cs="Tahoma"/>
          <w:lang w:eastAsia="en-US"/>
        </w:rPr>
      </w:pPr>
      <w:r w:rsidRPr="00D45E3C">
        <w:rPr>
          <w:rFonts w:eastAsiaTheme="minorHAnsi" w:cs="Tahoma"/>
          <w:lang w:eastAsia="en-US"/>
        </w:rPr>
        <w:t xml:space="preserve">The </w:t>
      </w:r>
      <w:r w:rsidR="0040180D">
        <w:rPr>
          <w:rFonts w:eastAsiaTheme="minorHAnsi" w:cs="Tahoma"/>
          <w:lang w:eastAsia="en-US"/>
        </w:rPr>
        <w:t>data</w:t>
      </w:r>
      <w:r w:rsidR="0040180D" w:rsidRPr="00D45E3C">
        <w:rPr>
          <w:rFonts w:eastAsiaTheme="minorHAnsi" w:cs="Tahoma"/>
          <w:lang w:eastAsia="en-US"/>
        </w:rPr>
        <w:t xml:space="preserve"> </w:t>
      </w:r>
      <w:r w:rsidRPr="00D45E3C">
        <w:rPr>
          <w:rFonts w:eastAsiaTheme="minorHAnsi" w:cs="Tahoma"/>
          <w:lang w:eastAsia="en-US"/>
        </w:rPr>
        <w:t>shown in the Surveillance Atlas should be interpreted carefully</w:t>
      </w:r>
      <w:r w:rsidR="00861F50">
        <w:rPr>
          <w:rFonts w:eastAsiaTheme="minorHAnsi" w:cs="Tahoma"/>
          <w:lang w:eastAsia="en-US"/>
        </w:rPr>
        <w:t xml:space="preserve"> as national</w:t>
      </w:r>
      <w:r w:rsidRPr="00D45E3C">
        <w:rPr>
          <w:rFonts w:eastAsiaTheme="minorHAnsi" w:cs="Tahoma"/>
          <w:lang w:eastAsia="en-US"/>
        </w:rPr>
        <w:t xml:space="preserve"> </w:t>
      </w:r>
      <w:r w:rsidR="00861F50">
        <w:rPr>
          <w:rFonts w:cs="Tahoma"/>
        </w:rPr>
        <w:t>s</w:t>
      </w:r>
      <w:r w:rsidRPr="00D45E3C">
        <w:rPr>
          <w:rFonts w:cs="Tahoma"/>
        </w:rPr>
        <w:t xml:space="preserve">urveillance systems </w:t>
      </w:r>
      <w:r w:rsidR="00861F50">
        <w:rPr>
          <w:rFonts w:cs="Tahoma"/>
        </w:rPr>
        <w:t>differ from each other</w:t>
      </w:r>
      <w:r w:rsidR="007C79D7">
        <w:rPr>
          <w:rFonts w:cs="Tahoma"/>
        </w:rPr>
        <w:t>.</w:t>
      </w:r>
    </w:p>
    <w:p w14:paraId="39846E3B" w14:textId="3295958A" w:rsidR="000E2423" w:rsidRPr="00D45E3C" w:rsidRDefault="000E2423" w:rsidP="000E2423">
      <w:pPr>
        <w:spacing w:after="200"/>
        <w:jc w:val="both"/>
        <w:rPr>
          <w:rFonts w:cs="Tahoma"/>
          <w:szCs w:val="18"/>
        </w:rPr>
      </w:pPr>
      <w:r w:rsidRPr="0088062A">
        <w:rPr>
          <w:rFonts w:cs="Tahoma"/>
          <w:szCs w:val="18"/>
        </w:rPr>
        <w:t xml:space="preserve">The notification </w:t>
      </w:r>
      <w:r>
        <w:rPr>
          <w:rFonts w:cs="Tahoma"/>
          <w:szCs w:val="18"/>
        </w:rPr>
        <w:t>of botulism</w:t>
      </w:r>
      <w:r w:rsidRPr="0088062A">
        <w:rPr>
          <w:rFonts w:cs="Tahoma"/>
          <w:szCs w:val="18"/>
        </w:rPr>
        <w:t xml:space="preserve"> is </w:t>
      </w:r>
      <w:proofErr w:type="gramStart"/>
      <w:r w:rsidRPr="00796026">
        <w:rPr>
          <w:rFonts w:cs="Tahoma"/>
          <w:szCs w:val="18"/>
        </w:rPr>
        <w:t>mandatory</w:t>
      </w:r>
      <w:proofErr w:type="gramEnd"/>
      <w:r w:rsidR="0057610B">
        <w:rPr>
          <w:rFonts w:cs="Tahoma"/>
          <w:szCs w:val="18"/>
        </w:rPr>
        <w:t xml:space="preserve"> </w:t>
      </w:r>
      <w:r w:rsidR="0057610B" w:rsidRPr="0057610B">
        <w:rPr>
          <w:rFonts w:cs="Tahoma"/>
          <w:szCs w:val="18"/>
        </w:rPr>
        <w:t xml:space="preserve">and </w:t>
      </w:r>
      <w:r w:rsidR="00AB6AF7">
        <w:rPr>
          <w:rFonts w:cs="Tahoma"/>
          <w:szCs w:val="18"/>
        </w:rPr>
        <w:t xml:space="preserve">the surveillance systems </w:t>
      </w:r>
      <w:r w:rsidR="0057610B" w:rsidRPr="0057610B">
        <w:rPr>
          <w:rFonts w:cs="Tahoma"/>
          <w:szCs w:val="18"/>
        </w:rPr>
        <w:t>have full national coverage</w:t>
      </w:r>
      <w:r w:rsidRPr="00796026">
        <w:rPr>
          <w:rFonts w:cs="Tahoma"/>
          <w:szCs w:val="18"/>
        </w:rPr>
        <w:t xml:space="preserve"> in all EU</w:t>
      </w:r>
      <w:r w:rsidR="00A44DC4">
        <w:rPr>
          <w:rFonts w:cs="Tahoma"/>
          <w:szCs w:val="18"/>
        </w:rPr>
        <w:t xml:space="preserve">/EEA </w:t>
      </w:r>
      <w:r w:rsidR="008879F4">
        <w:rPr>
          <w:rFonts w:cs="Tahoma"/>
          <w:szCs w:val="18"/>
        </w:rPr>
        <w:t>countries</w:t>
      </w:r>
      <w:r w:rsidRPr="00796026">
        <w:rPr>
          <w:rFonts w:cs="Tahoma"/>
          <w:szCs w:val="18"/>
        </w:rPr>
        <w:t xml:space="preserve">. </w:t>
      </w:r>
      <w:r w:rsidR="00E94BE6">
        <w:rPr>
          <w:rFonts w:cs="Tahoma"/>
          <w:szCs w:val="18"/>
        </w:rPr>
        <w:t>In Belgium, full national coverage was established in 2015 and rates before this date are not displayed</w:t>
      </w:r>
      <w:r w:rsidR="002F186F">
        <w:rPr>
          <w:rFonts w:cs="Tahoma"/>
          <w:szCs w:val="18"/>
        </w:rPr>
        <w:t xml:space="preserve">. </w:t>
      </w:r>
      <w:r w:rsidR="003F40B6">
        <w:rPr>
          <w:rFonts w:cs="Tahoma"/>
          <w:szCs w:val="18"/>
        </w:rPr>
        <w:t>For 20</w:t>
      </w:r>
      <w:r w:rsidR="007421E3">
        <w:rPr>
          <w:rFonts w:cs="Tahoma"/>
          <w:szCs w:val="18"/>
        </w:rPr>
        <w:t>20</w:t>
      </w:r>
      <w:r w:rsidR="003F40B6">
        <w:rPr>
          <w:rFonts w:cs="Tahoma"/>
          <w:szCs w:val="18"/>
        </w:rPr>
        <w:t xml:space="preserve">, </w:t>
      </w:r>
      <w:r w:rsidR="005D1CD9">
        <w:rPr>
          <w:rFonts w:cs="Tahoma"/>
          <w:szCs w:val="18"/>
        </w:rPr>
        <w:t>Spain</w:t>
      </w:r>
      <w:r w:rsidR="008718F0">
        <w:rPr>
          <w:rFonts w:cs="Tahoma"/>
          <w:szCs w:val="18"/>
        </w:rPr>
        <w:t xml:space="preserve"> has not </w:t>
      </w:r>
      <w:r w:rsidR="003F40B6">
        <w:rPr>
          <w:rFonts w:cs="Tahoma"/>
          <w:szCs w:val="18"/>
        </w:rPr>
        <w:t xml:space="preserve">received </w:t>
      </w:r>
      <w:r w:rsidR="0079297D">
        <w:rPr>
          <w:rFonts w:cs="Tahoma"/>
          <w:szCs w:val="18"/>
        </w:rPr>
        <w:t xml:space="preserve">data from all </w:t>
      </w:r>
      <w:r w:rsidR="008718F0">
        <w:rPr>
          <w:rFonts w:cs="Tahoma"/>
          <w:szCs w:val="18"/>
        </w:rPr>
        <w:t>regions</w:t>
      </w:r>
      <w:r w:rsidR="00EB382F">
        <w:rPr>
          <w:rFonts w:cs="Tahoma"/>
          <w:szCs w:val="18"/>
        </w:rPr>
        <w:t xml:space="preserve"> and r</w:t>
      </w:r>
      <w:r w:rsidR="0079297D">
        <w:rPr>
          <w:rFonts w:cs="Tahoma"/>
          <w:szCs w:val="18"/>
        </w:rPr>
        <w:t xml:space="preserve">ates are therefore not displayed for </w:t>
      </w:r>
      <w:r w:rsidR="00EB382F">
        <w:rPr>
          <w:rFonts w:cs="Tahoma"/>
          <w:szCs w:val="18"/>
        </w:rPr>
        <w:t>th</w:t>
      </w:r>
      <w:r w:rsidR="00A44DC4">
        <w:rPr>
          <w:rFonts w:cs="Tahoma"/>
          <w:szCs w:val="18"/>
        </w:rPr>
        <w:t>ese</w:t>
      </w:r>
      <w:r w:rsidR="00EB382F">
        <w:rPr>
          <w:rFonts w:cs="Tahoma"/>
          <w:szCs w:val="18"/>
        </w:rPr>
        <w:t xml:space="preserve"> year</w:t>
      </w:r>
      <w:r w:rsidR="00A44DC4">
        <w:rPr>
          <w:rFonts w:cs="Tahoma"/>
          <w:szCs w:val="18"/>
        </w:rPr>
        <w:t>s</w:t>
      </w:r>
      <w:r w:rsidR="005D1CD9">
        <w:rPr>
          <w:rFonts w:cs="Tahoma"/>
          <w:szCs w:val="18"/>
        </w:rPr>
        <w:t xml:space="preserve">. </w:t>
      </w:r>
      <w:r w:rsidRPr="00796026">
        <w:rPr>
          <w:rFonts w:cs="Tahoma"/>
          <w:szCs w:val="18"/>
        </w:rPr>
        <w:t>All countries provide case-based data.</w:t>
      </w:r>
      <w:r w:rsidR="007D06EB">
        <w:rPr>
          <w:rFonts w:cs="Tahoma"/>
          <w:szCs w:val="18"/>
        </w:rPr>
        <w:t xml:space="preserve"> </w:t>
      </w:r>
    </w:p>
    <w:p w14:paraId="2C2958AB" w14:textId="6328987A" w:rsidR="00B12265" w:rsidRDefault="00C82DDE" w:rsidP="00B12265">
      <w:pPr>
        <w:pStyle w:val="EC-Para"/>
        <w:jc w:val="both"/>
        <w:rPr>
          <w:rFonts w:cs="Tahoma"/>
          <w:lang w:eastAsia="en-US"/>
        </w:rPr>
      </w:pPr>
      <w:r w:rsidRPr="00EA31E5">
        <w:rPr>
          <w:rFonts w:cs="Tahoma"/>
          <w:lang w:eastAsia="en-US"/>
        </w:rPr>
        <w:t>The completeness of some variables such as</w:t>
      </w:r>
      <w:r w:rsidR="00947887">
        <w:rPr>
          <w:rFonts w:cs="Tahoma"/>
          <w:lang w:eastAsia="en-US"/>
        </w:rPr>
        <w:t xml:space="preserve"> </w:t>
      </w:r>
      <w:r w:rsidRPr="00EA31E5">
        <w:rPr>
          <w:rFonts w:cs="Tahoma"/>
          <w:lang w:eastAsia="en-US"/>
        </w:rPr>
        <w:t>hospitalisation, outcome</w:t>
      </w:r>
      <w:r w:rsidR="00EA31E5" w:rsidRPr="00EA31E5">
        <w:rPr>
          <w:rFonts w:cs="Tahoma"/>
          <w:lang w:eastAsia="en-US"/>
        </w:rPr>
        <w:t xml:space="preserve"> or</w:t>
      </w:r>
      <w:r w:rsidRPr="00EA31E5">
        <w:rPr>
          <w:rFonts w:cs="Tahoma"/>
          <w:lang w:eastAsia="en-US"/>
        </w:rPr>
        <w:t xml:space="preserve"> </w:t>
      </w:r>
      <w:r w:rsidR="00663C7C">
        <w:rPr>
          <w:rFonts w:cs="Tahoma"/>
          <w:lang w:eastAsia="en-US"/>
        </w:rPr>
        <w:t xml:space="preserve">travel history </w:t>
      </w:r>
      <w:r w:rsidRPr="00EA31E5">
        <w:rPr>
          <w:rFonts w:cs="Tahoma"/>
          <w:lang w:eastAsia="en-US"/>
        </w:rPr>
        <w:t>var</w:t>
      </w:r>
      <w:r w:rsidR="00E873BB">
        <w:rPr>
          <w:rFonts w:cs="Tahoma"/>
          <w:lang w:eastAsia="en-US"/>
        </w:rPr>
        <w:t>ies</w:t>
      </w:r>
      <w:r w:rsidRPr="00EA31E5">
        <w:rPr>
          <w:rFonts w:cs="Tahoma"/>
          <w:lang w:eastAsia="en-US"/>
        </w:rPr>
        <w:t xml:space="preserve"> between countries and years</w:t>
      </w:r>
      <w:r w:rsidR="0025136E">
        <w:rPr>
          <w:rFonts w:cs="Tahoma"/>
          <w:lang w:eastAsia="en-US"/>
        </w:rPr>
        <w:t>;</w:t>
      </w:r>
      <w:r w:rsidR="00947887">
        <w:rPr>
          <w:rFonts w:cs="Tahoma"/>
          <w:lang w:eastAsia="en-US"/>
        </w:rPr>
        <w:t xml:space="preserve"> </w:t>
      </w:r>
      <w:r w:rsidR="0025136E">
        <w:rPr>
          <w:rFonts w:cs="Tahoma"/>
          <w:lang w:eastAsia="en-US"/>
        </w:rPr>
        <w:t>s</w:t>
      </w:r>
      <w:r w:rsidRPr="00EA31E5">
        <w:rPr>
          <w:rFonts w:cs="Tahoma"/>
          <w:lang w:eastAsia="en-US"/>
        </w:rPr>
        <w:t xml:space="preserve">ome countries </w:t>
      </w:r>
      <w:proofErr w:type="gramStart"/>
      <w:r w:rsidRPr="00EA31E5">
        <w:rPr>
          <w:rFonts w:cs="Tahoma"/>
          <w:lang w:eastAsia="en-US"/>
        </w:rPr>
        <w:t>are able to</w:t>
      </w:r>
      <w:proofErr w:type="gramEnd"/>
      <w:r w:rsidRPr="00EA31E5">
        <w:rPr>
          <w:rFonts w:cs="Tahoma"/>
          <w:lang w:eastAsia="en-US"/>
        </w:rPr>
        <w:t xml:space="preserve"> collect and integrate th</w:t>
      </w:r>
      <w:r w:rsidR="00E873BB">
        <w:rPr>
          <w:rFonts w:cs="Tahoma"/>
          <w:lang w:eastAsia="en-US"/>
        </w:rPr>
        <w:t>ese</w:t>
      </w:r>
      <w:r w:rsidRPr="00EA31E5">
        <w:rPr>
          <w:rFonts w:cs="Tahoma"/>
          <w:lang w:eastAsia="en-US"/>
        </w:rPr>
        <w:t xml:space="preserve"> </w:t>
      </w:r>
      <w:r w:rsidR="00E873BB">
        <w:rPr>
          <w:rFonts w:cs="Tahoma"/>
          <w:lang w:eastAsia="en-US"/>
        </w:rPr>
        <w:t>data</w:t>
      </w:r>
      <w:r w:rsidRPr="00EA31E5">
        <w:rPr>
          <w:rFonts w:cs="Tahoma"/>
          <w:lang w:eastAsia="en-US"/>
        </w:rPr>
        <w:t xml:space="preserve"> from different sources, other countries are not. </w:t>
      </w:r>
      <w:r w:rsidR="00C845AB" w:rsidRPr="00C845AB">
        <w:rPr>
          <w:rFonts w:cs="Tahoma"/>
          <w:lang w:eastAsia="en-US"/>
        </w:rPr>
        <w:t xml:space="preserve">Even if </w:t>
      </w:r>
      <w:r w:rsidR="00E873BB" w:rsidRPr="00C845AB">
        <w:rPr>
          <w:rFonts w:cs="Tahoma"/>
          <w:lang w:eastAsia="en-US"/>
        </w:rPr>
        <w:t xml:space="preserve">overall </w:t>
      </w:r>
      <w:r w:rsidR="00C845AB" w:rsidRPr="00C845AB">
        <w:rPr>
          <w:rFonts w:cs="Tahoma"/>
          <w:lang w:eastAsia="en-US"/>
        </w:rPr>
        <w:t>data completeness is high for some variables, the reader should refrain from direct</w:t>
      </w:r>
      <w:r w:rsidR="006A5357">
        <w:rPr>
          <w:rFonts w:cs="Tahoma"/>
          <w:lang w:eastAsia="en-US"/>
        </w:rPr>
        <w:t>ly</w:t>
      </w:r>
      <w:r w:rsidR="00C845AB" w:rsidRPr="00C845AB">
        <w:rPr>
          <w:rFonts w:cs="Tahoma"/>
          <w:lang w:eastAsia="en-US"/>
        </w:rPr>
        <w:t xml:space="preserve"> compari</w:t>
      </w:r>
      <w:r w:rsidR="006A5357">
        <w:rPr>
          <w:rFonts w:cs="Tahoma"/>
          <w:lang w:eastAsia="en-US"/>
        </w:rPr>
        <w:t>ng</w:t>
      </w:r>
      <w:r w:rsidR="00C845AB" w:rsidRPr="00C845AB">
        <w:rPr>
          <w:rFonts w:cs="Tahoma"/>
          <w:lang w:eastAsia="en-US"/>
        </w:rPr>
        <w:t xml:space="preserve"> countries witho</w:t>
      </w:r>
      <w:r w:rsidR="00597C86">
        <w:rPr>
          <w:rFonts w:cs="Tahoma"/>
          <w:lang w:eastAsia="en-US"/>
        </w:rPr>
        <w:t xml:space="preserve">ut </w:t>
      </w:r>
      <w:proofErr w:type="gramStart"/>
      <w:r w:rsidR="00597C86">
        <w:rPr>
          <w:rFonts w:cs="Tahoma"/>
          <w:lang w:eastAsia="en-US"/>
        </w:rPr>
        <w:t>taking into account</w:t>
      </w:r>
      <w:proofErr w:type="gramEnd"/>
      <w:r w:rsidR="00597C86">
        <w:rPr>
          <w:rFonts w:cs="Tahoma"/>
          <w:lang w:eastAsia="en-US"/>
        </w:rPr>
        <w:t xml:space="preserve"> </w:t>
      </w:r>
      <w:r w:rsidR="00C845AB" w:rsidRPr="00C845AB">
        <w:rPr>
          <w:rFonts w:cs="Tahoma"/>
          <w:lang w:eastAsia="en-US"/>
        </w:rPr>
        <w:t>limitations.</w:t>
      </w:r>
    </w:p>
    <w:p w14:paraId="276E7296" w14:textId="77777777" w:rsidR="00EF694D" w:rsidRDefault="00EF694D" w:rsidP="00B12265">
      <w:pPr>
        <w:pStyle w:val="EC-Para"/>
        <w:jc w:val="both"/>
        <w:rPr>
          <w:rFonts w:cs="Tahoma"/>
          <w:lang w:eastAsia="en-US"/>
        </w:rPr>
      </w:pPr>
    </w:p>
    <w:p w14:paraId="02DFE36D" w14:textId="77777777" w:rsidR="004B523C" w:rsidRDefault="004B523C" w:rsidP="009F5B73">
      <w:pPr>
        <w:pStyle w:val="EC-Title-6"/>
        <w:outlineLvl w:val="1"/>
        <w:rPr>
          <w:rFonts w:cs="Tahoma"/>
          <w:color w:val="FF0000"/>
          <w:sz w:val="20"/>
          <w:szCs w:val="20"/>
        </w:rPr>
      </w:pPr>
      <w:r>
        <w:t>Reports publ</w:t>
      </w:r>
      <w:r w:rsidR="00F92506">
        <w:t xml:space="preserve">ished by ECDC on </w:t>
      </w:r>
      <w:r w:rsidR="00E22051">
        <w:t>botulism</w:t>
      </w:r>
      <w:r>
        <w:t xml:space="preserve"> </w:t>
      </w:r>
    </w:p>
    <w:p w14:paraId="62247E33" w14:textId="4DC63BCA" w:rsidR="004B523C" w:rsidRDefault="004B523C" w:rsidP="004B523C">
      <w:pPr>
        <w:pStyle w:val="EC-Para"/>
      </w:pPr>
      <w:r>
        <w:rPr>
          <w:lang w:eastAsia="en-US"/>
        </w:rPr>
        <w:t>More information is available in ECDC reports. Note that l</w:t>
      </w:r>
      <w:r>
        <w:t xml:space="preserve">ater retrieval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w:t>
      </w:r>
      <w:r w:rsidR="00E873BB">
        <w:t xml:space="preserve"> from</w:t>
      </w:r>
      <w:r>
        <w:t xml:space="preserve"> the </w:t>
      </w:r>
      <w:r w:rsidR="00E873BB">
        <w:t xml:space="preserve">data </w:t>
      </w:r>
      <w:r>
        <w:t>presented in the Surveillance Atlas.</w:t>
      </w:r>
    </w:p>
    <w:p w14:paraId="32E9B00C" w14:textId="77777777" w:rsidR="00D1043F" w:rsidRDefault="00D1043F" w:rsidP="004B523C">
      <w:pPr>
        <w:pStyle w:val="EC-Para"/>
      </w:pPr>
    </w:p>
    <w:p w14:paraId="348C37F0" w14:textId="287A3978" w:rsidR="00440920" w:rsidRPr="00D1043F" w:rsidRDefault="00440920" w:rsidP="009578FE">
      <w:pPr>
        <w:pStyle w:val="EC-Para"/>
        <w:spacing w:after="0"/>
        <w:rPr>
          <w:rFonts w:eastAsiaTheme="minorHAnsi" w:cs="Tahoma"/>
          <w:b/>
          <w:lang w:eastAsia="en-US"/>
        </w:rPr>
      </w:pPr>
      <w:r w:rsidRPr="00D1043F">
        <w:rPr>
          <w:rFonts w:eastAsiaTheme="minorHAnsi" w:cs="Tahoma"/>
          <w:b/>
          <w:lang w:eastAsia="en-US"/>
        </w:rPr>
        <w:t xml:space="preserve">Annual epidemiological report </w:t>
      </w:r>
      <w:r w:rsidR="003F1B9E" w:rsidRPr="00D1043F">
        <w:rPr>
          <w:rFonts w:eastAsiaTheme="minorHAnsi" w:cs="Tahoma"/>
          <w:b/>
          <w:lang w:eastAsia="en-US"/>
        </w:rPr>
        <w:t>for 20</w:t>
      </w:r>
      <w:r w:rsidR="00782926" w:rsidRPr="00D1043F">
        <w:rPr>
          <w:rFonts w:eastAsiaTheme="minorHAnsi" w:cs="Tahoma"/>
          <w:b/>
          <w:lang w:eastAsia="en-US"/>
        </w:rPr>
        <w:t>2</w:t>
      </w:r>
      <w:r w:rsidR="00782F09">
        <w:rPr>
          <w:rFonts w:eastAsiaTheme="minorHAnsi" w:cs="Tahoma"/>
          <w:b/>
          <w:lang w:eastAsia="en-US"/>
        </w:rPr>
        <w:t>2</w:t>
      </w:r>
      <w:r w:rsidRPr="00D1043F">
        <w:rPr>
          <w:rFonts w:eastAsiaTheme="minorHAnsi" w:cs="Tahoma"/>
          <w:b/>
          <w:lang w:eastAsia="en-US"/>
        </w:rPr>
        <w:t xml:space="preserve"> – </w:t>
      </w:r>
      <w:r w:rsidR="003F1B9E" w:rsidRPr="00D1043F">
        <w:rPr>
          <w:rFonts w:eastAsiaTheme="minorHAnsi" w:cs="Tahoma"/>
          <w:b/>
          <w:lang w:eastAsia="en-US"/>
        </w:rPr>
        <w:t>Botulism</w:t>
      </w:r>
      <w:r w:rsidRPr="00D1043F">
        <w:rPr>
          <w:rFonts w:eastAsiaTheme="minorHAnsi" w:cs="Tahoma"/>
          <w:b/>
          <w:lang w:eastAsia="en-US"/>
        </w:rPr>
        <w:t>:</w:t>
      </w:r>
    </w:p>
    <w:p w14:paraId="494B3367" w14:textId="77777777" w:rsidR="00D25493" w:rsidRDefault="00000000" w:rsidP="00B97911">
      <w:pPr>
        <w:spacing w:after="0" w:line="240" w:lineRule="auto"/>
        <w:rPr>
          <w:rStyle w:val="Hyperlink"/>
          <w:rFonts w:eastAsia="Arial Unicode MS" w:cs="Times New Roman"/>
          <w:kern w:val="22"/>
          <w:sz w:val="18"/>
          <w:szCs w:val="18"/>
          <w:lang w:eastAsia="ko-KR"/>
        </w:rPr>
      </w:pPr>
      <w:hyperlink r:id="rId16" w:history="1">
        <w:r w:rsidR="00AE17E7" w:rsidRPr="00AE17E7">
          <w:rPr>
            <w:rStyle w:val="Hyperlink"/>
            <w:rFonts w:eastAsia="Arial Unicode MS" w:cs="Times New Roman"/>
            <w:kern w:val="22"/>
            <w:sz w:val="18"/>
            <w:szCs w:val="18"/>
            <w:lang w:eastAsia="ko-KR"/>
          </w:rPr>
          <w:t>Annual Epidemiological Report, Botulism, 2022 (europa.eu)</w:t>
        </w:r>
      </w:hyperlink>
    </w:p>
    <w:p w14:paraId="6A76B3EF" w14:textId="77777777" w:rsidR="00D25493" w:rsidRDefault="00D25493" w:rsidP="00B97911">
      <w:pPr>
        <w:spacing w:after="0" w:line="240" w:lineRule="auto"/>
        <w:rPr>
          <w:rStyle w:val="Hyperlink"/>
          <w:rFonts w:eastAsia="Arial Unicode MS" w:cs="Times New Roman"/>
          <w:kern w:val="22"/>
          <w:sz w:val="18"/>
          <w:szCs w:val="18"/>
          <w:lang w:eastAsia="ko-KR"/>
        </w:rPr>
      </w:pPr>
    </w:p>
    <w:p w14:paraId="1F733DF5" w14:textId="6C03D7B2" w:rsidR="007869C6" w:rsidRDefault="009D620F" w:rsidP="00B97911">
      <w:pPr>
        <w:spacing w:after="0" w:line="240" w:lineRule="auto"/>
        <w:rPr>
          <w:rStyle w:val="Hyperlink"/>
          <w:rFonts w:eastAsia="Arial Unicode MS" w:cs="Times New Roman"/>
          <w:b/>
          <w:bCs/>
          <w:color w:val="auto"/>
          <w:kern w:val="22"/>
          <w:sz w:val="18"/>
          <w:szCs w:val="18"/>
          <w:lang w:eastAsia="ko-KR"/>
        </w:rPr>
      </w:pPr>
      <w:r>
        <w:rPr>
          <w:rStyle w:val="Hyperlink"/>
          <w:rFonts w:eastAsia="Arial Unicode MS" w:cs="Times New Roman"/>
          <w:b/>
          <w:bCs/>
          <w:color w:val="auto"/>
          <w:kern w:val="22"/>
          <w:sz w:val="18"/>
          <w:szCs w:val="18"/>
          <w:lang w:eastAsia="ko-KR"/>
        </w:rPr>
        <w:t>Epidemiological u</w:t>
      </w:r>
      <w:r w:rsidR="005065E6" w:rsidRPr="00B97911">
        <w:rPr>
          <w:rStyle w:val="Hyperlink"/>
          <w:rFonts w:eastAsia="Arial Unicode MS" w:cs="Times New Roman"/>
          <w:b/>
          <w:bCs/>
          <w:color w:val="auto"/>
          <w:kern w:val="22"/>
          <w:sz w:val="18"/>
          <w:szCs w:val="18"/>
          <w:lang w:eastAsia="ko-KR"/>
        </w:rPr>
        <w:t>pdate on iatrogenic botulism cases in Europe</w:t>
      </w:r>
      <w:r w:rsidR="00B97911" w:rsidRPr="00B97911">
        <w:rPr>
          <w:rStyle w:val="Hyperlink"/>
          <w:rFonts w:eastAsia="Arial Unicode MS" w:cs="Times New Roman"/>
          <w:b/>
          <w:bCs/>
          <w:color w:val="auto"/>
          <w:kern w:val="22"/>
          <w:sz w:val="18"/>
          <w:szCs w:val="18"/>
          <w:lang w:eastAsia="ko-KR"/>
        </w:rPr>
        <w:t xml:space="preserve"> (3 Apr</w:t>
      </w:r>
      <w:r w:rsidR="00C76478">
        <w:rPr>
          <w:rStyle w:val="Hyperlink"/>
          <w:rFonts w:eastAsia="Arial Unicode MS" w:cs="Times New Roman"/>
          <w:b/>
          <w:bCs/>
          <w:color w:val="auto"/>
          <w:kern w:val="22"/>
          <w:sz w:val="18"/>
          <w:szCs w:val="18"/>
          <w:lang w:eastAsia="ko-KR"/>
        </w:rPr>
        <w:t>il</w:t>
      </w:r>
      <w:r w:rsidR="00B97911" w:rsidRPr="00B97911">
        <w:rPr>
          <w:rStyle w:val="Hyperlink"/>
          <w:rFonts w:eastAsia="Arial Unicode MS" w:cs="Times New Roman"/>
          <w:b/>
          <w:bCs/>
          <w:color w:val="auto"/>
          <w:kern w:val="22"/>
          <w:sz w:val="18"/>
          <w:szCs w:val="18"/>
          <w:lang w:eastAsia="ko-KR"/>
        </w:rPr>
        <w:t xml:space="preserve"> 2023):</w:t>
      </w:r>
    </w:p>
    <w:p w14:paraId="0D0DCCEC" w14:textId="5DD871BC" w:rsidR="00B97911" w:rsidRDefault="00000000" w:rsidP="00B97911">
      <w:pPr>
        <w:spacing w:after="0" w:line="240" w:lineRule="auto"/>
        <w:rPr>
          <w:szCs w:val="18"/>
        </w:rPr>
      </w:pPr>
      <w:hyperlink r:id="rId17" w:history="1">
        <w:r w:rsidR="00B97911" w:rsidRPr="00B97911">
          <w:rPr>
            <w:rStyle w:val="Hyperlink"/>
            <w:sz w:val="18"/>
            <w:szCs w:val="18"/>
          </w:rPr>
          <w:t>Update on iatrogenic botulism cases in Europe (europa.eu)</w:t>
        </w:r>
      </w:hyperlink>
    </w:p>
    <w:p w14:paraId="099472E0" w14:textId="77777777" w:rsidR="0009441C" w:rsidRPr="00B97911" w:rsidRDefault="0009441C" w:rsidP="00B97911">
      <w:pPr>
        <w:spacing w:after="0" w:line="240" w:lineRule="auto"/>
        <w:rPr>
          <w:rStyle w:val="Hyperlink"/>
          <w:rFonts w:eastAsia="Arial Unicode MS" w:cs="Times New Roman"/>
          <w:b/>
          <w:bCs/>
          <w:color w:val="auto"/>
          <w:kern w:val="22"/>
          <w:sz w:val="18"/>
          <w:szCs w:val="18"/>
          <w:lang w:eastAsia="ko-KR"/>
        </w:rPr>
      </w:pPr>
    </w:p>
    <w:p w14:paraId="3717296B" w14:textId="17315216" w:rsidR="008A759E" w:rsidRDefault="009D620F" w:rsidP="0009441C">
      <w:pPr>
        <w:spacing w:after="0" w:line="240" w:lineRule="auto"/>
        <w:rPr>
          <w:b/>
          <w:bCs/>
        </w:rPr>
      </w:pPr>
      <w:r>
        <w:rPr>
          <w:b/>
          <w:bCs/>
        </w:rPr>
        <w:t xml:space="preserve">Epidemiological update </w:t>
      </w:r>
      <w:r w:rsidRPr="008A759E">
        <w:rPr>
          <w:b/>
          <w:bCs/>
        </w:rPr>
        <w:t>14 Mar</w:t>
      </w:r>
      <w:r>
        <w:rPr>
          <w:b/>
          <w:bCs/>
        </w:rPr>
        <w:t>ch</w:t>
      </w:r>
      <w:r w:rsidRPr="008A759E">
        <w:rPr>
          <w:b/>
          <w:bCs/>
        </w:rPr>
        <w:t xml:space="preserve"> 202</w:t>
      </w:r>
      <w:r w:rsidR="00782F09">
        <w:rPr>
          <w:b/>
          <w:bCs/>
        </w:rPr>
        <w:t>3</w:t>
      </w:r>
      <w:r>
        <w:rPr>
          <w:b/>
          <w:bCs/>
        </w:rPr>
        <w:t xml:space="preserve">: </w:t>
      </w:r>
      <w:r w:rsidR="00ED21AA" w:rsidRPr="008A759E">
        <w:rPr>
          <w:b/>
          <w:bCs/>
        </w:rPr>
        <w:t>Botulism cases in Europe following medical interventions with botulinum neurotoxin</w:t>
      </w:r>
      <w:r>
        <w:rPr>
          <w:b/>
          <w:bCs/>
        </w:rPr>
        <w:t>:</w:t>
      </w:r>
    </w:p>
    <w:p w14:paraId="4562D852" w14:textId="2F635301" w:rsidR="00B21BBA" w:rsidRPr="0009441C" w:rsidRDefault="00000000" w:rsidP="0009441C">
      <w:pPr>
        <w:spacing w:after="0" w:line="240" w:lineRule="auto"/>
        <w:rPr>
          <w:b/>
          <w:bCs/>
          <w:color w:val="69AE23"/>
          <w:szCs w:val="18"/>
        </w:rPr>
      </w:pPr>
      <w:hyperlink r:id="rId18" w:history="1">
        <w:r w:rsidR="0009441C" w:rsidRPr="0009441C">
          <w:rPr>
            <w:rStyle w:val="Hyperlink"/>
            <w:sz w:val="18"/>
            <w:szCs w:val="18"/>
          </w:rPr>
          <w:t>Botulism cases in Europe following medical interventions with botulinum neurotoxin (europa.eu)</w:t>
        </w:r>
      </w:hyperlink>
      <w:r w:rsidR="0009441C" w:rsidRPr="0009441C">
        <w:rPr>
          <w:b/>
          <w:bCs/>
          <w:szCs w:val="18"/>
        </w:rPr>
        <w:t xml:space="preserve"> </w:t>
      </w:r>
      <w:r w:rsidR="00B21BBA" w:rsidRPr="0009441C">
        <w:rPr>
          <w:b/>
          <w:bCs/>
          <w:szCs w:val="18"/>
        </w:rPr>
        <w:br w:type="page"/>
      </w:r>
    </w:p>
    <w:p w14:paraId="6FB0855A" w14:textId="553315EC" w:rsidR="00332F66" w:rsidRDefault="00EA31E5" w:rsidP="009F5B73">
      <w:pPr>
        <w:pStyle w:val="EC-Title-6"/>
        <w:outlineLvl w:val="1"/>
      </w:pPr>
      <w:r>
        <w:lastRenderedPageBreak/>
        <w:t>Annex 1</w:t>
      </w:r>
      <w:r w:rsidR="004B523C">
        <w:t>. Surveillance systems overview</w:t>
      </w:r>
      <w:bookmarkEnd w:id="7"/>
      <w:bookmarkEnd w:id="8"/>
      <w:bookmarkEnd w:id="9"/>
      <w:r>
        <w:t xml:space="preserve">, </w:t>
      </w:r>
      <w:r w:rsidR="00440920">
        <w:t>20</w:t>
      </w:r>
      <w:r w:rsidR="0071571E">
        <w:t>2</w:t>
      </w:r>
      <w:r w:rsidR="0004461A">
        <w:t>3</w:t>
      </w:r>
    </w:p>
    <w:tbl>
      <w:tblPr>
        <w:tblW w:w="9491" w:type="dxa"/>
        <w:tblInd w:w="-5" w:type="dxa"/>
        <w:tblCellMar>
          <w:left w:w="0" w:type="dxa"/>
          <w:right w:w="0" w:type="dxa"/>
        </w:tblCellMar>
        <w:tblLook w:val="04A0" w:firstRow="1" w:lastRow="0" w:firstColumn="1" w:lastColumn="0" w:noHBand="0" w:noVBand="1"/>
      </w:tblPr>
      <w:tblGrid>
        <w:gridCol w:w="1074"/>
        <w:gridCol w:w="3103"/>
        <w:gridCol w:w="397"/>
        <w:gridCol w:w="397"/>
        <w:gridCol w:w="397"/>
        <w:gridCol w:w="397"/>
        <w:gridCol w:w="399"/>
        <w:gridCol w:w="399"/>
        <w:gridCol w:w="399"/>
        <w:gridCol w:w="399"/>
        <w:gridCol w:w="2132"/>
      </w:tblGrid>
      <w:tr w:rsidR="00034328" w14:paraId="4D4CB24E" w14:textId="77777777" w:rsidTr="00034328">
        <w:trPr>
          <w:trHeight w:val="293"/>
        </w:trPr>
        <w:tc>
          <w:tcPr>
            <w:tcW w:w="1074" w:type="dxa"/>
            <w:vMerge w:val="restart"/>
            <w:tcBorders>
              <w:top w:val="single" w:sz="4" w:space="0" w:color="auto"/>
              <w:left w:val="single" w:sz="4" w:space="0" w:color="auto"/>
              <w:bottom w:val="single" w:sz="4" w:space="0" w:color="auto"/>
              <w:right w:val="single" w:sz="4" w:space="0" w:color="auto"/>
            </w:tcBorders>
            <w:shd w:val="clear" w:color="000000" w:fill="69AE23"/>
            <w:noWrap/>
            <w:tcMar>
              <w:top w:w="15" w:type="dxa"/>
              <w:left w:w="15" w:type="dxa"/>
              <w:bottom w:w="0" w:type="dxa"/>
              <w:right w:w="15" w:type="dxa"/>
            </w:tcMar>
            <w:hideMark/>
          </w:tcPr>
          <w:p w14:paraId="626FEBB0" w14:textId="77777777" w:rsidR="001B59F8" w:rsidRPr="0034321A" w:rsidRDefault="001B59F8">
            <w:pPr>
              <w:rPr>
                <w:rFonts w:eastAsia="Times New Roman" w:cs="Tahoma"/>
                <w:b/>
                <w:bCs/>
                <w:color w:val="FFFFFF"/>
                <w:sz w:val="14"/>
                <w:szCs w:val="14"/>
                <w:lang w:eastAsia="en-GB"/>
              </w:rPr>
            </w:pPr>
            <w:r w:rsidRPr="0034321A">
              <w:rPr>
                <w:rFonts w:cs="Tahoma"/>
                <w:b/>
                <w:bCs/>
                <w:color w:val="FFFFFF"/>
                <w:sz w:val="14"/>
                <w:szCs w:val="14"/>
              </w:rPr>
              <w:t>Country</w:t>
            </w:r>
          </w:p>
        </w:tc>
        <w:tc>
          <w:tcPr>
            <w:tcW w:w="3103" w:type="dxa"/>
            <w:vMerge w:val="restart"/>
            <w:tcBorders>
              <w:top w:val="single" w:sz="4" w:space="0" w:color="auto"/>
              <w:left w:val="single" w:sz="4" w:space="0" w:color="auto"/>
              <w:bottom w:val="single" w:sz="4" w:space="0" w:color="auto"/>
              <w:right w:val="single" w:sz="4" w:space="0" w:color="auto"/>
            </w:tcBorders>
            <w:shd w:val="clear" w:color="000000" w:fill="69AE23"/>
            <w:noWrap/>
            <w:tcMar>
              <w:top w:w="15" w:type="dxa"/>
              <w:left w:w="15" w:type="dxa"/>
              <w:bottom w:w="0" w:type="dxa"/>
              <w:right w:w="15" w:type="dxa"/>
            </w:tcMar>
            <w:hideMark/>
          </w:tcPr>
          <w:p w14:paraId="7AB1B446" w14:textId="77777777" w:rsidR="001B59F8" w:rsidRPr="0034321A" w:rsidRDefault="001B59F8">
            <w:pPr>
              <w:rPr>
                <w:rFonts w:cs="Tahoma"/>
                <w:b/>
                <w:bCs/>
                <w:color w:val="FFFFFF"/>
                <w:sz w:val="14"/>
                <w:szCs w:val="14"/>
              </w:rPr>
            </w:pPr>
            <w:r w:rsidRPr="0034321A">
              <w:rPr>
                <w:rFonts w:cs="Tahoma"/>
                <w:b/>
                <w:bCs/>
                <w:color w:val="FFFFFF"/>
                <w:sz w:val="14"/>
                <w:szCs w:val="14"/>
              </w:rPr>
              <w:t>Data source</w:t>
            </w:r>
          </w:p>
        </w:tc>
        <w:tc>
          <w:tcPr>
            <w:tcW w:w="397" w:type="dxa"/>
            <w:vMerge w:val="restart"/>
            <w:tcBorders>
              <w:top w:val="single" w:sz="4" w:space="0" w:color="auto"/>
              <w:left w:val="single" w:sz="4" w:space="0" w:color="auto"/>
              <w:bottom w:val="single" w:sz="4" w:space="0" w:color="auto"/>
              <w:right w:val="single" w:sz="4" w:space="0" w:color="auto"/>
            </w:tcBorders>
            <w:shd w:val="clear" w:color="000000" w:fill="69AE23"/>
            <w:noWrap/>
            <w:tcMar>
              <w:top w:w="15" w:type="dxa"/>
              <w:left w:w="15" w:type="dxa"/>
              <w:bottom w:w="0" w:type="dxa"/>
              <w:right w:w="15" w:type="dxa"/>
            </w:tcMar>
            <w:textDirection w:val="btLr"/>
            <w:vAlign w:val="bottom"/>
            <w:hideMark/>
          </w:tcPr>
          <w:p w14:paraId="0E5DCC81" w14:textId="77777777" w:rsidR="001B59F8" w:rsidRPr="0034321A" w:rsidRDefault="001B59F8">
            <w:pPr>
              <w:jc w:val="center"/>
              <w:rPr>
                <w:rFonts w:cs="Tahoma"/>
                <w:b/>
                <w:bCs/>
                <w:color w:val="FFFFFF"/>
                <w:sz w:val="14"/>
                <w:szCs w:val="14"/>
              </w:rPr>
            </w:pPr>
            <w:r w:rsidRPr="0034321A">
              <w:rPr>
                <w:rFonts w:cs="Tahoma"/>
                <w:b/>
                <w:bCs/>
                <w:color w:val="FFFFFF"/>
                <w:sz w:val="14"/>
                <w:szCs w:val="14"/>
              </w:rPr>
              <w:t>Compulsory (Cp), voluntary (V), other(O)</w:t>
            </w:r>
          </w:p>
        </w:tc>
        <w:tc>
          <w:tcPr>
            <w:tcW w:w="397" w:type="dxa"/>
            <w:vMerge w:val="restart"/>
            <w:tcBorders>
              <w:top w:val="single" w:sz="4" w:space="0" w:color="auto"/>
              <w:left w:val="single" w:sz="4" w:space="0" w:color="auto"/>
              <w:bottom w:val="single" w:sz="4" w:space="0" w:color="auto"/>
              <w:right w:val="single" w:sz="4" w:space="0" w:color="auto"/>
            </w:tcBorders>
            <w:shd w:val="clear" w:color="000000" w:fill="69AE23"/>
            <w:noWrap/>
            <w:tcMar>
              <w:top w:w="15" w:type="dxa"/>
              <w:left w:w="15" w:type="dxa"/>
              <w:bottom w:w="0" w:type="dxa"/>
              <w:right w:w="15" w:type="dxa"/>
            </w:tcMar>
            <w:textDirection w:val="btLr"/>
            <w:vAlign w:val="bottom"/>
            <w:hideMark/>
          </w:tcPr>
          <w:p w14:paraId="3F7B3A12" w14:textId="77777777" w:rsidR="001B59F8" w:rsidRPr="0034321A" w:rsidRDefault="001B59F8">
            <w:pPr>
              <w:jc w:val="center"/>
              <w:rPr>
                <w:rFonts w:cs="Tahoma"/>
                <w:b/>
                <w:bCs/>
                <w:color w:val="FFFFFF"/>
                <w:sz w:val="14"/>
                <w:szCs w:val="14"/>
              </w:rPr>
            </w:pPr>
            <w:r w:rsidRPr="0034321A">
              <w:rPr>
                <w:rFonts w:cs="Tahoma"/>
                <w:b/>
                <w:bCs/>
                <w:color w:val="FFFFFF"/>
                <w:sz w:val="14"/>
                <w:szCs w:val="14"/>
              </w:rPr>
              <w:t>Comprehensive (Co), sentinel (Se), other(O)</w:t>
            </w:r>
          </w:p>
        </w:tc>
        <w:tc>
          <w:tcPr>
            <w:tcW w:w="397" w:type="dxa"/>
            <w:vMerge w:val="restart"/>
            <w:tcBorders>
              <w:top w:val="single" w:sz="4" w:space="0" w:color="auto"/>
              <w:left w:val="single" w:sz="4" w:space="0" w:color="auto"/>
              <w:bottom w:val="single" w:sz="4" w:space="0" w:color="auto"/>
              <w:right w:val="single" w:sz="4" w:space="0" w:color="auto"/>
            </w:tcBorders>
            <w:shd w:val="clear" w:color="000000" w:fill="69AE23"/>
            <w:noWrap/>
            <w:tcMar>
              <w:top w:w="15" w:type="dxa"/>
              <w:left w:w="15" w:type="dxa"/>
              <w:bottom w:w="0" w:type="dxa"/>
              <w:right w:w="15" w:type="dxa"/>
            </w:tcMar>
            <w:textDirection w:val="btLr"/>
            <w:vAlign w:val="bottom"/>
            <w:hideMark/>
          </w:tcPr>
          <w:p w14:paraId="756F89C5" w14:textId="77777777" w:rsidR="001B59F8" w:rsidRPr="0034321A" w:rsidRDefault="001B59F8">
            <w:pPr>
              <w:jc w:val="center"/>
              <w:rPr>
                <w:rFonts w:cs="Tahoma"/>
                <w:b/>
                <w:bCs/>
                <w:color w:val="FFFFFF"/>
                <w:sz w:val="14"/>
                <w:szCs w:val="14"/>
              </w:rPr>
            </w:pPr>
            <w:r w:rsidRPr="0034321A">
              <w:rPr>
                <w:rFonts w:cs="Tahoma"/>
                <w:b/>
                <w:bCs/>
                <w:color w:val="FFFFFF"/>
                <w:sz w:val="14"/>
                <w:szCs w:val="14"/>
              </w:rPr>
              <w:t>Active (A), passive (P)</w:t>
            </w:r>
          </w:p>
        </w:tc>
        <w:tc>
          <w:tcPr>
            <w:tcW w:w="397" w:type="dxa"/>
            <w:vMerge w:val="restart"/>
            <w:tcBorders>
              <w:top w:val="single" w:sz="4" w:space="0" w:color="auto"/>
              <w:left w:val="single" w:sz="4" w:space="0" w:color="auto"/>
              <w:bottom w:val="single" w:sz="4" w:space="0" w:color="auto"/>
              <w:right w:val="single" w:sz="4" w:space="0" w:color="auto"/>
            </w:tcBorders>
            <w:shd w:val="clear" w:color="000000" w:fill="69AE23"/>
            <w:noWrap/>
            <w:tcMar>
              <w:top w:w="15" w:type="dxa"/>
              <w:left w:w="15" w:type="dxa"/>
              <w:bottom w:w="0" w:type="dxa"/>
              <w:right w:w="15" w:type="dxa"/>
            </w:tcMar>
            <w:textDirection w:val="btLr"/>
            <w:vAlign w:val="bottom"/>
            <w:hideMark/>
          </w:tcPr>
          <w:p w14:paraId="53054479" w14:textId="77777777" w:rsidR="001B59F8" w:rsidRPr="0034321A" w:rsidRDefault="001B59F8">
            <w:pPr>
              <w:jc w:val="center"/>
              <w:rPr>
                <w:rFonts w:cs="Tahoma"/>
                <w:b/>
                <w:bCs/>
                <w:color w:val="FFFFFF"/>
                <w:sz w:val="14"/>
                <w:szCs w:val="14"/>
              </w:rPr>
            </w:pPr>
            <w:r w:rsidRPr="0034321A">
              <w:rPr>
                <w:rFonts w:cs="Tahoma"/>
                <w:b/>
                <w:bCs/>
                <w:color w:val="FFFFFF"/>
                <w:sz w:val="14"/>
                <w:szCs w:val="14"/>
              </w:rPr>
              <w:t>Case-based (C), aggregated (A)</w:t>
            </w:r>
          </w:p>
        </w:tc>
        <w:tc>
          <w:tcPr>
            <w:tcW w:w="1594" w:type="dxa"/>
            <w:gridSpan w:val="4"/>
            <w:tcBorders>
              <w:top w:val="single" w:sz="4" w:space="0" w:color="auto"/>
              <w:left w:val="nil"/>
              <w:bottom w:val="single" w:sz="4" w:space="0" w:color="auto"/>
              <w:right w:val="single" w:sz="4" w:space="0" w:color="auto"/>
            </w:tcBorders>
            <w:shd w:val="clear" w:color="000000" w:fill="69AE23"/>
            <w:noWrap/>
            <w:tcMar>
              <w:top w:w="15" w:type="dxa"/>
              <w:left w:w="15" w:type="dxa"/>
              <w:bottom w:w="0" w:type="dxa"/>
              <w:right w:w="15" w:type="dxa"/>
            </w:tcMar>
            <w:hideMark/>
          </w:tcPr>
          <w:p w14:paraId="0C20C42E" w14:textId="77777777" w:rsidR="001B59F8" w:rsidRPr="0034321A" w:rsidRDefault="001B59F8">
            <w:pPr>
              <w:jc w:val="center"/>
              <w:rPr>
                <w:rFonts w:cs="Tahoma"/>
                <w:b/>
                <w:bCs/>
                <w:color w:val="FFFFFF"/>
                <w:sz w:val="14"/>
                <w:szCs w:val="14"/>
              </w:rPr>
            </w:pPr>
            <w:r w:rsidRPr="0034321A">
              <w:rPr>
                <w:rFonts w:cs="Tahoma"/>
                <w:b/>
                <w:bCs/>
                <w:color w:val="FFFFFF"/>
                <w:sz w:val="14"/>
                <w:szCs w:val="14"/>
              </w:rPr>
              <w:t>Data reported by</w:t>
            </w:r>
          </w:p>
        </w:tc>
        <w:tc>
          <w:tcPr>
            <w:tcW w:w="2132" w:type="dxa"/>
            <w:vMerge w:val="restart"/>
            <w:tcBorders>
              <w:top w:val="single" w:sz="4" w:space="0" w:color="auto"/>
              <w:left w:val="single" w:sz="4" w:space="0" w:color="auto"/>
              <w:bottom w:val="single" w:sz="4" w:space="0" w:color="auto"/>
              <w:right w:val="single" w:sz="4" w:space="0" w:color="auto"/>
            </w:tcBorders>
            <w:shd w:val="clear" w:color="000000" w:fill="69AE23"/>
            <w:noWrap/>
            <w:tcMar>
              <w:top w:w="15" w:type="dxa"/>
              <w:left w:w="15" w:type="dxa"/>
              <w:bottom w:w="0" w:type="dxa"/>
              <w:right w:w="15" w:type="dxa"/>
            </w:tcMar>
            <w:hideMark/>
          </w:tcPr>
          <w:p w14:paraId="6012D39A" w14:textId="77777777" w:rsidR="001B59F8" w:rsidRPr="0034321A" w:rsidRDefault="001B59F8">
            <w:pPr>
              <w:rPr>
                <w:rFonts w:cs="Tahoma"/>
                <w:b/>
                <w:bCs/>
                <w:color w:val="FFFFFF"/>
                <w:sz w:val="14"/>
                <w:szCs w:val="14"/>
              </w:rPr>
            </w:pPr>
            <w:r w:rsidRPr="0034321A">
              <w:rPr>
                <w:rFonts w:cs="Tahoma"/>
                <w:b/>
                <w:bCs/>
                <w:color w:val="FFFFFF"/>
                <w:sz w:val="14"/>
                <w:szCs w:val="14"/>
              </w:rPr>
              <w:t>Case definition used</w:t>
            </w:r>
          </w:p>
        </w:tc>
      </w:tr>
      <w:tr w:rsidR="00034328" w14:paraId="2C61F37C" w14:textId="77777777" w:rsidTr="00034328">
        <w:trPr>
          <w:trHeight w:val="28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141BD" w14:textId="77777777" w:rsidR="001B59F8" w:rsidRDefault="001B59F8">
            <w:pPr>
              <w:rPr>
                <w:rFonts w:cs="Tahoma"/>
                <w:b/>
                <w:bCs/>
                <w:color w:val="FFFFFF"/>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3BC9D" w14:textId="77777777" w:rsidR="001B59F8" w:rsidRDefault="001B59F8">
            <w:pPr>
              <w:rPr>
                <w:rFonts w:cs="Tahoma"/>
                <w:b/>
                <w:bCs/>
                <w:color w:val="FFFFFF"/>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79B6A" w14:textId="77777777" w:rsidR="001B59F8" w:rsidRDefault="001B59F8">
            <w:pPr>
              <w:rPr>
                <w:rFonts w:cs="Tahoma"/>
                <w:b/>
                <w:bCs/>
                <w:color w:val="FFFFFF"/>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21D2F" w14:textId="77777777" w:rsidR="001B59F8" w:rsidRDefault="001B59F8">
            <w:pPr>
              <w:rPr>
                <w:rFonts w:cs="Tahoma"/>
                <w:b/>
                <w:bCs/>
                <w:color w:val="FFFFFF"/>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64839" w14:textId="77777777" w:rsidR="001B59F8" w:rsidRDefault="001B59F8">
            <w:pPr>
              <w:rPr>
                <w:rFonts w:cs="Tahoma"/>
                <w:b/>
                <w:bCs/>
                <w:color w:val="FFFFFF"/>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D9CBB" w14:textId="77777777" w:rsidR="001B59F8" w:rsidRDefault="001B59F8">
            <w:pPr>
              <w:rPr>
                <w:rFonts w:cs="Tahoma"/>
                <w:b/>
                <w:bCs/>
                <w:color w:val="FFFFFF"/>
                <w:szCs w:val="14"/>
              </w:rPr>
            </w:pPr>
          </w:p>
        </w:tc>
        <w:tc>
          <w:tcPr>
            <w:tcW w:w="0" w:type="auto"/>
            <w:tcBorders>
              <w:top w:val="nil"/>
              <w:left w:val="nil"/>
              <w:bottom w:val="nil"/>
              <w:right w:val="single" w:sz="4" w:space="0" w:color="auto"/>
            </w:tcBorders>
            <w:shd w:val="clear" w:color="000000" w:fill="69AE23"/>
            <w:noWrap/>
            <w:tcMar>
              <w:top w:w="15" w:type="dxa"/>
              <w:left w:w="15" w:type="dxa"/>
              <w:bottom w:w="0" w:type="dxa"/>
              <w:right w:w="15" w:type="dxa"/>
            </w:tcMar>
            <w:textDirection w:val="btLr"/>
            <w:vAlign w:val="bottom"/>
            <w:hideMark/>
          </w:tcPr>
          <w:p w14:paraId="6EC28C98" w14:textId="77777777" w:rsidR="001B59F8" w:rsidRPr="0034321A" w:rsidRDefault="001B59F8">
            <w:pPr>
              <w:jc w:val="center"/>
              <w:rPr>
                <w:rFonts w:cs="Tahoma"/>
                <w:b/>
                <w:bCs/>
                <w:color w:val="FFFFFF"/>
                <w:sz w:val="14"/>
                <w:szCs w:val="14"/>
              </w:rPr>
            </w:pPr>
            <w:r w:rsidRPr="0034321A">
              <w:rPr>
                <w:rFonts w:cs="Tahoma"/>
                <w:b/>
                <w:bCs/>
                <w:color w:val="FFFFFF"/>
                <w:sz w:val="14"/>
                <w:szCs w:val="14"/>
              </w:rPr>
              <w:t>Laboratories</w:t>
            </w:r>
          </w:p>
        </w:tc>
        <w:tc>
          <w:tcPr>
            <w:tcW w:w="0" w:type="auto"/>
            <w:tcBorders>
              <w:top w:val="nil"/>
              <w:left w:val="nil"/>
              <w:bottom w:val="nil"/>
              <w:right w:val="single" w:sz="4" w:space="0" w:color="auto"/>
            </w:tcBorders>
            <w:shd w:val="clear" w:color="000000" w:fill="69AE23"/>
            <w:noWrap/>
            <w:tcMar>
              <w:top w:w="15" w:type="dxa"/>
              <w:left w:w="15" w:type="dxa"/>
              <w:bottom w:w="0" w:type="dxa"/>
              <w:right w:w="15" w:type="dxa"/>
            </w:tcMar>
            <w:textDirection w:val="btLr"/>
            <w:vAlign w:val="bottom"/>
            <w:hideMark/>
          </w:tcPr>
          <w:p w14:paraId="38989B2E" w14:textId="77777777" w:rsidR="001B59F8" w:rsidRPr="0034321A" w:rsidRDefault="001B59F8">
            <w:pPr>
              <w:jc w:val="center"/>
              <w:rPr>
                <w:rFonts w:cs="Tahoma"/>
                <w:b/>
                <w:bCs/>
                <w:color w:val="FFFFFF"/>
                <w:sz w:val="14"/>
                <w:szCs w:val="14"/>
              </w:rPr>
            </w:pPr>
            <w:r w:rsidRPr="0034321A">
              <w:rPr>
                <w:rFonts w:cs="Tahoma"/>
                <w:b/>
                <w:bCs/>
                <w:color w:val="FFFFFF"/>
                <w:sz w:val="14"/>
                <w:szCs w:val="14"/>
              </w:rPr>
              <w:t>Physicians</w:t>
            </w:r>
          </w:p>
        </w:tc>
        <w:tc>
          <w:tcPr>
            <w:tcW w:w="0" w:type="auto"/>
            <w:tcBorders>
              <w:top w:val="nil"/>
              <w:left w:val="nil"/>
              <w:bottom w:val="nil"/>
              <w:right w:val="single" w:sz="4" w:space="0" w:color="auto"/>
            </w:tcBorders>
            <w:shd w:val="clear" w:color="000000" w:fill="69AE23"/>
            <w:noWrap/>
            <w:tcMar>
              <w:top w:w="15" w:type="dxa"/>
              <w:left w:w="15" w:type="dxa"/>
              <w:bottom w:w="0" w:type="dxa"/>
              <w:right w:w="15" w:type="dxa"/>
            </w:tcMar>
            <w:textDirection w:val="btLr"/>
            <w:vAlign w:val="bottom"/>
            <w:hideMark/>
          </w:tcPr>
          <w:p w14:paraId="51860635" w14:textId="77777777" w:rsidR="001B59F8" w:rsidRPr="0034321A" w:rsidRDefault="001B59F8">
            <w:pPr>
              <w:jc w:val="center"/>
              <w:rPr>
                <w:rFonts w:cs="Tahoma"/>
                <w:b/>
                <w:bCs/>
                <w:color w:val="FFFFFF"/>
                <w:sz w:val="14"/>
                <w:szCs w:val="14"/>
              </w:rPr>
            </w:pPr>
            <w:r w:rsidRPr="0034321A">
              <w:rPr>
                <w:rFonts w:cs="Tahoma"/>
                <w:b/>
                <w:bCs/>
                <w:color w:val="FFFFFF"/>
                <w:sz w:val="14"/>
                <w:szCs w:val="14"/>
              </w:rPr>
              <w:t>Hospitals</w:t>
            </w:r>
          </w:p>
        </w:tc>
        <w:tc>
          <w:tcPr>
            <w:tcW w:w="0" w:type="auto"/>
            <w:tcBorders>
              <w:top w:val="nil"/>
              <w:left w:val="nil"/>
              <w:bottom w:val="nil"/>
              <w:right w:val="single" w:sz="4" w:space="0" w:color="auto"/>
            </w:tcBorders>
            <w:shd w:val="clear" w:color="000000" w:fill="69AE23"/>
            <w:noWrap/>
            <w:tcMar>
              <w:top w:w="15" w:type="dxa"/>
              <w:left w:w="15" w:type="dxa"/>
              <w:bottom w:w="0" w:type="dxa"/>
              <w:right w:w="15" w:type="dxa"/>
            </w:tcMar>
            <w:textDirection w:val="btLr"/>
            <w:vAlign w:val="bottom"/>
            <w:hideMark/>
          </w:tcPr>
          <w:p w14:paraId="1DA8F892" w14:textId="77777777" w:rsidR="001B59F8" w:rsidRPr="0034321A" w:rsidRDefault="001B59F8">
            <w:pPr>
              <w:jc w:val="center"/>
              <w:rPr>
                <w:rFonts w:cs="Tahoma"/>
                <w:b/>
                <w:bCs/>
                <w:color w:val="FFFFFF"/>
                <w:sz w:val="14"/>
                <w:szCs w:val="14"/>
              </w:rPr>
            </w:pPr>
            <w:r w:rsidRPr="0034321A">
              <w:rPr>
                <w:rFonts w:cs="Tahoma"/>
                <w:b/>
                <w:bCs/>
                <w:color w:val="FFFFFF"/>
                <w:sz w:val="14"/>
                <w:szCs w:val="14"/>
              </w:rPr>
              <w:t>Others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4C04B" w14:textId="77777777" w:rsidR="001B59F8" w:rsidRDefault="001B59F8">
            <w:pPr>
              <w:rPr>
                <w:rFonts w:cs="Tahoma"/>
                <w:b/>
                <w:bCs/>
                <w:color w:val="FFFFFF"/>
                <w:szCs w:val="14"/>
              </w:rPr>
            </w:pPr>
          </w:p>
        </w:tc>
      </w:tr>
      <w:tr w:rsidR="00034328" w14:paraId="69BA7867" w14:textId="77777777" w:rsidTr="00034328">
        <w:trPr>
          <w:trHeight w:val="234"/>
        </w:trPr>
        <w:tc>
          <w:tcPr>
            <w:tcW w:w="0" w:type="auto"/>
            <w:tcBorders>
              <w:top w:val="single" w:sz="4" w:space="0" w:color="000000"/>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44C6A7CD" w14:textId="77777777" w:rsidR="001B59F8" w:rsidRPr="0034321A" w:rsidRDefault="001B59F8" w:rsidP="00AF4AD6">
            <w:pPr>
              <w:spacing w:before="120" w:after="0"/>
              <w:rPr>
                <w:rFonts w:cs="Tahoma"/>
                <w:sz w:val="14"/>
                <w:szCs w:val="14"/>
              </w:rPr>
            </w:pPr>
            <w:r w:rsidRPr="0034321A">
              <w:rPr>
                <w:rFonts w:cs="Tahoma"/>
                <w:sz w:val="14"/>
                <w:szCs w:val="14"/>
              </w:rPr>
              <w:t>Austria</w:t>
            </w:r>
          </w:p>
        </w:tc>
        <w:tc>
          <w:tcPr>
            <w:tcW w:w="0" w:type="auto"/>
            <w:tcBorders>
              <w:top w:val="single" w:sz="4" w:space="0" w:color="000000"/>
              <w:left w:val="nil"/>
              <w:bottom w:val="nil"/>
              <w:right w:val="single" w:sz="4" w:space="0" w:color="auto"/>
            </w:tcBorders>
            <w:shd w:val="clear" w:color="000000" w:fill="D9D9D9"/>
            <w:noWrap/>
            <w:tcMar>
              <w:top w:w="15" w:type="dxa"/>
              <w:left w:w="15" w:type="dxa"/>
              <w:bottom w:w="0" w:type="dxa"/>
              <w:right w:w="15" w:type="dxa"/>
            </w:tcMar>
            <w:vAlign w:val="bottom"/>
            <w:hideMark/>
          </w:tcPr>
          <w:p w14:paraId="14202F74" w14:textId="77777777" w:rsidR="001B59F8" w:rsidRPr="0034321A" w:rsidRDefault="001B59F8" w:rsidP="00AF4AD6">
            <w:pPr>
              <w:spacing w:before="120" w:after="0"/>
              <w:rPr>
                <w:rFonts w:cs="Tahoma"/>
                <w:sz w:val="14"/>
                <w:szCs w:val="14"/>
              </w:rPr>
            </w:pPr>
            <w:r w:rsidRPr="0034321A">
              <w:rPr>
                <w:rFonts w:cs="Tahoma"/>
                <w:sz w:val="14"/>
                <w:szCs w:val="14"/>
              </w:rPr>
              <w:t>AT-</w:t>
            </w:r>
            <w:proofErr w:type="spellStart"/>
            <w:r w:rsidRPr="0034321A">
              <w:rPr>
                <w:rFonts w:cs="Tahoma"/>
                <w:sz w:val="14"/>
                <w:szCs w:val="14"/>
              </w:rPr>
              <w:t>Epidemiegesetz</w:t>
            </w:r>
            <w:proofErr w:type="spellEnd"/>
          </w:p>
        </w:tc>
        <w:tc>
          <w:tcPr>
            <w:tcW w:w="0" w:type="auto"/>
            <w:tcBorders>
              <w:top w:val="single" w:sz="4" w:space="0" w:color="000000"/>
              <w:left w:val="nil"/>
              <w:bottom w:val="nil"/>
              <w:right w:val="single" w:sz="4" w:space="0" w:color="auto"/>
            </w:tcBorders>
            <w:shd w:val="clear" w:color="000000" w:fill="D9D9D9"/>
            <w:noWrap/>
            <w:tcMar>
              <w:top w:w="15" w:type="dxa"/>
              <w:left w:w="15" w:type="dxa"/>
              <w:bottom w:w="0" w:type="dxa"/>
              <w:right w:w="15" w:type="dxa"/>
            </w:tcMar>
            <w:vAlign w:val="bottom"/>
            <w:hideMark/>
          </w:tcPr>
          <w:p w14:paraId="31C92FA9"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single" w:sz="4" w:space="0" w:color="000000"/>
              <w:left w:val="nil"/>
              <w:bottom w:val="nil"/>
              <w:right w:val="single" w:sz="4" w:space="0" w:color="auto"/>
            </w:tcBorders>
            <w:shd w:val="clear" w:color="000000" w:fill="D9D9D9"/>
            <w:noWrap/>
            <w:tcMar>
              <w:top w:w="15" w:type="dxa"/>
              <w:left w:w="15" w:type="dxa"/>
              <w:bottom w:w="0" w:type="dxa"/>
              <w:right w:w="15" w:type="dxa"/>
            </w:tcMar>
            <w:vAlign w:val="bottom"/>
            <w:hideMark/>
          </w:tcPr>
          <w:p w14:paraId="0E363AEB"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single" w:sz="4" w:space="0" w:color="000000"/>
              <w:left w:val="nil"/>
              <w:bottom w:val="nil"/>
              <w:right w:val="single" w:sz="4" w:space="0" w:color="auto"/>
            </w:tcBorders>
            <w:shd w:val="clear" w:color="000000" w:fill="D9D9D9"/>
            <w:noWrap/>
            <w:tcMar>
              <w:top w:w="15" w:type="dxa"/>
              <w:left w:w="15" w:type="dxa"/>
              <w:bottom w:w="0" w:type="dxa"/>
              <w:right w:w="15" w:type="dxa"/>
            </w:tcMar>
            <w:vAlign w:val="bottom"/>
            <w:hideMark/>
          </w:tcPr>
          <w:p w14:paraId="517EF8A6"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single" w:sz="4" w:space="0" w:color="000000"/>
              <w:left w:val="nil"/>
              <w:bottom w:val="nil"/>
              <w:right w:val="single" w:sz="4" w:space="0" w:color="auto"/>
            </w:tcBorders>
            <w:shd w:val="clear" w:color="000000" w:fill="D9D9D9"/>
            <w:noWrap/>
            <w:tcMar>
              <w:top w:w="15" w:type="dxa"/>
              <w:left w:w="15" w:type="dxa"/>
              <w:bottom w:w="0" w:type="dxa"/>
              <w:right w:w="15" w:type="dxa"/>
            </w:tcMar>
            <w:vAlign w:val="bottom"/>
            <w:hideMark/>
          </w:tcPr>
          <w:p w14:paraId="0F15E9C0"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single" w:sz="4" w:space="0" w:color="000000"/>
              <w:left w:val="nil"/>
              <w:bottom w:val="nil"/>
              <w:right w:val="single" w:sz="4" w:space="0" w:color="auto"/>
            </w:tcBorders>
            <w:shd w:val="clear" w:color="000000" w:fill="D9D9D9"/>
            <w:noWrap/>
            <w:tcMar>
              <w:top w:w="15" w:type="dxa"/>
              <w:left w:w="15" w:type="dxa"/>
              <w:bottom w:w="0" w:type="dxa"/>
              <w:right w:w="15" w:type="dxa"/>
            </w:tcMar>
            <w:vAlign w:val="bottom"/>
            <w:hideMark/>
          </w:tcPr>
          <w:p w14:paraId="56B51E60"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single" w:sz="4" w:space="0" w:color="000000"/>
              <w:left w:val="nil"/>
              <w:bottom w:val="nil"/>
              <w:right w:val="single" w:sz="4" w:space="0" w:color="auto"/>
            </w:tcBorders>
            <w:shd w:val="clear" w:color="000000" w:fill="D9D9D9"/>
            <w:noWrap/>
            <w:tcMar>
              <w:top w:w="15" w:type="dxa"/>
              <w:left w:w="15" w:type="dxa"/>
              <w:bottom w:w="0" w:type="dxa"/>
              <w:right w:w="15" w:type="dxa"/>
            </w:tcMar>
            <w:vAlign w:val="bottom"/>
            <w:hideMark/>
          </w:tcPr>
          <w:p w14:paraId="7D5B287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single" w:sz="4" w:space="0" w:color="000000"/>
              <w:left w:val="nil"/>
              <w:bottom w:val="nil"/>
              <w:right w:val="single" w:sz="4" w:space="0" w:color="auto"/>
            </w:tcBorders>
            <w:shd w:val="clear" w:color="000000" w:fill="D9D9D9"/>
            <w:noWrap/>
            <w:tcMar>
              <w:top w:w="15" w:type="dxa"/>
              <w:left w:w="15" w:type="dxa"/>
              <w:bottom w:w="0" w:type="dxa"/>
              <w:right w:w="15" w:type="dxa"/>
            </w:tcMar>
            <w:vAlign w:val="bottom"/>
            <w:hideMark/>
          </w:tcPr>
          <w:p w14:paraId="2D2CEE32"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single" w:sz="4" w:space="0" w:color="000000"/>
              <w:left w:val="nil"/>
              <w:bottom w:val="nil"/>
              <w:right w:val="single" w:sz="4" w:space="0" w:color="auto"/>
            </w:tcBorders>
            <w:shd w:val="clear" w:color="000000" w:fill="D9D9D9"/>
            <w:noWrap/>
            <w:tcMar>
              <w:top w:w="15" w:type="dxa"/>
              <w:left w:w="15" w:type="dxa"/>
              <w:bottom w:w="0" w:type="dxa"/>
              <w:right w:w="15" w:type="dxa"/>
            </w:tcMar>
            <w:vAlign w:val="bottom"/>
            <w:hideMark/>
          </w:tcPr>
          <w:p w14:paraId="2FBAC337"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single" w:sz="4" w:space="0" w:color="000000"/>
              <w:left w:val="nil"/>
              <w:bottom w:val="nil"/>
              <w:right w:val="single" w:sz="4" w:space="0" w:color="000000"/>
            </w:tcBorders>
            <w:shd w:val="clear" w:color="000000" w:fill="D9D9D9"/>
            <w:noWrap/>
            <w:tcMar>
              <w:top w:w="15" w:type="dxa"/>
              <w:left w:w="15" w:type="dxa"/>
              <w:bottom w:w="0" w:type="dxa"/>
              <w:right w:w="15" w:type="dxa"/>
            </w:tcMar>
            <w:vAlign w:val="bottom"/>
            <w:hideMark/>
          </w:tcPr>
          <w:p w14:paraId="2ADFE0A9" w14:textId="77777777" w:rsidR="001B59F8" w:rsidRPr="0034321A" w:rsidRDefault="001B59F8" w:rsidP="00AF4AD6">
            <w:pPr>
              <w:spacing w:before="120" w:after="0"/>
              <w:rPr>
                <w:rFonts w:cs="Tahoma"/>
                <w:sz w:val="14"/>
                <w:szCs w:val="14"/>
              </w:rPr>
            </w:pPr>
            <w:r w:rsidRPr="0034321A">
              <w:rPr>
                <w:rFonts w:cs="Tahoma"/>
                <w:sz w:val="14"/>
                <w:szCs w:val="14"/>
              </w:rPr>
              <w:t>EU-2008</w:t>
            </w:r>
          </w:p>
        </w:tc>
      </w:tr>
      <w:tr w:rsidR="00034328" w14:paraId="23889C1C"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31A9EC6C" w14:textId="77777777" w:rsidR="001B59F8" w:rsidRPr="0034321A" w:rsidRDefault="001B59F8" w:rsidP="00AF4AD6">
            <w:pPr>
              <w:spacing w:before="120" w:after="0"/>
              <w:rPr>
                <w:rFonts w:cs="Tahoma"/>
                <w:sz w:val="14"/>
                <w:szCs w:val="14"/>
              </w:rPr>
            </w:pPr>
            <w:r w:rsidRPr="0034321A">
              <w:rPr>
                <w:rFonts w:cs="Tahoma"/>
                <w:sz w:val="14"/>
                <w:szCs w:val="14"/>
              </w:rPr>
              <w:t>Belgium</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EDFBF61" w14:textId="77777777" w:rsidR="001B59F8" w:rsidRPr="0034321A" w:rsidRDefault="001B59F8" w:rsidP="00AF4AD6">
            <w:pPr>
              <w:spacing w:before="120" w:after="0"/>
              <w:rPr>
                <w:rFonts w:cs="Tahoma"/>
                <w:sz w:val="14"/>
                <w:szCs w:val="14"/>
              </w:rPr>
            </w:pPr>
            <w:r w:rsidRPr="0034321A">
              <w:rPr>
                <w:rFonts w:cs="Tahoma"/>
                <w:sz w:val="14"/>
                <w:szCs w:val="14"/>
              </w:rPr>
              <w:t>BE-REFLAB</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8BDC567"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34AE01A"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A841D8F"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96EE82B"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ECD7EB4"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C82AB5D"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BF4DECE"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C1484BC"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3A3522E6" w14:textId="23DCE10B" w:rsidR="001B59F8" w:rsidRPr="0034321A" w:rsidRDefault="00B75021" w:rsidP="00AF4AD6">
            <w:pPr>
              <w:spacing w:before="120" w:after="0"/>
              <w:rPr>
                <w:rFonts w:cs="Tahoma"/>
                <w:sz w:val="14"/>
                <w:szCs w:val="14"/>
              </w:rPr>
            </w:pPr>
            <w:r w:rsidRPr="0034321A">
              <w:rPr>
                <w:rFonts w:cs="Tahoma"/>
                <w:sz w:val="14"/>
                <w:szCs w:val="14"/>
              </w:rPr>
              <w:t>EU-2018</w:t>
            </w:r>
          </w:p>
        </w:tc>
      </w:tr>
      <w:tr w:rsidR="00034328" w14:paraId="2BD678BB"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4AD9ADBF" w14:textId="77777777" w:rsidR="001B59F8" w:rsidRPr="0034321A" w:rsidRDefault="001B59F8" w:rsidP="00AF4AD6">
            <w:pPr>
              <w:spacing w:before="120" w:after="0"/>
              <w:rPr>
                <w:rFonts w:cs="Tahoma"/>
                <w:sz w:val="14"/>
                <w:szCs w:val="14"/>
              </w:rPr>
            </w:pPr>
            <w:r w:rsidRPr="0034321A">
              <w:rPr>
                <w:rFonts w:cs="Tahoma"/>
                <w:sz w:val="14"/>
                <w:szCs w:val="14"/>
              </w:rPr>
              <w:t>Bulgaria</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BEB4E7B" w14:textId="77777777" w:rsidR="001B59F8" w:rsidRPr="0034321A" w:rsidRDefault="001B59F8" w:rsidP="00AF4AD6">
            <w:pPr>
              <w:spacing w:before="120" w:after="0"/>
              <w:rPr>
                <w:rFonts w:cs="Tahoma"/>
                <w:sz w:val="14"/>
                <w:szCs w:val="14"/>
              </w:rPr>
            </w:pPr>
            <w:r w:rsidRPr="0034321A">
              <w:rPr>
                <w:rFonts w:cs="Tahoma"/>
                <w:sz w:val="14"/>
                <w:szCs w:val="14"/>
              </w:rPr>
              <w:t>BG-NATIONAL_SURVEILLANCE</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D2E9336"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ED23FE1"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2E97C99"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25DB5C0"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0125B20"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B3E7BF7"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726AC6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1B14562"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38BFA980" w14:textId="77777777" w:rsidR="001B59F8" w:rsidRPr="0034321A" w:rsidRDefault="001B59F8" w:rsidP="00AF4AD6">
            <w:pPr>
              <w:spacing w:before="120" w:after="0"/>
              <w:rPr>
                <w:rFonts w:cs="Tahoma"/>
                <w:sz w:val="14"/>
                <w:szCs w:val="14"/>
              </w:rPr>
            </w:pPr>
            <w:r w:rsidRPr="0034321A">
              <w:rPr>
                <w:rFonts w:cs="Tahoma"/>
                <w:sz w:val="14"/>
                <w:szCs w:val="14"/>
              </w:rPr>
              <w:t>EU-2018</w:t>
            </w:r>
          </w:p>
        </w:tc>
      </w:tr>
      <w:tr w:rsidR="00034328" w14:paraId="2965E1B7"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5DE2609E" w14:textId="77777777" w:rsidR="001B59F8" w:rsidRPr="0034321A" w:rsidRDefault="001B59F8" w:rsidP="00AF4AD6">
            <w:pPr>
              <w:spacing w:before="120" w:after="0"/>
              <w:rPr>
                <w:rFonts w:cs="Tahoma"/>
                <w:sz w:val="14"/>
                <w:szCs w:val="14"/>
              </w:rPr>
            </w:pPr>
            <w:r w:rsidRPr="0034321A">
              <w:rPr>
                <w:rFonts w:cs="Tahoma"/>
                <w:sz w:val="14"/>
                <w:szCs w:val="14"/>
              </w:rPr>
              <w:t>Croatia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0A18090" w14:textId="77777777" w:rsidR="001B59F8" w:rsidRPr="0034321A" w:rsidRDefault="001B59F8" w:rsidP="00AF4AD6">
            <w:pPr>
              <w:spacing w:before="120" w:after="0"/>
              <w:rPr>
                <w:rFonts w:cs="Tahoma"/>
                <w:sz w:val="14"/>
                <w:szCs w:val="14"/>
              </w:rPr>
            </w:pPr>
            <w:r w:rsidRPr="0034321A">
              <w:rPr>
                <w:rFonts w:cs="Tahoma"/>
                <w:sz w:val="14"/>
                <w:szCs w:val="14"/>
              </w:rPr>
              <w:t>HR-CNIPH</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ECDF51E"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E4173D1"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004CC53"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31F7D38"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A13AAD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F8E6168"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43BC86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484919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2CD2ADE4" w14:textId="77777777" w:rsidR="001B59F8" w:rsidRPr="0034321A" w:rsidRDefault="001B59F8" w:rsidP="00AF4AD6">
            <w:pPr>
              <w:spacing w:before="120" w:after="0"/>
              <w:rPr>
                <w:rFonts w:cs="Tahoma"/>
                <w:sz w:val="14"/>
                <w:szCs w:val="14"/>
              </w:rPr>
            </w:pPr>
            <w:r w:rsidRPr="0034321A">
              <w:rPr>
                <w:rFonts w:cs="Tahoma"/>
                <w:sz w:val="14"/>
                <w:szCs w:val="14"/>
              </w:rPr>
              <w:t>EU-2012</w:t>
            </w:r>
          </w:p>
        </w:tc>
      </w:tr>
      <w:tr w:rsidR="00034328" w14:paraId="7F55C386"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4490F3CF" w14:textId="77777777" w:rsidR="001B59F8" w:rsidRPr="0034321A" w:rsidRDefault="001B59F8" w:rsidP="00AF4AD6">
            <w:pPr>
              <w:spacing w:before="120" w:after="0"/>
              <w:rPr>
                <w:rFonts w:cs="Tahoma"/>
                <w:sz w:val="14"/>
                <w:szCs w:val="14"/>
              </w:rPr>
            </w:pPr>
            <w:r w:rsidRPr="0034321A">
              <w:rPr>
                <w:rFonts w:cs="Tahoma"/>
                <w:sz w:val="14"/>
                <w:szCs w:val="14"/>
              </w:rPr>
              <w:t>Cyprus</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7E62D3C" w14:textId="77777777" w:rsidR="001B59F8" w:rsidRPr="0034321A" w:rsidRDefault="001B59F8" w:rsidP="00AF4AD6">
            <w:pPr>
              <w:spacing w:before="120" w:after="0"/>
              <w:rPr>
                <w:rFonts w:cs="Tahoma"/>
                <w:sz w:val="14"/>
                <w:szCs w:val="14"/>
              </w:rPr>
            </w:pPr>
            <w:r w:rsidRPr="0034321A">
              <w:rPr>
                <w:rFonts w:cs="Tahoma"/>
                <w:sz w:val="14"/>
                <w:szCs w:val="14"/>
              </w:rPr>
              <w:t>CY-NOTIFIED_DISEASES</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46212E4"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17B823A"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A3FDD42"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F182649"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C819B48"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32EEE0D"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A6F3AD8"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8314D4F"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066F8534" w14:textId="77777777" w:rsidR="001B59F8" w:rsidRPr="0034321A" w:rsidRDefault="001B59F8" w:rsidP="00AF4AD6">
            <w:pPr>
              <w:spacing w:before="120" w:after="0"/>
              <w:rPr>
                <w:rFonts w:cs="Tahoma"/>
                <w:sz w:val="14"/>
                <w:szCs w:val="14"/>
              </w:rPr>
            </w:pPr>
            <w:r w:rsidRPr="0034321A">
              <w:rPr>
                <w:rFonts w:cs="Tahoma"/>
                <w:sz w:val="14"/>
                <w:szCs w:val="14"/>
              </w:rPr>
              <w:t>EU-2008</w:t>
            </w:r>
          </w:p>
        </w:tc>
      </w:tr>
      <w:tr w:rsidR="00034328" w14:paraId="15F7FE79"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183AEF42" w14:textId="77777777" w:rsidR="001B59F8" w:rsidRPr="0034321A" w:rsidRDefault="001B59F8" w:rsidP="00AF4AD6">
            <w:pPr>
              <w:spacing w:before="120" w:after="0"/>
              <w:rPr>
                <w:rFonts w:cs="Tahoma"/>
                <w:sz w:val="14"/>
                <w:szCs w:val="14"/>
              </w:rPr>
            </w:pPr>
            <w:r w:rsidRPr="0034321A">
              <w:rPr>
                <w:rFonts w:cs="Tahoma"/>
                <w:sz w:val="14"/>
                <w:szCs w:val="14"/>
              </w:rPr>
              <w:t>Czechia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7F968F5" w14:textId="77777777" w:rsidR="001B59F8" w:rsidRPr="0034321A" w:rsidRDefault="001B59F8" w:rsidP="00AF4AD6">
            <w:pPr>
              <w:spacing w:before="120" w:after="0"/>
              <w:rPr>
                <w:rFonts w:cs="Tahoma"/>
                <w:sz w:val="14"/>
                <w:szCs w:val="14"/>
              </w:rPr>
            </w:pPr>
            <w:r w:rsidRPr="0034321A">
              <w:rPr>
                <w:rFonts w:cs="Tahoma"/>
                <w:sz w:val="14"/>
                <w:szCs w:val="14"/>
              </w:rPr>
              <w:t>CZ-ISIN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63C3867"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F4C8023"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4DCABCF" w14:textId="77777777" w:rsidR="001B59F8" w:rsidRPr="0034321A" w:rsidRDefault="001B59F8" w:rsidP="00AF4AD6">
            <w:pPr>
              <w:spacing w:before="120" w:after="0"/>
              <w:rPr>
                <w:rFonts w:cs="Tahoma"/>
                <w:sz w:val="14"/>
                <w:szCs w:val="14"/>
              </w:rPr>
            </w:pPr>
            <w:r w:rsidRPr="0034321A">
              <w:rPr>
                <w:rFonts w:cs="Tahoma"/>
                <w:sz w:val="14"/>
                <w:szCs w:val="14"/>
              </w:rPr>
              <w:t>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0B81006"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04B7845"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A51AA7C"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A063DF7"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C83DF89"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5A234417" w14:textId="77777777" w:rsidR="001B59F8" w:rsidRPr="0034321A" w:rsidRDefault="001B59F8" w:rsidP="00AF4AD6">
            <w:pPr>
              <w:spacing w:before="120" w:after="0"/>
              <w:rPr>
                <w:rFonts w:cs="Tahoma"/>
                <w:sz w:val="14"/>
                <w:szCs w:val="14"/>
              </w:rPr>
            </w:pPr>
            <w:r w:rsidRPr="0034321A">
              <w:rPr>
                <w:rFonts w:cs="Tahoma"/>
                <w:sz w:val="14"/>
                <w:szCs w:val="14"/>
              </w:rPr>
              <w:t>EU-2008</w:t>
            </w:r>
          </w:p>
        </w:tc>
      </w:tr>
      <w:tr w:rsidR="00034328" w14:paraId="62209C45"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65EA32CF" w14:textId="77777777" w:rsidR="001B59F8" w:rsidRPr="0034321A" w:rsidRDefault="001B59F8" w:rsidP="00AF4AD6">
            <w:pPr>
              <w:spacing w:before="120" w:after="0"/>
              <w:rPr>
                <w:rFonts w:cs="Tahoma"/>
                <w:sz w:val="14"/>
                <w:szCs w:val="14"/>
              </w:rPr>
            </w:pPr>
            <w:r w:rsidRPr="0034321A">
              <w:rPr>
                <w:rFonts w:cs="Tahoma"/>
                <w:sz w:val="14"/>
                <w:szCs w:val="14"/>
              </w:rPr>
              <w:t>Denmark</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4AC1AA5" w14:textId="77777777" w:rsidR="001B59F8" w:rsidRPr="0034321A" w:rsidRDefault="001B59F8" w:rsidP="00AF4AD6">
            <w:pPr>
              <w:spacing w:before="120" w:after="0"/>
              <w:rPr>
                <w:rFonts w:cs="Tahoma"/>
                <w:sz w:val="14"/>
                <w:szCs w:val="14"/>
              </w:rPr>
            </w:pPr>
            <w:r w:rsidRPr="0034321A">
              <w:rPr>
                <w:rFonts w:cs="Tahoma"/>
                <w:sz w:val="14"/>
                <w:szCs w:val="14"/>
              </w:rPr>
              <w:t>DK-MIS</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98717EA"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EAD3C09"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6E4D873"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4506994"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BEF1648"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E366E84"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93ABE28"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D9DD648"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4B324227" w14:textId="77777777" w:rsidR="001B59F8" w:rsidRPr="0034321A" w:rsidRDefault="001B59F8" w:rsidP="00AF4AD6">
            <w:pPr>
              <w:spacing w:before="120" w:after="0"/>
              <w:rPr>
                <w:rFonts w:cs="Tahoma"/>
                <w:sz w:val="14"/>
                <w:szCs w:val="14"/>
              </w:rPr>
            </w:pPr>
            <w:r w:rsidRPr="0034321A">
              <w:rPr>
                <w:rFonts w:cs="Tahoma"/>
                <w:sz w:val="14"/>
                <w:szCs w:val="14"/>
              </w:rPr>
              <w:t>Other</w:t>
            </w:r>
          </w:p>
        </w:tc>
      </w:tr>
      <w:tr w:rsidR="00034328" w14:paraId="6FA3E72F"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1817F58F" w14:textId="77777777" w:rsidR="001B59F8" w:rsidRPr="0034321A" w:rsidRDefault="001B59F8" w:rsidP="00AF4AD6">
            <w:pPr>
              <w:spacing w:before="120" w:after="0"/>
              <w:rPr>
                <w:rFonts w:cs="Tahoma"/>
                <w:sz w:val="14"/>
                <w:szCs w:val="14"/>
              </w:rPr>
            </w:pPr>
            <w:r w:rsidRPr="0034321A">
              <w:rPr>
                <w:rFonts w:cs="Tahoma"/>
                <w:sz w:val="14"/>
                <w:szCs w:val="14"/>
              </w:rPr>
              <w:t>Estonia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A343767" w14:textId="77777777" w:rsidR="001B59F8" w:rsidRPr="0034321A" w:rsidRDefault="001B59F8" w:rsidP="00AF4AD6">
            <w:pPr>
              <w:spacing w:before="120" w:after="0"/>
              <w:rPr>
                <w:rFonts w:cs="Tahoma"/>
                <w:sz w:val="14"/>
                <w:szCs w:val="14"/>
              </w:rPr>
            </w:pPr>
            <w:r w:rsidRPr="0034321A">
              <w:rPr>
                <w:rFonts w:cs="Tahoma"/>
                <w:sz w:val="14"/>
                <w:szCs w:val="14"/>
              </w:rPr>
              <w:t>EE-NAKIS</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03E5D0E"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384DED8"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B65C894"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ACCB3E0"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A1D779C"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7827057"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21C9D2F"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EC6FD46"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42EF412B" w14:textId="77777777" w:rsidR="001B59F8" w:rsidRPr="0034321A" w:rsidRDefault="001B59F8" w:rsidP="00AF4AD6">
            <w:pPr>
              <w:spacing w:before="120" w:after="0"/>
              <w:rPr>
                <w:rFonts w:cs="Tahoma"/>
                <w:sz w:val="14"/>
                <w:szCs w:val="14"/>
              </w:rPr>
            </w:pPr>
            <w:r w:rsidRPr="0034321A">
              <w:rPr>
                <w:rFonts w:cs="Tahoma"/>
                <w:sz w:val="14"/>
                <w:szCs w:val="14"/>
              </w:rPr>
              <w:t>EU-2018</w:t>
            </w:r>
          </w:p>
        </w:tc>
      </w:tr>
      <w:tr w:rsidR="00034328" w14:paraId="4C322E5C"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7DE8EABC" w14:textId="77777777" w:rsidR="001B59F8" w:rsidRPr="0034321A" w:rsidRDefault="001B59F8" w:rsidP="00AF4AD6">
            <w:pPr>
              <w:spacing w:before="120" w:after="0"/>
              <w:rPr>
                <w:rFonts w:cs="Tahoma"/>
                <w:sz w:val="14"/>
                <w:szCs w:val="14"/>
              </w:rPr>
            </w:pPr>
            <w:r w:rsidRPr="0034321A">
              <w:rPr>
                <w:rFonts w:cs="Tahoma"/>
                <w:sz w:val="14"/>
                <w:szCs w:val="14"/>
              </w:rPr>
              <w:t>Finland</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B822774" w14:textId="77777777" w:rsidR="001B59F8" w:rsidRPr="0034321A" w:rsidRDefault="001B59F8" w:rsidP="00AF4AD6">
            <w:pPr>
              <w:spacing w:before="120" w:after="0"/>
              <w:rPr>
                <w:rFonts w:cs="Tahoma"/>
                <w:sz w:val="14"/>
                <w:szCs w:val="14"/>
              </w:rPr>
            </w:pPr>
            <w:r w:rsidRPr="0034321A">
              <w:rPr>
                <w:rFonts w:cs="Tahoma"/>
                <w:sz w:val="14"/>
                <w:szCs w:val="14"/>
              </w:rPr>
              <w:t>FI-NIDR</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B308266"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F078D9A"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FCFFAE1"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8D84A7A"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CAE01C2"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A866EB5"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251D9B7"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91A11A8"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68241B24" w14:textId="77777777" w:rsidR="001B59F8" w:rsidRPr="0034321A" w:rsidRDefault="001B59F8" w:rsidP="00AF4AD6">
            <w:pPr>
              <w:spacing w:before="120" w:after="0"/>
              <w:rPr>
                <w:rFonts w:cs="Tahoma"/>
                <w:sz w:val="14"/>
                <w:szCs w:val="14"/>
              </w:rPr>
            </w:pPr>
            <w:r w:rsidRPr="0034321A">
              <w:rPr>
                <w:rFonts w:cs="Tahoma"/>
                <w:sz w:val="14"/>
                <w:szCs w:val="14"/>
              </w:rPr>
              <w:t>EU-2012</w:t>
            </w:r>
          </w:p>
        </w:tc>
      </w:tr>
      <w:tr w:rsidR="00034328" w14:paraId="38968179"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3C296A0C" w14:textId="77777777" w:rsidR="001B59F8" w:rsidRPr="0034321A" w:rsidRDefault="001B59F8" w:rsidP="00AF4AD6">
            <w:pPr>
              <w:spacing w:before="120" w:after="0"/>
              <w:rPr>
                <w:rFonts w:cs="Tahoma"/>
                <w:sz w:val="14"/>
                <w:szCs w:val="14"/>
              </w:rPr>
            </w:pPr>
            <w:r w:rsidRPr="0034321A">
              <w:rPr>
                <w:rFonts w:cs="Tahoma"/>
                <w:sz w:val="14"/>
                <w:szCs w:val="14"/>
              </w:rPr>
              <w:t>France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BD6140C" w14:textId="77777777" w:rsidR="001B59F8" w:rsidRPr="0034321A" w:rsidRDefault="001B59F8" w:rsidP="00AF4AD6">
            <w:pPr>
              <w:spacing w:before="120" w:after="0"/>
              <w:rPr>
                <w:rFonts w:cs="Tahoma"/>
                <w:sz w:val="14"/>
                <w:szCs w:val="14"/>
              </w:rPr>
            </w:pPr>
            <w:r w:rsidRPr="0034321A">
              <w:rPr>
                <w:rFonts w:cs="Tahoma"/>
                <w:sz w:val="14"/>
                <w:szCs w:val="14"/>
              </w:rPr>
              <w:t>FR-MANDATORY_INFECTIOUS_DISEASES</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ECBC0FC"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9B77F54"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F9C960D"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5355712"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A5A5264"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6177BC1"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DF36226"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D0906C7"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7E55B1E4" w14:textId="77777777" w:rsidR="001B59F8" w:rsidRPr="0034321A" w:rsidRDefault="001B59F8" w:rsidP="00AF4AD6">
            <w:pPr>
              <w:spacing w:before="120" w:after="0"/>
              <w:rPr>
                <w:rFonts w:cs="Tahoma"/>
                <w:sz w:val="14"/>
                <w:szCs w:val="14"/>
              </w:rPr>
            </w:pPr>
            <w:r w:rsidRPr="0034321A">
              <w:rPr>
                <w:rFonts w:cs="Tahoma"/>
                <w:sz w:val="14"/>
                <w:szCs w:val="14"/>
              </w:rPr>
              <w:t>Not specified/unknown</w:t>
            </w:r>
          </w:p>
        </w:tc>
      </w:tr>
      <w:tr w:rsidR="00034328" w14:paraId="32377D05"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00F1CC5D" w14:textId="77777777" w:rsidR="001B59F8" w:rsidRPr="0034321A" w:rsidRDefault="001B59F8" w:rsidP="00AF4AD6">
            <w:pPr>
              <w:spacing w:before="120" w:after="0"/>
              <w:rPr>
                <w:rFonts w:cs="Tahoma"/>
                <w:sz w:val="14"/>
                <w:szCs w:val="14"/>
              </w:rPr>
            </w:pPr>
            <w:r w:rsidRPr="0034321A">
              <w:rPr>
                <w:rFonts w:cs="Tahoma"/>
                <w:sz w:val="14"/>
                <w:szCs w:val="14"/>
              </w:rPr>
              <w:t>Germany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739B140" w14:textId="77777777" w:rsidR="001B59F8" w:rsidRPr="0034321A" w:rsidRDefault="001B59F8" w:rsidP="00AF4AD6">
            <w:pPr>
              <w:spacing w:before="120" w:after="0"/>
              <w:rPr>
                <w:rFonts w:cs="Tahoma"/>
                <w:sz w:val="14"/>
                <w:szCs w:val="14"/>
              </w:rPr>
            </w:pPr>
            <w:r w:rsidRPr="0034321A">
              <w:rPr>
                <w:rFonts w:cs="Tahoma"/>
                <w:sz w:val="14"/>
                <w:szCs w:val="14"/>
              </w:rPr>
              <w:t>DE-SURVNET@RKI-7.1/6</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B51B732"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8EDE163"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8EC8635"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4E560AA"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EBA498E"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BA4805C"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0DD36F8"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1929126"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4ED73C77" w14:textId="77777777" w:rsidR="001B59F8" w:rsidRPr="0034321A" w:rsidRDefault="001B59F8" w:rsidP="00AF4AD6">
            <w:pPr>
              <w:spacing w:before="120" w:after="0"/>
              <w:rPr>
                <w:rFonts w:cs="Tahoma"/>
                <w:sz w:val="14"/>
                <w:szCs w:val="14"/>
              </w:rPr>
            </w:pPr>
            <w:r w:rsidRPr="0034321A">
              <w:rPr>
                <w:rFonts w:cs="Tahoma"/>
                <w:sz w:val="14"/>
                <w:szCs w:val="14"/>
              </w:rPr>
              <w:t>Other</w:t>
            </w:r>
          </w:p>
        </w:tc>
      </w:tr>
      <w:tr w:rsidR="00034328" w14:paraId="39AB61BC"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15C3EFDA" w14:textId="77777777" w:rsidR="001B59F8" w:rsidRPr="0034321A" w:rsidRDefault="001B59F8" w:rsidP="00AF4AD6">
            <w:pPr>
              <w:spacing w:before="120" w:after="0"/>
              <w:rPr>
                <w:rFonts w:cs="Tahoma"/>
                <w:sz w:val="14"/>
                <w:szCs w:val="14"/>
              </w:rPr>
            </w:pPr>
            <w:r w:rsidRPr="0034321A">
              <w:rPr>
                <w:rFonts w:cs="Tahoma"/>
                <w:sz w:val="14"/>
                <w:szCs w:val="14"/>
              </w:rPr>
              <w:t>Greece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8D5392B" w14:textId="77777777" w:rsidR="001B59F8" w:rsidRPr="0034321A" w:rsidRDefault="001B59F8" w:rsidP="00AF4AD6">
            <w:pPr>
              <w:spacing w:before="120" w:after="0"/>
              <w:rPr>
                <w:rFonts w:cs="Tahoma"/>
                <w:sz w:val="14"/>
                <w:szCs w:val="14"/>
              </w:rPr>
            </w:pPr>
            <w:r w:rsidRPr="0034321A">
              <w:rPr>
                <w:rFonts w:cs="Tahoma"/>
                <w:sz w:val="14"/>
                <w:szCs w:val="14"/>
              </w:rPr>
              <w:t>EL-NOTIFIABLE_DISEASES</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6FED839"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9B9E5FD"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BB8E83D"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FB23104"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20F63E3"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377B1A3"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1E6A091"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7AAB929" w14:textId="77777777" w:rsidR="001B59F8" w:rsidRPr="0034321A" w:rsidRDefault="001B59F8" w:rsidP="00AF4AD6">
            <w:pPr>
              <w:spacing w:before="120" w:after="0"/>
              <w:rPr>
                <w:rFonts w:cs="Tahoma"/>
                <w:sz w:val="14"/>
                <w:szCs w:val="14"/>
              </w:rPr>
            </w:pPr>
            <w:r w:rsidRPr="0034321A">
              <w:rPr>
                <w:rFonts w:cs="Tahoma"/>
                <w:sz w:val="14"/>
                <w:szCs w:val="14"/>
              </w:rPr>
              <w:t>.</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1B8E359C" w14:textId="77777777" w:rsidR="001B59F8" w:rsidRPr="0034321A" w:rsidRDefault="001B59F8" w:rsidP="00AF4AD6">
            <w:pPr>
              <w:spacing w:before="120" w:after="0"/>
              <w:rPr>
                <w:rFonts w:cs="Tahoma"/>
                <w:sz w:val="14"/>
                <w:szCs w:val="14"/>
              </w:rPr>
            </w:pPr>
            <w:r w:rsidRPr="0034321A">
              <w:rPr>
                <w:rFonts w:cs="Tahoma"/>
                <w:sz w:val="14"/>
                <w:szCs w:val="14"/>
              </w:rPr>
              <w:t>EU-2018</w:t>
            </w:r>
          </w:p>
        </w:tc>
      </w:tr>
      <w:tr w:rsidR="00034328" w14:paraId="45DBB910"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7ED14EBF" w14:textId="77777777" w:rsidR="001B59F8" w:rsidRPr="0034321A" w:rsidRDefault="001B59F8" w:rsidP="00AF4AD6">
            <w:pPr>
              <w:spacing w:before="120" w:after="0"/>
              <w:rPr>
                <w:rFonts w:cs="Tahoma"/>
                <w:sz w:val="14"/>
                <w:szCs w:val="14"/>
              </w:rPr>
            </w:pPr>
            <w:r w:rsidRPr="0034321A">
              <w:rPr>
                <w:rFonts w:cs="Tahoma"/>
                <w:sz w:val="14"/>
                <w:szCs w:val="14"/>
              </w:rPr>
              <w:t>Hungary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EC6F357" w14:textId="77777777" w:rsidR="001B59F8" w:rsidRPr="0034321A" w:rsidRDefault="001B59F8" w:rsidP="00AF4AD6">
            <w:pPr>
              <w:spacing w:before="120" w:after="0"/>
              <w:rPr>
                <w:rFonts w:cs="Tahoma"/>
                <w:sz w:val="14"/>
                <w:szCs w:val="14"/>
              </w:rPr>
            </w:pPr>
            <w:r w:rsidRPr="0034321A">
              <w:rPr>
                <w:rFonts w:cs="Tahoma"/>
                <w:sz w:val="14"/>
                <w:szCs w:val="14"/>
              </w:rPr>
              <w:t>HU-EFRIR</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172377B"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5C75295"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AB8035C"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065A31B"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62F35F9"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C367244"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FCA6842"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30E5F60"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396DD6F1" w14:textId="77777777" w:rsidR="001B59F8" w:rsidRPr="0034321A" w:rsidRDefault="001B59F8" w:rsidP="00AF4AD6">
            <w:pPr>
              <w:spacing w:before="120" w:after="0"/>
              <w:rPr>
                <w:rFonts w:cs="Tahoma"/>
                <w:sz w:val="14"/>
                <w:szCs w:val="14"/>
              </w:rPr>
            </w:pPr>
            <w:r w:rsidRPr="0034321A">
              <w:rPr>
                <w:rFonts w:cs="Tahoma"/>
                <w:sz w:val="14"/>
                <w:szCs w:val="14"/>
              </w:rPr>
              <w:t>EU-2012</w:t>
            </w:r>
          </w:p>
        </w:tc>
      </w:tr>
      <w:tr w:rsidR="00034328" w14:paraId="65D97F1B"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195768AA" w14:textId="77777777" w:rsidR="001B59F8" w:rsidRPr="0034321A" w:rsidRDefault="001B59F8" w:rsidP="00AF4AD6">
            <w:pPr>
              <w:spacing w:before="120" w:after="0"/>
              <w:rPr>
                <w:rFonts w:cs="Tahoma"/>
                <w:sz w:val="14"/>
                <w:szCs w:val="14"/>
              </w:rPr>
            </w:pPr>
            <w:r w:rsidRPr="0034321A">
              <w:rPr>
                <w:rFonts w:cs="Tahoma"/>
                <w:sz w:val="14"/>
                <w:szCs w:val="14"/>
              </w:rPr>
              <w:t>Iceland</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9571108" w14:textId="77777777" w:rsidR="001B59F8" w:rsidRPr="0034321A" w:rsidRDefault="001B59F8" w:rsidP="00AF4AD6">
            <w:pPr>
              <w:spacing w:before="120" w:after="0"/>
              <w:rPr>
                <w:rFonts w:cs="Tahoma"/>
                <w:sz w:val="14"/>
                <w:szCs w:val="14"/>
              </w:rPr>
            </w:pPr>
            <w:r w:rsidRPr="0034321A">
              <w:rPr>
                <w:rFonts w:cs="Tahoma"/>
                <w:sz w:val="14"/>
                <w:szCs w:val="14"/>
              </w:rPr>
              <w:t>IS-SUBJECT_TO_REGISTRATION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C35407E"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1F7DA6C"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C8320FF"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D95C693"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5F003FD"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3D5F43A"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2071D87" w14:textId="77777777" w:rsidR="001B59F8" w:rsidRPr="0034321A" w:rsidRDefault="001B59F8" w:rsidP="00AF4AD6">
            <w:pPr>
              <w:spacing w:before="120" w:after="0"/>
              <w:rPr>
                <w:rFonts w:cs="Tahoma"/>
                <w:sz w:val="14"/>
                <w:szCs w:val="14"/>
              </w:rPr>
            </w:pPr>
            <w:r w:rsidRPr="0034321A">
              <w:rPr>
                <w:rFonts w:cs="Tahoma"/>
                <w:sz w:val="14"/>
                <w:szCs w:val="14"/>
              </w:rPr>
              <w:t>.</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6049052" w14:textId="77777777" w:rsidR="001B59F8" w:rsidRPr="0034321A" w:rsidRDefault="001B59F8" w:rsidP="00AF4AD6">
            <w:pPr>
              <w:spacing w:before="120" w:after="0"/>
              <w:rPr>
                <w:rFonts w:cs="Tahoma"/>
                <w:sz w:val="14"/>
                <w:szCs w:val="14"/>
              </w:rPr>
            </w:pPr>
            <w:r w:rsidRPr="0034321A">
              <w:rPr>
                <w:rFonts w:cs="Tahoma"/>
                <w:sz w:val="14"/>
                <w:szCs w:val="14"/>
              </w:rPr>
              <w:t>.</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6821702E" w14:textId="26614E57" w:rsidR="001B59F8" w:rsidRPr="0034321A" w:rsidRDefault="001B59F8" w:rsidP="00AF4AD6">
            <w:pPr>
              <w:spacing w:before="120" w:after="0"/>
              <w:rPr>
                <w:rFonts w:cs="Tahoma"/>
                <w:sz w:val="14"/>
                <w:szCs w:val="14"/>
              </w:rPr>
            </w:pPr>
            <w:r w:rsidRPr="0034321A">
              <w:rPr>
                <w:rFonts w:cs="Tahoma"/>
                <w:sz w:val="14"/>
                <w:szCs w:val="14"/>
              </w:rPr>
              <w:t>EU-201</w:t>
            </w:r>
            <w:r w:rsidR="00CD00B0" w:rsidRPr="0034321A">
              <w:rPr>
                <w:rFonts w:cs="Tahoma"/>
                <w:sz w:val="14"/>
                <w:szCs w:val="14"/>
              </w:rPr>
              <w:t>8</w:t>
            </w:r>
          </w:p>
        </w:tc>
      </w:tr>
      <w:tr w:rsidR="00034328" w14:paraId="7CA8A240"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63EE2C50" w14:textId="77777777" w:rsidR="001B59F8" w:rsidRPr="0034321A" w:rsidRDefault="001B59F8" w:rsidP="00AF4AD6">
            <w:pPr>
              <w:spacing w:before="120" w:after="0"/>
              <w:rPr>
                <w:rFonts w:cs="Tahoma"/>
                <w:sz w:val="14"/>
                <w:szCs w:val="14"/>
              </w:rPr>
            </w:pPr>
            <w:r w:rsidRPr="0034321A">
              <w:rPr>
                <w:rFonts w:cs="Tahoma"/>
                <w:sz w:val="14"/>
                <w:szCs w:val="14"/>
              </w:rPr>
              <w:t>Ireland</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326DC6B" w14:textId="77777777" w:rsidR="001B59F8" w:rsidRPr="0034321A" w:rsidRDefault="001B59F8" w:rsidP="00AF4AD6">
            <w:pPr>
              <w:spacing w:before="120" w:after="0"/>
              <w:rPr>
                <w:rFonts w:cs="Tahoma"/>
                <w:sz w:val="14"/>
                <w:szCs w:val="14"/>
              </w:rPr>
            </w:pPr>
            <w:r w:rsidRPr="0034321A">
              <w:rPr>
                <w:rFonts w:cs="Tahoma"/>
                <w:sz w:val="14"/>
                <w:szCs w:val="14"/>
              </w:rPr>
              <w:t>IE-CIDR</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4E2C92A"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B4C375C"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5F49BDD"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40C4626"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5EC09FA"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B47A46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67B8C98"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CCD501A"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7B86C7B7" w14:textId="77777777" w:rsidR="001B59F8" w:rsidRPr="0034321A" w:rsidRDefault="001B59F8" w:rsidP="00AF4AD6">
            <w:pPr>
              <w:spacing w:before="120" w:after="0"/>
              <w:rPr>
                <w:rFonts w:cs="Tahoma"/>
                <w:sz w:val="14"/>
                <w:szCs w:val="14"/>
              </w:rPr>
            </w:pPr>
            <w:r w:rsidRPr="0034321A">
              <w:rPr>
                <w:rFonts w:cs="Tahoma"/>
                <w:sz w:val="14"/>
                <w:szCs w:val="14"/>
              </w:rPr>
              <w:t>EU-2008</w:t>
            </w:r>
          </w:p>
        </w:tc>
      </w:tr>
      <w:tr w:rsidR="00034328" w14:paraId="01372E96"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6C656B4E" w14:textId="77777777" w:rsidR="001B59F8" w:rsidRPr="0034321A" w:rsidRDefault="001B59F8" w:rsidP="00AF4AD6">
            <w:pPr>
              <w:spacing w:before="120" w:after="0"/>
              <w:rPr>
                <w:rFonts w:cs="Tahoma"/>
                <w:sz w:val="14"/>
                <w:szCs w:val="14"/>
              </w:rPr>
            </w:pPr>
            <w:r w:rsidRPr="0034321A">
              <w:rPr>
                <w:rFonts w:cs="Tahoma"/>
                <w:sz w:val="14"/>
                <w:szCs w:val="14"/>
              </w:rPr>
              <w:t>Italy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9D28B7F" w14:textId="77777777" w:rsidR="001B59F8" w:rsidRPr="0034321A" w:rsidRDefault="001B59F8" w:rsidP="00AF4AD6">
            <w:pPr>
              <w:spacing w:before="120" w:after="0"/>
              <w:rPr>
                <w:rFonts w:cs="Tahoma"/>
                <w:sz w:val="14"/>
                <w:szCs w:val="14"/>
              </w:rPr>
            </w:pPr>
            <w:r w:rsidRPr="0034321A">
              <w:rPr>
                <w:rFonts w:cs="Tahoma"/>
                <w:sz w:val="14"/>
                <w:szCs w:val="14"/>
              </w:rPr>
              <w:t>IT-NRS</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D3E39DC"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73EAC01"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A59583E"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09AE6A4"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18EEA2E"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2BAE74A"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747D009"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904AE0F"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13961F30" w14:textId="77777777" w:rsidR="001B59F8" w:rsidRPr="0034321A" w:rsidRDefault="001B59F8" w:rsidP="00AF4AD6">
            <w:pPr>
              <w:spacing w:before="120" w:after="0"/>
              <w:rPr>
                <w:rFonts w:cs="Tahoma"/>
                <w:sz w:val="14"/>
                <w:szCs w:val="14"/>
              </w:rPr>
            </w:pPr>
            <w:r w:rsidRPr="0034321A">
              <w:rPr>
                <w:rFonts w:cs="Tahoma"/>
                <w:sz w:val="14"/>
                <w:szCs w:val="14"/>
              </w:rPr>
              <w:t>Other</w:t>
            </w:r>
          </w:p>
        </w:tc>
      </w:tr>
      <w:tr w:rsidR="00034328" w14:paraId="5856C626"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3D02E22C" w14:textId="77777777" w:rsidR="001B59F8" w:rsidRPr="0034321A" w:rsidRDefault="001B59F8" w:rsidP="00AF4AD6">
            <w:pPr>
              <w:spacing w:before="120" w:after="0"/>
              <w:rPr>
                <w:rFonts w:cs="Tahoma"/>
                <w:sz w:val="14"/>
                <w:szCs w:val="14"/>
              </w:rPr>
            </w:pPr>
            <w:r w:rsidRPr="0034321A">
              <w:rPr>
                <w:rFonts w:cs="Tahoma"/>
                <w:sz w:val="14"/>
                <w:szCs w:val="14"/>
              </w:rPr>
              <w:t>Latvia</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2AB75DF" w14:textId="77777777" w:rsidR="001B59F8" w:rsidRPr="0034321A" w:rsidRDefault="001B59F8" w:rsidP="00AF4AD6">
            <w:pPr>
              <w:spacing w:before="120" w:after="0"/>
              <w:rPr>
                <w:rFonts w:cs="Tahoma"/>
                <w:sz w:val="14"/>
                <w:szCs w:val="14"/>
              </w:rPr>
            </w:pPr>
            <w:r w:rsidRPr="0034321A">
              <w:rPr>
                <w:rFonts w:cs="Tahoma"/>
                <w:sz w:val="14"/>
                <w:szCs w:val="14"/>
              </w:rPr>
              <w:t>LV-BSN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6D5C0AD"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14DB6CB"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D6A4CA9"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20BAABE"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4A1F49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431BBA2"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2F8056C"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FF4FCB1"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648EE0E6" w14:textId="6BB22275" w:rsidR="001B59F8" w:rsidRPr="0034321A" w:rsidRDefault="00705FAE" w:rsidP="00AF4AD6">
            <w:pPr>
              <w:spacing w:before="120" w:after="0"/>
              <w:rPr>
                <w:rFonts w:cs="Tahoma"/>
                <w:sz w:val="14"/>
                <w:szCs w:val="14"/>
              </w:rPr>
            </w:pPr>
            <w:r w:rsidRPr="0034321A">
              <w:rPr>
                <w:rFonts w:cs="Tahoma"/>
                <w:sz w:val="14"/>
                <w:szCs w:val="14"/>
              </w:rPr>
              <w:t>EU-2018</w:t>
            </w:r>
          </w:p>
        </w:tc>
      </w:tr>
      <w:tr w:rsidR="00034328" w14:paraId="0820DBB3"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13FC7D8B" w14:textId="77777777" w:rsidR="001B59F8" w:rsidRPr="0034321A" w:rsidRDefault="001B59F8" w:rsidP="00AF4AD6">
            <w:pPr>
              <w:spacing w:before="120" w:after="0"/>
              <w:rPr>
                <w:rFonts w:cs="Tahoma"/>
                <w:sz w:val="14"/>
                <w:szCs w:val="14"/>
              </w:rPr>
            </w:pPr>
            <w:r w:rsidRPr="0034321A">
              <w:rPr>
                <w:rFonts w:cs="Tahoma"/>
                <w:sz w:val="14"/>
                <w:szCs w:val="14"/>
              </w:rPr>
              <w:t>Liechtenstein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868F9E3" w14:textId="77777777" w:rsidR="001B59F8" w:rsidRPr="0034321A" w:rsidRDefault="001B59F8" w:rsidP="00AF4AD6">
            <w:pPr>
              <w:spacing w:before="120" w:after="0"/>
              <w:rPr>
                <w:rFonts w:cs="Tahoma"/>
                <w:sz w:val="14"/>
                <w:szCs w:val="14"/>
              </w:rPr>
            </w:pPr>
            <w:r w:rsidRPr="0034321A">
              <w:rPr>
                <w:rFonts w:cs="Tahoma"/>
                <w:sz w:val="14"/>
                <w:szCs w:val="14"/>
              </w:rPr>
              <w:t>LI-BOTU</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E4762BD"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3A3CE5E"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E30C097"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F5955E6"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1410163"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5DF32F1"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EB22AAE"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41C3AF6" w14:textId="77777777" w:rsidR="001B59F8" w:rsidRPr="0034321A" w:rsidRDefault="001B59F8" w:rsidP="00AF4AD6">
            <w:pPr>
              <w:spacing w:before="120" w:after="0"/>
              <w:rPr>
                <w:rFonts w:cs="Tahoma"/>
                <w:sz w:val="14"/>
                <w:szCs w:val="14"/>
              </w:rPr>
            </w:pPr>
            <w:r w:rsidRPr="0034321A">
              <w:rPr>
                <w:rFonts w:cs="Tahoma"/>
                <w:sz w:val="14"/>
                <w:szCs w:val="14"/>
              </w:rPr>
              <w:t>.</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5A0EE2D5" w14:textId="2BE0DCF0" w:rsidR="001B59F8" w:rsidRPr="0034321A" w:rsidRDefault="00705FAE" w:rsidP="00AF4AD6">
            <w:pPr>
              <w:spacing w:before="120" w:after="0"/>
              <w:rPr>
                <w:rFonts w:cs="Tahoma"/>
                <w:sz w:val="14"/>
                <w:szCs w:val="14"/>
              </w:rPr>
            </w:pPr>
            <w:r w:rsidRPr="0034321A">
              <w:rPr>
                <w:rFonts w:cs="Tahoma"/>
                <w:sz w:val="14"/>
                <w:szCs w:val="14"/>
              </w:rPr>
              <w:t>EU-2018</w:t>
            </w:r>
          </w:p>
        </w:tc>
      </w:tr>
      <w:tr w:rsidR="00034328" w14:paraId="3A7EAFFE"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6F991F17" w14:textId="77777777" w:rsidR="001B59F8" w:rsidRPr="0034321A" w:rsidRDefault="001B59F8" w:rsidP="00AF4AD6">
            <w:pPr>
              <w:spacing w:before="120" w:after="0"/>
              <w:rPr>
                <w:rFonts w:cs="Tahoma"/>
                <w:sz w:val="14"/>
                <w:szCs w:val="14"/>
              </w:rPr>
            </w:pPr>
            <w:r w:rsidRPr="0034321A">
              <w:rPr>
                <w:rFonts w:cs="Tahoma"/>
                <w:sz w:val="14"/>
                <w:szCs w:val="14"/>
              </w:rPr>
              <w:t>Lithuania</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04AB6FB" w14:textId="77777777" w:rsidR="001B59F8" w:rsidRPr="0034321A" w:rsidRDefault="001B59F8" w:rsidP="00AF4AD6">
            <w:pPr>
              <w:spacing w:before="120" w:after="0"/>
              <w:rPr>
                <w:rFonts w:cs="Tahoma"/>
                <w:sz w:val="14"/>
                <w:szCs w:val="14"/>
              </w:rPr>
            </w:pPr>
            <w:r w:rsidRPr="0034321A">
              <w:rPr>
                <w:rFonts w:cs="Tahoma"/>
                <w:sz w:val="14"/>
                <w:szCs w:val="14"/>
              </w:rPr>
              <w:t>LT-COMMUNICABLE_DISEASES</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D5A9E51"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87848D2"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98E4708"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247ADDD"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2E5B45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144BBF5"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4EB88FE"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AF31A5D"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3B47546D" w14:textId="77777777" w:rsidR="001B59F8" w:rsidRPr="0034321A" w:rsidRDefault="001B59F8" w:rsidP="00AF4AD6">
            <w:pPr>
              <w:spacing w:before="120" w:after="0"/>
              <w:rPr>
                <w:rFonts w:cs="Tahoma"/>
                <w:sz w:val="14"/>
                <w:szCs w:val="14"/>
              </w:rPr>
            </w:pPr>
            <w:r w:rsidRPr="0034321A">
              <w:rPr>
                <w:rFonts w:cs="Tahoma"/>
                <w:sz w:val="14"/>
                <w:szCs w:val="14"/>
              </w:rPr>
              <w:t>EU-2018</w:t>
            </w:r>
          </w:p>
        </w:tc>
      </w:tr>
      <w:tr w:rsidR="00034328" w14:paraId="568AF387"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2932674F" w14:textId="77777777" w:rsidR="001B59F8" w:rsidRPr="0034321A" w:rsidRDefault="001B59F8" w:rsidP="00AF4AD6">
            <w:pPr>
              <w:spacing w:before="120" w:after="0"/>
              <w:rPr>
                <w:rFonts w:cs="Tahoma"/>
                <w:sz w:val="14"/>
                <w:szCs w:val="14"/>
              </w:rPr>
            </w:pPr>
            <w:r w:rsidRPr="0034321A">
              <w:rPr>
                <w:rFonts w:cs="Tahoma"/>
                <w:sz w:val="14"/>
                <w:szCs w:val="14"/>
              </w:rPr>
              <w:t>Luxembourg</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DB218D8" w14:textId="77777777" w:rsidR="001B59F8" w:rsidRPr="0034321A" w:rsidRDefault="001B59F8" w:rsidP="00AF4AD6">
            <w:pPr>
              <w:spacing w:before="120" w:after="0"/>
              <w:rPr>
                <w:rFonts w:cs="Tahoma"/>
                <w:sz w:val="14"/>
                <w:szCs w:val="14"/>
              </w:rPr>
            </w:pPr>
            <w:r w:rsidRPr="0034321A">
              <w:rPr>
                <w:rFonts w:cs="Tahoma"/>
                <w:sz w:val="14"/>
                <w:szCs w:val="14"/>
              </w:rPr>
              <w:t>LU-SYSTEM1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46FD377"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1102A29"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42E4DFE"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F730714"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AE36334"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061B309"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F1E1E89"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1864570"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0722A119" w14:textId="404AC10B" w:rsidR="001B59F8" w:rsidRPr="0034321A" w:rsidRDefault="001B59F8" w:rsidP="00AF4AD6">
            <w:pPr>
              <w:spacing w:before="120" w:after="0"/>
              <w:rPr>
                <w:rFonts w:cs="Tahoma"/>
                <w:sz w:val="14"/>
                <w:szCs w:val="14"/>
              </w:rPr>
            </w:pPr>
            <w:r w:rsidRPr="0034321A">
              <w:rPr>
                <w:rFonts w:cs="Tahoma"/>
                <w:sz w:val="14"/>
                <w:szCs w:val="14"/>
              </w:rPr>
              <w:t>EU-20</w:t>
            </w:r>
            <w:r w:rsidR="00B1708B" w:rsidRPr="0034321A">
              <w:rPr>
                <w:rFonts w:cs="Tahoma"/>
                <w:sz w:val="14"/>
                <w:szCs w:val="14"/>
              </w:rPr>
              <w:t>18</w:t>
            </w:r>
          </w:p>
        </w:tc>
      </w:tr>
      <w:tr w:rsidR="00034328" w14:paraId="2E3D1847"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2BAD6BC5" w14:textId="77777777" w:rsidR="001B59F8" w:rsidRPr="0034321A" w:rsidRDefault="001B59F8" w:rsidP="00AF4AD6">
            <w:pPr>
              <w:spacing w:before="120" w:after="0"/>
              <w:rPr>
                <w:rFonts w:cs="Tahoma"/>
                <w:sz w:val="14"/>
                <w:szCs w:val="14"/>
              </w:rPr>
            </w:pPr>
            <w:r w:rsidRPr="0034321A">
              <w:rPr>
                <w:rFonts w:cs="Tahoma"/>
                <w:sz w:val="14"/>
                <w:szCs w:val="14"/>
              </w:rPr>
              <w:t>Malta</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70C235B" w14:textId="77777777" w:rsidR="001B59F8" w:rsidRPr="0034321A" w:rsidRDefault="001B59F8" w:rsidP="00AF4AD6">
            <w:pPr>
              <w:spacing w:before="120" w:after="0"/>
              <w:rPr>
                <w:rFonts w:cs="Tahoma"/>
                <w:sz w:val="14"/>
                <w:szCs w:val="14"/>
              </w:rPr>
            </w:pPr>
            <w:r w:rsidRPr="0034321A">
              <w:rPr>
                <w:rFonts w:cs="Tahoma"/>
                <w:sz w:val="14"/>
                <w:szCs w:val="14"/>
              </w:rPr>
              <w:t>MT-DISEASE_SURVEILLANCE</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7B53C23"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ED10201"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3469A6F"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69F6565"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C01C210"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A7EA8A5"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8188AB3"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08DB6D0"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67AB35D5" w14:textId="77777777" w:rsidR="001B59F8" w:rsidRPr="0034321A" w:rsidRDefault="001B59F8" w:rsidP="00AF4AD6">
            <w:pPr>
              <w:spacing w:before="120" w:after="0"/>
              <w:rPr>
                <w:rFonts w:cs="Tahoma"/>
                <w:sz w:val="14"/>
                <w:szCs w:val="14"/>
              </w:rPr>
            </w:pPr>
            <w:r w:rsidRPr="0034321A">
              <w:rPr>
                <w:rFonts w:cs="Tahoma"/>
                <w:sz w:val="14"/>
                <w:szCs w:val="14"/>
              </w:rPr>
              <w:t>EU-2018</w:t>
            </w:r>
          </w:p>
        </w:tc>
      </w:tr>
      <w:tr w:rsidR="00034328" w14:paraId="4D43558A"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78D924D8" w14:textId="77777777" w:rsidR="001B59F8" w:rsidRPr="0034321A" w:rsidRDefault="001B59F8" w:rsidP="00AF4AD6">
            <w:pPr>
              <w:spacing w:before="120" w:after="0"/>
              <w:rPr>
                <w:rFonts w:cs="Tahoma"/>
                <w:sz w:val="14"/>
                <w:szCs w:val="14"/>
              </w:rPr>
            </w:pPr>
            <w:r w:rsidRPr="0034321A">
              <w:rPr>
                <w:rFonts w:cs="Tahoma"/>
                <w:sz w:val="14"/>
                <w:szCs w:val="14"/>
              </w:rPr>
              <w:t>Netherlands</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D67767E" w14:textId="77777777" w:rsidR="001B59F8" w:rsidRPr="0034321A" w:rsidRDefault="001B59F8" w:rsidP="00AF4AD6">
            <w:pPr>
              <w:spacing w:before="120" w:after="0"/>
              <w:rPr>
                <w:rFonts w:cs="Tahoma"/>
                <w:sz w:val="14"/>
                <w:szCs w:val="14"/>
              </w:rPr>
            </w:pPr>
            <w:r w:rsidRPr="0034321A">
              <w:rPr>
                <w:rFonts w:cs="Tahoma"/>
                <w:sz w:val="14"/>
                <w:szCs w:val="14"/>
              </w:rPr>
              <w:t>NL-OSIRIS</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5399BB6"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E176A16"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34DA714"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50FA959"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4E07135"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163C8B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C189CE8"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7482434"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25A1DA60" w14:textId="1C1A844F" w:rsidR="001B59F8" w:rsidRPr="0034321A" w:rsidRDefault="001B59F8" w:rsidP="00AF4AD6">
            <w:pPr>
              <w:spacing w:before="120" w:after="0"/>
              <w:rPr>
                <w:rFonts w:cs="Tahoma"/>
                <w:sz w:val="14"/>
                <w:szCs w:val="14"/>
              </w:rPr>
            </w:pPr>
            <w:r w:rsidRPr="0034321A">
              <w:rPr>
                <w:rFonts w:cs="Tahoma"/>
                <w:sz w:val="14"/>
                <w:szCs w:val="14"/>
              </w:rPr>
              <w:t>EU-20</w:t>
            </w:r>
            <w:r w:rsidR="00936B31">
              <w:rPr>
                <w:rFonts w:cs="Tahoma"/>
                <w:sz w:val="14"/>
                <w:szCs w:val="14"/>
              </w:rPr>
              <w:t>1</w:t>
            </w:r>
            <w:r w:rsidRPr="0034321A">
              <w:rPr>
                <w:rFonts w:cs="Tahoma"/>
                <w:sz w:val="14"/>
                <w:szCs w:val="14"/>
              </w:rPr>
              <w:t>8</w:t>
            </w:r>
          </w:p>
        </w:tc>
      </w:tr>
      <w:tr w:rsidR="00034328" w14:paraId="2F8C55DD"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2B355F9B" w14:textId="77777777" w:rsidR="001B59F8" w:rsidRPr="0034321A" w:rsidRDefault="001B59F8" w:rsidP="00AF4AD6">
            <w:pPr>
              <w:spacing w:before="120" w:after="0"/>
              <w:rPr>
                <w:rFonts w:cs="Tahoma"/>
                <w:sz w:val="14"/>
                <w:szCs w:val="14"/>
              </w:rPr>
            </w:pPr>
            <w:r w:rsidRPr="0034321A">
              <w:rPr>
                <w:rFonts w:cs="Tahoma"/>
                <w:sz w:val="14"/>
                <w:szCs w:val="14"/>
              </w:rPr>
              <w:t>Norway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9A19A4C" w14:textId="77777777" w:rsidR="001B59F8" w:rsidRPr="0034321A" w:rsidRDefault="001B59F8" w:rsidP="00AF4AD6">
            <w:pPr>
              <w:spacing w:before="120" w:after="0"/>
              <w:rPr>
                <w:rFonts w:cs="Tahoma"/>
                <w:sz w:val="14"/>
                <w:szCs w:val="14"/>
              </w:rPr>
            </w:pPr>
            <w:r w:rsidRPr="0034321A">
              <w:rPr>
                <w:rFonts w:cs="Tahoma"/>
                <w:sz w:val="14"/>
                <w:szCs w:val="14"/>
              </w:rPr>
              <w:t>NO-MSIS_A</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7A9190C"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D32A71D"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B4207DC"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F34545E"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5958500"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41C0539"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2014CB2"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6E84592"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07C1C417" w14:textId="77777777" w:rsidR="001B59F8" w:rsidRPr="0034321A" w:rsidRDefault="001B59F8" w:rsidP="00AF4AD6">
            <w:pPr>
              <w:spacing w:before="120" w:after="0"/>
              <w:rPr>
                <w:rFonts w:cs="Tahoma"/>
                <w:sz w:val="14"/>
                <w:szCs w:val="14"/>
              </w:rPr>
            </w:pPr>
            <w:r w:rsidRPr="0034321A">
              <w:rPr>
                <w:rFonts w:cs="Tahoma"/>
                <w:sz w:val="14"/>
                <w:szCs w:val="14"/>
              </w:rPr>
              <w:t>EU-2018</w:t>
            </w:r>
          </w:p>
        </w:tc>
      </w:tr>
      <w:tr w:rsidR="00034328" w14:paraId="55D97E8D"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35C6B8E8" w14:textId="77777777" w:rsidR="001B59F8" w:rsidRPr="0034321A" w:rsidRDefault="001B59F8" w:rsidP="00AF4AD6">
            <w:pPr>
              <w:spacing w:before="120" w:after="0"/>
              <w:rPr>
                <w:rFonts w:cs="Tahoma"/>
                <w:sz w:val="14"/>
                <w:szCs w:val="14"/>
              </w:rPr>
            </w:pPr>
            <w:r w:rsidRPr="0034321A">
              <w:rPr>
                <w:rFonts w:cs="Tahoma"/>
                <w:sz w:val="14"/>
                <w:szCs w:val="14"/>
              </w:rPr>
              <w:t>Poland</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3B069E9" w14:textId="77777777" w:rsidR="001B59F8" w:rsidRPr="0034321A" w:rsidRDefault="001B59F8" w:rsidP="00AF4AD6">
            <w:pPr>
              <w:spacing w:before="120" w:after="0"/>
              <w:rPr>
                <w:rFonts w:cs="Tahoma"/>
                <w:sz w:val="14"/>
                <w:szCs w:val="14"/>
              </w:rPr>
            </w:pPr>
            <w:r w:rsidRPr="0034321A">
              <w:rPr>
                <w:rFonts w:cs="Tahoma"/>
                <w:sz w:val="14"/>
                <w:szCs w:val="14"/>
              </w:rPr>
              <w:t>PL-NATIONAL_SURVEILLANCE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1DBCA04"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7E1C20A"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ADDB128"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5E215DC"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D6D79F5"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BEC6819"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762547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24FE4E1"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1E0C3853" w14:textId="77777777" w:rsidR="001B59F8" w:rsidRPr="0034321A" w:rsidRDefault="001B59F8" w:rsidP="00AF4AD6">
            <w:pPr>
              <w:spacing w:before="120" w:after="0"/>
              <w:rPr>
                <w:rFonts w:cs="Tahoma"/>
                <w:sz w:val="14"/>
                <w:szCs w:val="14"/>
              </w:rPr>
            </w:pPr>
            <w:r w:rsidRPr="0034321A">
              <w:rPr>
                <w:rFonts w:cs="Tahoma"/>
                <w:sz w:val="14"/>
                <w:szCs w:val="14"/>
              </w:rPr>
              <w:t>Other</w:t>
            </w:r>
          </w:p>
        </w:tc>
      </w:tr>
      <w:tr w:rsidR="00034328" w14:paraId="7B7673CB"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13D8BC1F" w14:textId="77777777" w:rsidR="001B59F8" w:rsidRPr="0034321A" w:rsidRDefault="001B59F8" w:rsidP="00AF4AD6">
            <w:pPr>
              <w:spacing w:before="120" w:after="0"/>
              <w:rPr>
                <w:rFonts w:cs="Tahoma"/>
                <w:sz w:val="14"/>
                <w:szCs w:val="14"/>
              </w:rPr>
            </w:pPr>
            <w:r w:rsidRPr="0034321A">
              <w:rPr>
                <w:rFonts w:cs="Tahoma"/>
                <w:sz w:val="14"/>
                <w:szCs w:val="14"/>
              </w:rPr>
              <w:t>Portugal</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CB59D04" w14:textId="77777777" w:rsidR="001B59F8" w:rsidRPr="0034321A" w:rsidRDefault="001B59F8" w:rsidP="00AF4AD6">
            <w:pPr>
              <w:spacing w:before="120" w:after="0"/>
              <w:rPr>
                <w:rFonts w:cs="Tahoma"/>
                <w:sz w:val="14"/>
                <w:szCs w:val="14"/>
              </w:rPr>
            </w:pPr>
            <w:r w:rsidRPr="0034321A">
              <w:rPr>
                <w:rFonts w:cs="Tahoma"/>
                <w:sz w:val="14"/>
                <w:szCs w:val="14"/>
              </w:rPr>
              <w:t>PT-BOTULISM</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E55A5A7"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6C0D39C"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E82B646"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7979AE1"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E1DA8E5"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2E5161C"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98DFD7F"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742DC5B"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0B0C8C7E" w14:textId="649A692D" w:rsidR="001B59F8" w:rsidRPr="0034321A" w:rsidRDefault="001B59F8" w:rsidP="00AF4AD6">
            <w:pPr>
              <w:spacing w:before="120" w:after="0"/>
              <w:rPr>
                <w:rFonts w:cs="Tahoma"/>
                <w:sz w:val="14"/>
                <w:szCs w:val="14"/>
              </w:rPr>
            </w:pPr>
            <w:r w:rsidRPr="0034321A">
              <w:rPr>
                <w:rFonts w:cs="Tahoma"/>
                <w:sz w:val="14"/>
                <w:szCs w:val="14"/>
              </w:rPr>
              <w:t>EU-201</w:t>
            </w:r>
            <w:r w:rsidR="00E02C3B" w:rsidRPr="0034321A">
              <w:rPr>
                <w:rFonts w:cs="Tahoma"/>
                <w:sz w:val="14"/>
                <w:szCs w:val="14"/>
              </w:rPr>
              <w:t>8</w:t>
            </w:r>
          </w:p>
        </w:tc>
      </w:tr>
      <w:tr w:rsidR="00034328" w14:paraId="6DFE8359"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0A453187" w14:textId="77777777" w:rsidR="001B59F8" w:rsidRPr="0034321A" w:rsidRDefault="001B59F8" w:rsidP="00AF4AD6">
            <w:pPr>
              <w:spacing w:before="120" w:after="0"/>
              <w:rPr>
                <w:rFonts w:cs="Tahoma"/>
                <w:sz w:val="14"/>
                <w:szCs w:val="14"/>
              </w:rPr>
            </w:pPr>
            <w:r w:rsidRPr="0034321A">
              <w:rPr>
                <w:rFonts w:cs="Tahoma"/>
                <w:sz w:val="14"/>
                <w:szCs w:val="14"/>
              </w:rPr>
              <w:t>Romania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B89C869" w14:textId="77777777" w:rsidR="001B59F8" w:rsidRPr="0034321A" w:rsidRDefault="001B59F8" w:rsidP="00AF4AD6">
            <w:pPr>
              <w:spacing w:before="120" w:after="0"/>
              <w:rPr>
                <w:rFonts w:cs="Tahoma"/>
                <w:sz w:val="14"/>
                <w:szCs w:val="14"/>
              </w:rPr>
            </w:pPr>
            <w:r w:rsidRPr="0034321A">
              <w:rPr>
                <w:rFonts w:cs="Tahoma"/>
                <w:sz w:val="14"/>
                <w:szCs w:val="14"/>
              </w:rPr>
              <w:t>RO-</w:t>
            </w:r>
            <w:proofErr w:type="spellStart"/>
            <w:r w:rsidRPr="0034321A">
              <w:rPr>
                <w:rFonts w:cs="Tahoma"/>
                <w:sz w:val="14"/>
                <w:szCs w:val="14"/>
              </w:rPr>
              <w:t>RNSSy</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FDA18BF"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CF41E7F"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C42B012"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5699CC0"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FAF2F1D"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EAF62AB"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96932FC"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3D5A080"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557B15C1" w14:textId="77777777" w:rsidR="001B59F8" w:rsidRPr="0034321A" w:rsidRDefault="001B59F8" w:rsidP="00AF4AD6">
            <w:pPr>
              <w:spacing w:before="120" w:after="0"/>
              <w:rPr>
                <w:rFonts w:cs="Tahoma"/>
                <w:sz w:val="14"/>
                <w:szCs w:val="14"/>
              </w:rPr>
            </w:pPr>
            <w:r w:rsidRPr="0034321A">
              <w:rPr>
                <w:rFonts w:cs="Tahoma"/>
                <w:sz w:val="14"/>
                <w:szCs w:val="14"/>
              </w:rPr>
              <w:t>EU-2018</w:t>
            </w:r>
          </w:p>
        </w:tc>
      </w:tr>
      <w:tr w:rsidR="00034328" w14:paraId="378E41E1"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5801DF4C" w14:textId="77777777" w:rsidR="001B59F8" w:rsidRPr="0034321A" w:rsidRDefault="001B59F8" w:rsidP="00AF4AD6">
            <w:pPr>
              <w:spacing w:before="120" w:after="0"/>
              <w:rPr>
                <w:rFonts w:cs="Tahoma"/>
                <w:sz w:val="14"/>
                <w:szCs w:val="14"/>
              </w:rPr>
            </w:pPr>
            <w:r w:rsidRPr="0034321A">
              <w:rPr>
                <w:rFonts w:cs="Tahoma"/>
                <w:sz w:val="14"/>
                <w:szCs w:val="14"/>
              </w:rPr>
              <w:t>Slovakia</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AE04B16" w14:textId="77777777" w:rsidR="001B59F8" w:rsidRPr="0034321A" w:rsidRDefault="001B59F8" w:rsidP="00AF4AD6">
            <w:pPr>
              <w:spacing w:before="120" w:after="0"/>
              <w:rPr>
                <w:rFonts w:cs="Tahoma"/>
                <w:sz w:val="14"/>
                <w:szCs w:val="14"/>
              </w:rPr>
            </w:pPr>
            <w:r w:rsidRPr="0034321A">
              <w:rPr>
                <w:rFonts w:cs="Tahoma"/>
                <w:sz w:val="14"/>
                <w:szCs w:val="14"/>
              </w:rPr>
              <w:t>SK-EPIS</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9AD7B15"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3F57CAA4"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605D2A4" w14:textId="77777777" w:rsidR="001B59F8" w:rsidRPr="0034321A" w:rsidRDefault="001B59F8" w:rsidP="00AF4AD6">
            <w:pPr>
              <w:spacing w:before="120" w:after="0"/>
              <w:rPr>
                <w:rFonts w:cs="Tahoma"/>
                <w:sz w:val="14"/>
                <w:szCs w:val="14"/>
              </w:rPr>
            </w:pPr>
            <w:r w:rsidRPr="0034321A">
              <w:rPr>
                <w:rFonts w:cs="Tahoma"/>
                <w:sz w:val="14"/>
                <w:szCs w:val="14"/>
              </w:rPr>
              <w:t>A</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86EA7FB"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582F302F"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5585969"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96ADEE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23F6CC0B"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4DFE8056" w14:textId="4F104234" w:rsidR="001B59F8" w:rsidRPr="0034321A" w:rsidRDefault="001B59F8" w:rsidP="00AF4AD6">
            <w:pPr>
              <w:spacing w:before="120" w:after="0"/>
              <w:rPr>
                <w:rFonts w:cs="Tahoma"/>
                <w:sz w:val="14"/>
                <w:szCs w:val="14"/>
              </w:rPr>
            </w:pPr>
            <w:r w:rsidRPr="0034321A">
              <w:rPr>
                <w:rFonts w:cs="Tahoma"/>
                <w:sz w:val="14"/>
                <w:szCs w:val="14"/>
              </w:rPr>
              <w:t>EU-</w:t>
            </w:r>
            <w:r w:rsidR="00382FA7" w:rsidRPr="0034321A">
              <w:rPr>
                <w:rFonts w:cs="Tahoma"/>
                <w:sz w:val="14"/>
                <w:szCs w:val="14"/>
              </w:rPr>
              <w:t>2018</w:t>
            </w:r>
          </w:p>
        </w:tc>
      </w:tr>
      <w:tr w:rsidR="00034328" w14:paraId="2987BE73" w14:textId="77777777" w:rsidTr="00034328">
        <w:trPr>
          <w:trHeight w:val="234"/>
        </w:trPr>
        <w:tc>
          <w:tcPr>
            <w:tcW w:w="0" w:type="auto"/>
            <w:tcBorders>
              <w:top w:val="nil"/>
              <w:left w:val="single" w:sz="4" w:space="0" w:color="000000"/>
              <w:bottom w:val="nil"/>
              <w:right w:val="single" w:sz="4" w:space="0" w:color="auto"/>
            </w:tcBorders>
            <w:shd w:val="clear" w:color="auto" w:fill="auto"/>
            <w:noWrap/>
            <w:tcMar>
              <w:top w:w="15" w:type="dxa"/>
              <w:left w:w="15" w:type="dxa"/>
              <w:bottom w:w="0" w:type="dxa"/>
              <w:right w:w="15" w:type="dxa"/>
            </w:tcMar>
            <w:vAlign w:val="bottom"/>
            <w:hideMark/>
          </w:tcPr>
          <w:p w14:paraId="67821806" w14:textId="77777777" w:rsidR="001B59F8" w:rsidRPr="0034321A" w:rsidRDefault="001B59F8" w:rsidP="00AF4AD6">
            <w:pPr>
              <w:spacing w:before="120" w:after="0"/>
              <w:rPr>
                <w:rFonts w:cs="Tahoma"/>
                <w:sz w:val="14"/>
                <w:szCs w:val="14"/>
              </w:rPr>
            </w:pPr>
            <w:r w:rsidRPr="0034321A">
              <w:rPr>
                <w:rFonts w:cs="Tahoma"/>
                <w:sz w:val="14"/>
                <w:szCs w:val="14"/>
              </w:rPr>
              <w:t>Slovenia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4E07C5E" w14:textId="77777777" w:rsidR="001B59F8" w:rsidRPr="0034321A" w:rsidRDefault="001B59F8" w:rsidP="00AF4AD6">
            <w:pPr>
              <w:spacing w:before="120" w:after="0"/>
              <w:rPr>
                <w:rFonts w:cs="Tahoma"/>
                <w:sz w:val="14"/>
                <w:szCs w:val="14"/>
              </w:rPr>
            </w:pPr>
            <w:r w:rsidRPr="0034321A">
              <w:rPr>
                <w:rFonts w:cs="Tahoma"/>
                <w:sz w:val="14"/>
                <w:szCs w:val="14"/>
              </w:rPr>
              <w:t>SI-SURVIVAL</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30FE1FD"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35D7776"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3BCA776"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771192E"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8DFE634"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08F59B1"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670BE6E"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E4667B7"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14:paraId="2E05A495" w14:textId="77777777" w:rsidR="001B59F8" w:rsidRPr="0034321A" w:rsidRDefault="001B59F8" w:rsidP="00AF4AD6">
            <w:pPr>
              <w:spacing w:before="120" w:after="0"/>
              <w:rPr>
                <w:rFonts w:cs="Tahoma"/>
                <w:sz w:val="14"/>
                <w:szCs w:val="14"/>
              </w:rPr>
            </w:pPr>
            <w:r w:rsidRPr="0034321A">
              <w:rPr>
                <w:rFonts w:cs="Tahoma"/>
                <w:sz w:val="14"/>
                <w:szCs w:val="14"/>
              </w:rPr>
              <w:t>EU-2008</w:t>
            </w:r>
          </w:p>
        </w:tc>
      </w:tr>
      <w:tr w:rsidR="00034328" w14:paraId="041A974F" w14:textId="77777777" w:rsidTr="00034328">
        <w:trPr>
          <w:trHeight w:val="234"/>
        </w:trPr>
        <w:tc>
          <w:tcPr>
            <w:tcW w:w="0" w:type="auto"/>
            <w:tcBorders>
              <w:top w:val="nil"/>
              <w:left w:val="single" w:sz="4" w:space="0" w:color="000000"/>
              <w:bottom w:val="nil"/>
              <w:right w:val="single" w:sz="4" w:space="0" w:color="auto"/>
            </w:tcBorders>
            <w:shd w:val="clear" w:color="000000" w:fill="D9D9D9"/>
            <w:noWrap/>
            <w:tcMar>
              <w:top w:w="15" w:type="dxa"/>
              <w:left w:w="15" w:type="dxa"/>
              <w:bottom w:w="0" w:type="dxa"/>
              <w:right w:w="15" w:type="dxa"/>
            </w:tcMar>
            <w:vAlign w:val="bottom"/>
            <w:hideMark/>
          </w:tcPr>
          <w:p w14:paraId="57A1FED8" w14:textId="77777777" w:rsidR="001B59F8" w:rsidRPr="0034321A" w:rsidRDefault="001B59F8" w:rsidP="00AF4AD6">
            <w:pPr>
              <w:spacing w:before="120" w:after="0"/>
              <w:rPr>
                <w:rFonts w:cs="Tahoma"/>
                <w:sz w:val="14"/>
                <w:szCs w:val="14"/>
              </w:rPr>
            </w:pPr>
            <w:r w:rsidRPr="0034321A">
              <w:rPr>
                <w:rFonts w:cs="Tahoma"/>
                <w:sz w:val="14"/>
                <w:szCs w:val="14"/>
              </w:rPr>
              <w:t>Spain</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CBA7FBA" w14:textId="77777777" w:rsidR="001B59F8" w:rsidRPr="0034321A" w:rsidRDefault="001B59F8" w:rsidP="00AF4AD6">
            <w:pPr>
              <w:spacing w:before="120" w:after="0"/>
              <w:rPr>
                <w:rFonts w:cs="Tahoma"/>
                <w:sz w:val="14"/>
                <w:szCs w:val="14"/>
              </w:rPr>
            </w:pPr>
            <w:r w:rsidRPr="0034321A">
              <w:rPr>
                <w:rFonts w:cs="Tahoma"/>
                <w:sz w:val="14"/>
                <w:szCs w:val="14"/>
              </w:rPr>
              <w:t>ES-STATUTORY_DISEASES</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9C30BEB"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6AACE7E5"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06493EDF"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2FD9C18"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65A2F92"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1CDFA844"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4B470355"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nil"/>
              <w:right w:val="single" w:sz="4" w:space="0" w:color="auto"/>
            </w:tcBorders>
            <w:shd w:val="clear" w:color="000000" w:fill="D9D9D9"/>
            <w:noWrap/>
            <w:tcMar>
              <w:top w:w="15" w:type="dxa"/>
              <w:left w:w="15" w:type="dxa"/>
              <w:bottom w:w="0" w:type="dxa"/>
              <w:right w:w="15" w:type="dxa"/>
            </w:tcMar>
            <w:vAlign w:val="bottom"/>
            <w:hideMark/>
          </w:tcPr>
          <w:p w14:paraId="7E57AA6B"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nil"/>
              <w:right w:val="single" w:sz="4" w:space="0" w:color="000000"/>
            </w:tcBorders>
            <w:shd w:val="clear" w:color="000000" w:fill="D9D9D9"/>
            <w:noWrap/>
            <w:tcMar>
              <w:top w:w="15" w:type="dxa"/>
              <w:left w:w="15" w:type="dxa"/>
              <w:bottom w:w="0" w:type="dxa"/>
              <w:right w:w="15" w:type="dxa"/>
            </w:tcMar>
            <w:vAlign w:val="bottom"/>
            <w:hideMark/>
          </w:tcPr>
          <w:p w14:paraId="0431C336" w14:textId="77777777" w:rsidR="001B59F8" w:rsidRPr="0034321A" w:rsidRDefault="001B59F8" w:rsidP="00AF4AD6">
            <w:pPr>
              <w:spacing w:before="120" w:after="0"/>
              <w:rPr>
                <w:rFonts w:cs="Tahoma"/>
                <w:sz w:val="14"/>
                <w:szCs w:val="14"/>
              </w:rPr>
            </w:pPr>
            <w:r w:rsidRPr="0034321A">
              <w:rPr>
                <w:rFonts w:cs="Tahoma"/>
                <w:sz w:val="14"/>
                <w:szCs w:val="14"/>
              </w:rPr>
              <w:t>EU-2018</w:t>
            </w:r>
          </w:p>
        </w:tc>
      </w:tr>
      <w:tr w:rsidR="00034328" w14:paraId="56A5B0E4" w14:textId="77777777" w:rsidTr="00034328">
        <w:trPr>
          <w:trHeight w:val="234"/>
        </w:trPr>
        <w:tc>
          <w:tcPr>
            <w:tcW w:w="0" w:type="auto"/>
            <w:tcBorders>
              <w:top w:val="nil"/>
              <w:left w:val="single" w:sz="4" w:space="0" w:color="000000"/>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0B2B5704" w14:textId="77777777" w:rsidR="001B59F8" w:rsidRPr="0034321A" w:rsidRDefault="001B59F8" w:rsidP="00AF4AD6">
            <w:pPr>
              <w:spacing w:before="120" w:after="0"/>
              <w:rPr>
                <w:rFonts w:cs="Tahoma"/>
                <w:sz w:val="14"/>
                <w:szCs w:val="14"/>
              </w:rPr>
            </w:pPr>
            <w:r w:rsidRPr="0034321A">
              <w:rPr>
                <w:rFonts w:cs="Tahoma"/>
                <w:sz w:val="14"/>
                <w:szCs w:val="14"/>
              </w:rPr>
              <w:t>Sweden</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18B5F977" w14:textId="77777777" w:rsidR="001B59F8" w:rsidRPr="0034321A" w:rsidRDefault="001B59F8" w:rsidP="00AF4AD6">
            <w:pPr>
              <w:spacing w:before="120" w:after="0"/>
              <w:rPr>
                <w:rFonts w:cs="Tahoma"/>
                <w:sz w:val="14"/>
                <w:szCs w:val="14"/>
              </w:rPr>
            </w:pPr>
            <w:r w:rsidRPr="0034321A">
              <w:rPr>
                <w:rFonts w:cs="Tahoma"/>
                <w:sz w:val="14"/>
                <w:szCs w:val="14"/>
              </w:rPr>
              <w:t>SE-SMINET</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183008E0" w14:textId="77777777" w:rsidR="001B59F8" w:rsidRPr="0034321A" w:rsidRDefault="001B59F8" w:rsidP="00AF4AD6">
            <w:pPr>
              <w:spacing w:before="120" w:after="0"/>
              <w:rPr>
                <w:rFonts w:cs="Tahoma"/>
                <w:sz w:val="14"/>
                <w:szCs w:val="14"/>
              </w:rPr>
            </w:pPr>
            <w:r w:rsidRPr="0034321A">
              <w:rPr>
                <w:rFonts w:cs="Tahoma"/>
                <w:sz w:val="14"/>
                <w:szCs w:val="14"/>
              </w:rPr>
              <w:t>Cp</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05D12729" w14:textId="77777777" w:rsidR="001B59F8" w:rsidRPr="0034321A" w:rsidRDefault="001B59F8" w:rsidP="00AF4AD6">
            <w:pPr>
              <w:spacing w:before="120" w:after="0"/>
              <w:rPr>
                <w:rFonts w:cs="Tahoma"/>
                <w:sz w:val="14"/>
                <w:szCs w:val="14"/>
              </w:rPr>
            </w:pPr>
            <w:r w:rsidRPr="0034321A">
              <w:rPr>
                <w:rFonts w:cs="Tahoma"/>
                <w:sz w:val="14"/>
                <w:szCs w:val="14"/>
              </w:rPr>
              <w:t>Co</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43D802B2" w14:textId="77777777" w:rsidR="001B59F8" w:rsidRPr="0034321A" w:rsidRDefault="001B59F8" w:rsidP="00AF4AD6">
            <w:pPr>
              <w:spacing w:before="120" w:after="0"/>
              <w:rPr>
                <w:rFonts w:cs="Tahoma"/>
                <w:sz w:val="14"/>
                <w:szCs w:val="14"/>
              </w:rPr>
            </w:pPr>
            <w:r w:rsidRPr="0034321A">
              <w:rPr>
                <w:rFonts w:cs="Tahoma"/>
                <w:sz w:val="14"/>
                <w:szCs w:val="14"/>
              </w:rPr>
              <w:t>P</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50EC4659" w14:textId="77777777" w:rsidR="001B59F8" w:rsidRPr="0034321A" w:rsidRDefault="001B59F8" w:rsidP="00AF4AD6">
            <w:pPr>
              <w:spacing w:before="120" w:after="0"/>
              <w:rPr>
                <w:rFonts w:cs="Tahoma"/>
                <w:sz w:val="14"/>
                <w:szCs w:val="14"/>
              </w:rPr>
            </w:pPr>
            <w:r w:rsidRPr="0034321A">
              <w:rPr>
                <w:rFonts w:cs="Tahoma"/>
                <w:sz w:val="14"/>
                <w:szCs w:val="14"/>
              </w:rPr>
              <w:t>C</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13539C73"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09A5B2A2" w14:textId="77777777" w:rsidR="001B59F8" w:rsidRPr="0034321A" w:rsidRDefault="001B59F8" w:rsidP="00AF4AD6">
            <w:pPr>
              <w:spacing w:before="120" w:after="0"/>
              <w:rPr>
                <w:rFonts w:cs="Tahoma"/>
                <w:sz w:val="14"/>
                <w:szCs w:val="14"/>
              </w:rPr>
            </w:pPr>
            <w:r w:rsidRPr="0034321A">
              <w:rPr>
                <w:rFonts w:cs="Tahoma"/>
                <w:sz w:val="14"/>
                <w:szCs w:val="14"/>
              </w:rPr>
              <w:t>Y</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34C2B5F0"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2CCA7DCC" w14:textId="77777777" w:rsidR="001B59F8" w:rsidRPr="0034321A" w:rsidRDefault="001B59F8" w:rsidP="00AF4AD6">
            <w:pPr>
              <w:spacing w:before="120" w:after="0"/>
              <w:rPr>
                <w:rFonts w:cs="Tahoma"/>
                <w:sz w:val="14"/>
                <w:szCs w:val="14"/>
              </w:rPr>
            </w:pPr>
            <w:r w:rsidRPr="0034321A">
              <w:rPr>
                <w:rFonts w:cs="Tahoma"/>
                <w:sz w:val="14"/>
                <w:szCs w:val="14"/>
              </w:rPr>
              <w:t>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48CB21" w14:textId="77777777" w:rsidR="001B59F8" w:rsidRPr="0034321A" w:rsidRDefault="001B59F8" w:rsidP="00AF4AD6">
            <w:pPr>
              <w:spacing w:before="120" w:after="0"/>
              <w:rPr>
                <w:rFonts w:cs="Tahoma"/>
                <w:sz w:val="14"/>
                <w:szCs w:val="14"/>
              </w:rPr>
            </w:pPr>
            <w:r w:rsidRPr="0034321A">
              <w:rPr>
                <w:rFonts w:cs="Tahoma"/>
                <w:sz w:val="14"/>
                <w:szCs w:val="14"/>
              </w:rPr>
              <w:t>Other</w:t>
            </w:r>
          </w:p>
        </w:tc>
      </w:tr>
    </w:tbl>
    <w:p w14:paraId="7A42300E" w14:textId="2D7FF711" w:rsidR="00F239C1" w:rsidRDefault="001B59F8">
      <w:pPr>
        <w:spacing w:after="200" w:line="276" w:lineRule="auto"/>
        <w:rPr>
          <w:rFonts w:eastAsia="Arial Unicode MS"/>
          <w:kern w:val="22"/>
          <w:szCs w:val="18"/>
        </w:rPr>
      </w:pPr>
      <w:r>
        <w:t xml:space="preserve"> </w:t>
      </w:r>
      <w:r w:rsidR="00F239C1">
        <w:br w:type="page"/>
      </w:r>
    </w:p>
    <w:p w14:paraId="583A888A" w14:textId="77777777" w:rsidR="00F239C1" w:rsidRDefault="00F239C1" w:rsidP="009F5B73">
      <w:pPr>
        <w:pStyle w:val="EC-Title-5"/>
        <w:outlineLvl w:val="0"/>
        <w:rPr>
          <w:i/>
        </w:rPr>
      </w:pPr>
      <w:bookmarkStart w:id="10" w:name="_Toc437442006"/>
      <w:bookmarkStart w:id="11" w:name="_Toc127531817"/>
      <w:r>
        <w:lastRenderedPageBreak/>
        <w:t>Brucellosis</w:t>
      </w:r>
      <w:bookmarkEnd w:id="10"/>
      <w:bookmarkEnd w:id="11"/>
    </w:p>
    <w:p w14:paraId="5B31AA8D" w14:textId="75140A0F" w:rsidR="00EE1F3C" w:rsidRPr="00A32FE1" w:rsidRDefault="00CB3144" w:rsidP="00EE1F3C">
      <w:pPr>
        <w:pStyle w:val="EC-Para"/>
        <w:jc w:val="right"/>
        <w:rPr>
          <w:b/>
          <w:lang w:eastAsia="en-US"/>
        </w:rPr>
      </w:pPr>
      <w:r>
        <w:rPr>
          <w:b/>
          <w:lang w:eastAsia="en-US"/>
        </w:rPr>
        <w:t>Last updated: 13 August 2024</w:t>
      </w:r>
    </w:p>
    <w:p w14:paraId="1B68D005" w14:textId="7CF098F9"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5894EEEC" w14:textId="217AACFE" w:rsidR="00F239C1" w:rsidRDefault="00F239C1" w:rsidP="00F239C1">
      <w:pPr>
        <w:pStyle w:val="EC-Para"/>
        <w:jc w:val="right"/>
        <w:rPr>
          <w:b/>
          <w:lang w:eastAsia="en-US"/>
        </w:rPr>
      </w:pPr>
    </w:p>
    <w:p w14:paraId="649EB6F0" w14:textId="5F3310D8" w:rsidR="00F239C1" w:rsidRPr="00F44E9A" w:rsidRDefault="00F239C1" w:rsidP="00F239C1">
      <w:pPr>
        <w:autoSpaceDE w:val="0"/>
        <w:autoSpaceDN w:val="0"/>
        <w:adjustRightInd w:val="0"/>
        <w:spacing w:after="120"/>
        <w:jc w:val="both"/>
        <w:rPr>
          <w:rFonts w:cs="Tahoma"/>
          <w:szCs w:val="18"/>
        </w:rPr>
      </w:pPr>
      <w:r w:rsidRPr="00F151AB">
        <w:rPr>
          <w:rFonts w:cs="Tahoma"/>
          <w:szCs w:val="18"/>
        </w:rPr>
        <w:t>Brucellosis</w:t>
      </w:r>
      <w:r>
        <w:rPr>
          <w:rFonts w:cs="Tahoma"/>
          <w:szCs w:val="18"/>
          <w:lang w:val="en-US"/>
        </w:rPr>
        <w:t xml:space="preserve"> is a systemic</w:t>
      </w:r>
      <w:r w:rsidRPr="00F151AB">
        <w:rPr>
          <w:rFonts w:cs="Tahoma"/>
          <w:szCs w:val="18"/>
          <w:lang w:val="en-US"/>
        </w:rPr>
        <w:t xml:space="preserve"> infection caused by</w:t>
      </w:r>
      <w:r>
        <w:rPr>
          <w:rFonts w:cs="Tahoma"/>
          <w:szCs w:val="18"/>
          <w:lang w:val="en-US"/>
        </w:rPr>
        <w:t xml:space="preserve"> bacteria of the genus </w:t>
      </w:r>
      <w:r w:rsidRPr="00F151AB">
        <w:rPr>
          <w:rFonts w:cs="Tahoma"/>
          <w:i/>
          <w:szCs w:val="18"/>
          <w:lang w:val="en-US"/>
        </w:rPr>
        <w:t>Brucella</w:t>
      </w:r>
      <w:r w:rsidRPr="00F151AB">
        <w:rPr>
          <w:rFonts w:cs="Tahoma"/>
          <w:szCs w:val="18"/>
          <w:lang w:val="en-US"/>
        </w:rPr>
        <w:t>.</w:t>
      </w:r>
      <w:r w:rsidRPr="00F151AB">
        <w:rPr>
          <w:rFonts w:cs="Tahoma"/>
          <w:szCs w:val="18"/>
        </w:rPr>
        <w:t xml:space="preserve"> </w:t>
      </w:r>
      <w:r w:rsidRPr="00F151AB">
        <w:rPr>
          <w:rFonts w:eastAsiaTheme="minorHAnsi" w:cs="Tahoma"/>
          <w:szCs w:val="18"/>
        </w:rPr>
        <w:t xml:space="preserve">For </w:t>
      </w:r>
      <w:r w:rsidRPr="00F44E9A">
        <w:rPr>
          <w:rFonts w:eastAsiaTheme="minorHAnsi" w:cs="Tahoma"/>
          <w:szCs w:val="18"/>
        </w:rPr>
        <w:t>a more detailed description of the disease and its epidemiology</w:t>
      </w:r>
      <w:r>
        <w:rPr>
          <w:rFonts w:eastAsiaTheme="minorHAnsi" w:cs="Tahoma"/>
          <w:szCs w:val="18"/>
        </w:rPr>
        <w:t>,</w:t>
      </w:r>
      <w:r w:rsidRPr="00F44E9A">
        <w:rPr>
          <w:rFonts w:eastAsiaTheme="minorHAnsi" w:cs="Tahoma"/>
          <w:szCs w:val="18"/>
        </w:rPr>
        <w:t xml:space="preserve"> </w:t>
      </w:r>
      <w:r w:rsidRPr="00D1043F">
        <w:rPr>
          <w:rFonts w:eastAsiaTheme="minorHAnsi" w:cs="Tahoma"/>
          <w:szCs w:val="18"/>
        </w:rPr>
        <w:t>please click</w:t>
      </w:r>
      <w:r w:rsidRPr="00D1043F">
        <w:rPr>
          <w:rFonts w:cs="Tahoma"/>
          <w:szCs w:val="18"/>
        </w:rPr>
        <w:t xml:space="preserve"> </w:t>
      </w:r>
      <w:hyperlink r:id="rId19" w:history="1">
        <w:r w:rsidRPr="00D1043F">
          <w:rPr>
            <w:rStyle w:val="Hyperlink"/>
            <w:i/>
            <w:sz w:val="18"/>
            <w:szCs w:val="18"/>
          </w:rPr>
          <w:t>here</w:t>
        </w:r>
      </w:hyperlink>
      <w:r w:rsidRPr="00D1043F">
        <w:rPr>
          <w:rStyle w:val="Hyperlink"/>
          <w:i/>
          <w:sz w:val="18"/>
          <w:szCs w:val="18"/>
        </w:rPr>
        <w:t>.</w:t>
      </w:r>
      <w:r w:rsidRPr="00F44E9A">
        <w:rPr>
          <w:rStyle w:val="Hyperlink"/>
          <w:i/>
        </w:rPr>
        <w:t xml:space="preserve">  </w:t>
      </w:r>
    </w:p>
    <w:p w14:paraId="37DD01E9" w14:textId="77777777" w:rsidR="00F239C1" w:rsidRDefault="00F239C1" w:rsidP="009F5B73">
      <w:pPr>
        <w:pStyle w:val="EC-Title-6"/>
        <w:outlineLvl w:val="1"/>
        <w:rPr>
          <w:rFonts w:cs="Tahoma"/>
        </w:rPr>
      </w:pPr>
      <w:r>
        <w:rPr>
          <w:rFonts w:cs="Tahoma"/>
        </w:rPr>
        <w:t>Data</w:t>
      </w:r>
    </w:p>
    <w:p w14:paraId="349F10A0" w14:textId="6FD17CF9" w:rsidR="00F239C1" w:rsidRPr="0072746F" w:rsidRDefault="00F239C1" w:rsidP="00F239C1">
      <w:pPr>
        <w:pStyle w:val="EC-Para"/>
        <w:jc w:val="both"/>
        <w:rPr>
          <w:rFonts w:cs="Tahoma"/>
        </w:rPr>
      </w:pPr>
      <w:r>
        <w:rPr>
          <w:rFonts w:cs="Tahoma"/>
        </w:rPr>
        <w:t xml:space="preserve">The Surveillance Atlas of Infectious Diseases displays data on brucellosis reported by the </w:t>
      </w:r>
      <w:r w:rsidR="00E75405">
        <w:rPr>
          <w:rFonts w:cs="Tahoma"/>
        </w:rPr>
        <w:t>EU/EEA countries</w:t>
      </w:r>
      <w:r>
        <w:rPr>
          <w:rFonts w:cs="Tahoma"/>
        </w:rPr>
        <w:t>. C</w:t>
      </w:r>
      <w:r w:rsidRPr="007B34B1">
        <w:rPr>
          <w:rFonts w:cs="Tahoma"/>
        </w:rPr>
        <w:t xml:space="preserve">ases </w:t>
      </w:r>
      <w:r>
        <w:rPr>
          <w:rFonts w:cs="Tahoma"/>
        </w:rPr>
        <w:t>are to</w:t>
      </w:r>
      <w:r w:rsidRPr="007B34B1">
        <w:rPr>
          <w:rFonts w:cs="Tahoma"/>
        </w:rPr>
        <w:t xml:space="preserve"> be reported according to the 201</w:t>
      </w:r>
      <w:r w:rsidR="008E5E48">
        <w:rPr>
          <w:rFonts w:cs="Tahoma"/>
        </w:rPr>
        <w:t>8</w:t>
      </w:r>
      <w:r w:rsidRPr="007B34B1">
        <w:rPr>
          <w:rFonts w:cs="Tahoma"/>
        </w:rPr>
        <w:t xml:space="preserve"> EU case definition for </w:t>
      </w:r>
      <w:r>
        <w:rPr>
          <w:rFonts w:cs="Tahoma"/>
        </w:rPr>
        <w:t>brucellosis</w:t>
      </w:r>
      <w:r>
        <w:rPr>
          <w:rStyle w:val="FootnoteReference"/>
          <w:rFonts w:cs="Tahoma"/>
        </w:rPr>
        <w:footnoteReference w:id="5"/>
      </w:r>
      <w:r>
        <w:rPr>
          <w:rFonts w:cs="Tahoma"/>
        </w:rPr>
        <w:t>:</w:t>
      </w:r>
    </w:p>
    <w:p w14:paraId="554DA0D1" w14:textId="77777777" w:rsidR="00F239C1" w:rsidRDefault="00F239C1" w:rsidP="00F239C1">
      <w:pPr>
        <w:autoSpaceDE w:val="0"/>
        <w:autoSpaceDN w:val="0"/>
        <w:adjustRightInd w:val="0"/>
        <w:spacing w:before="60" w:after="60"/>
        <w:rPr>
          <w:rFonts w:eastAsiaTheme="minorHAnsi" w:cs="Tahoma"/>
          <w:color w:val="000000"/>
          <w:szCs w:val="18"/>
        </w:rPr>
      </w:pPr>
      <w:r>
        <w:rPr>
          <w:rFonts w:eastAsiaTheme="minorHAnsi" w:cs="Tahoma"/>
          <w:b/>
          <w:bCs/>
          <w:color w:val="000000"/>
          <w:szCs w:val="18"/>
        </w:rPr>
        <w:t xml:space="preserve">Clinical criteria </w:t>
      </w:r>
    </w:p>
    <w:p w14:paraId="1E1F51D6" w14:textId="77777777" w:rsidR="00F239C1" w:rsidRPr="00404B23" w:rsidRDefault="00F239C1" w:rsidP="00F239C1">
      <w:pPr>
        <w:autoSpaceDE w:val="0"/>
        <w:autoSpaceDN w:val="0"/>
        <w:adjustRightInd w:val="0"/>
        <w:spacing w:before="60" w:after="60"/>
        <w:rPr>
          <w:rFonts w:eastAsiaTheme="minorHAnsi" w:cs="Tahoma"/>
          <w:color w:val="000000"/>
          <w:szCs w:val="18"/>
        </w:rPr>
      </w:pPr>
      <w:r>
        <w:rPr>
          <w:rFonts w:eastAsiaTheme="minorHAnsi" w:cs="Tahoma"/>
          <w:color w:val="000000"/>
          <w:szCs w:val="18"/>
        </w:rPr>
        <w:t>Any person with f</w:t>
      </w:r>
      <w:r w:rsidRPr="00404B23">
        <w:rPr>
          <w:rFonts w:eastAsiaTheme="minorHAnsi" w:cs="Tahoma"/>
          <w:color w:val="000000"/>
          <w:szCs w:val="18"/>
        </w:rPr>
        <w:t xml:space="preserve">ever </w:t>
      </w:r>
    </w:p>
    <w:p w14:paraId="32934567" w14:textId="77777777" w:rsidR="00F239C1" w:rsidRPr="00404B23" w:rsidRDefault="00F239C1" w:rsidP="00F239C1">
      <w:pPr>
        <w:autoSpaceDE w:val="0"/>
        <w:autoSpaceDN w:val="0"/>
        <w:adjustRightInd w:val="0"/>
        <w:spacing w:before="60" w:after="60"/>
        <w:rPr>
          <w:rFonts w:eastAsiaTheme="minorHAnsi" w:cs="Tahoma"/>
          <w:color w:val="000000"/>
          <w:szCs w:val="18"/>
        </w:rPr>
      </w:pPr>
      <w:r w:rsidRPr="00404B23">
        <w:rPr>
          <w:rFonts w:eastAsiaTheme="minorHAnsi" w:cs="Tahoma"/>
          <w:color w:val="000000"/>
          <w:szCs w:val="18"/>
        </w:rPr>
        <w:t xml:space="preserve">And at least one of following seven: </w:t>
      </w:r>
    </w:p>
    <w:p w14:paraId="56DA3EE8" w14:textId="77777777" w:rsidR="00F239C1" w:rsidRPr="00404B23" w:rsidRDefault="00F239C1" w:rsidP="00F239C1">
      <w:pPr>
        <w:autoSpaceDE w:val="0"/>
        <w:autoSpaceDN w:val="0"/>
        <w:adjustRightInd w:val="0"/>
        <w:spacing w:before="60" w:after="60"/>
        <w:rPr>
          <w:rFonts w:eastAsiaTheme="minorHAnsi" w:cs="Tahoma"/>
          <w:color w:val="000000"/>
          <w:szCs w:val="18"/>
        </w:rPr>
      </w:pPr>
      <w:r w:rsidRPr="00404B23">
        <w:rPr>
          <w:rFonts w:eastAsiaTheme="minorHAnsi" w:cs="Tahoma"/>
          <w:color w:val="000000"/>
          <w:szCs w:val="18"/>
        </w:rPr>
        <w:t xml:space="preserve">— Sweating (profuse, malodorous, </w:t>
      </w:r>
      <w:proofErr w:type="gramStart"/>
      <w:r w:rsidRPr="00404B23">
        <w:rPr>
          <w:rFonts w:eastAsiaTheme="minorHAnsi" w:cs="Tahoma"/>
          <w:color w:val="000000"/>
          <w:szCs w:val="18"/>
        </w:rPr>
        <w:t>specially</w:t>
      </w:r>
      <w:proofErr w:type="gramEnd"/>
      <w:r w:rsidRPr="00404B23">
        <w:rPr>
          <w:rFonts w:eastAsiaTheme="minorHAnsi" w:cs="Tahoma"/>
          <w:color w:val="000000"/>
          <w:szCs w:val="18"/>
        </w:rPr>
        <w:t xml:space="preserve"> nocturnal)</w:t>
      </w:r>
      <w:r>
        <w:rPr>
          <w:rFonts w:eastAsiaTheme="minorHAnsi" w:cs="Tahoma"/>
          <w:color w:val="000000"/>
          <w:szCs w:val="18"/>
        </w:rPr>
        <w:t>;</w:t>
      </w:r>
    </w:p>
    <w:p w14:paraId="0DAC36DB" w14:textId="77777777" w:rsidR="00F239C1" w:rsidRPr="00404B23" w:rsidRDefault="00F239C1" w:rsidP="00F239C1">
      <w:pPr>
        <w:autoSpaceDE w:val="0"/>
        <w:autoSpaceDN w:val="0"/>
        <w:adjustRightInd w:val="0"/>
        <w:spacing w:before="60" w:after="60"/>
        <w:rPr>
          <w:rFonts w:eastAsiaTheme="minorHAnsi" w:cs="Tahoma"/>
          <w:color w:val="000000"/>
          <w:szCs w:val="18"/>
        </w:rPr>
      </w:pPr>
      <w:r w:rsidRPr="00404B23">
        <w:rPr>
          <w:rFonts w:eastAsiaTheme="minorHAnsi" w:cs="Tahoma"/>
          <w:color w:val="000000"/>
          <w:szCs w:val="18"/>
        </w:rPr>
        <w:t xml:space="preserve">— </w:t>
      </w:r>
      <w:proofErr w:type="gramStart"/>
      <w:r w:rsidRPr="00404B23">
        <w:rPr>
          <w:rFonts w:eastAsiaTheme="minorHAnsi" w:cs="Tahoma"/>
          <w:color w:val="000000"/>
          <w:szCs w:val="18"/>
        </w:rPr>
        <w:t>Chills</w:t>
      </w:r>
      <w:r>
        <w:rPr>
          <w:rFonts w:eastAsiaTheme="minorHAnsi" w:cs="Tahoma"/>
          <w:color w:val="000000"/>
          <w:szCs w:val="18"/>
        </w:rPr>
        <w:t>;</w:t>
      </w:r>
      <w:proofErr w:type="gramEnd"/>
      <w:r w:rsidRPr="00404B23">
        <w:rPr>
          <w:rFonts w:eastAsiaTheme="minorHAnsi" w:cs="Tahoma"/>
          <w:color w:val="000000"/>
          <w:szCs w:val="18"/>
        </w:rPr>
        <w:t xml:space="preserve"> </w:t>
      </w:r>
    </w:p>
    <w:p w14:paraId="22C12A9B" w14:textId="77777777" w:rsidR="00F239C1" w:rsidRPr="00404B23" w:rsidRDefault="00F239C1" w:rsidP="00F239C1">
      <w:pPr>
        <w:autoSpaceDE w:val="0"/>
        <w:autoSpaceDN w:val="0"/>
        <w:adjustRightInd w:val="0"/>
        <w:spacing w:before="60" w:after="60"/>
        <w:rPr>
          <w:rFonts w:eastAsiaTheme="minorHAnsi" w:cs="Tahoma"/>
          <w:color w:val="000000"/>
          <w:szCs w:val="18"/>
        </w:rPr>
      </w:pPr>
      <w:r w:rsidRPr="00404B23">
        <w:rPr>
          <w:rFonts w:eastAsiaTheme="minorHAnsi" w:cs="Tahoma"/>
          <w:color w:val="000000"/>
          <w:szCs w:val="18"/>
        </w:rPr>
        <w:t xml:space="preserve">— </w:t>
      </w:r>
      <w:proofErr w:type="gramStart"/>
      <w:r w:rsidRPr="00404B23">
        <w:rPr>
          <w:rFonts w:eastAsiaTheme="minorHAnsi" w:cs="Tahoma"/>
          <w:color w:val="000000"/>
          <w:szCs w:val="18"/>
        </w:rPr>
        <w:t>Arthralgia</w:t>
      </w:r>
      <w:r>
        <w:rPr>
          <w:rFonts w:eastAsiaTheme="minorHAnsi" w:cs="Tahoma"/>
          <w:color w:val="000000"/>
          <w:szCs w:val="18"/>
        </w:rPr>
        <w:t>;</w:t>
      </w:r>
      <w:proofErr w:type="gramEnd"/>
      <w:r w:rsidRPr="00404B23">
        <w:rPr>
          <w:rFonts w:eastAsiaTheme="minorHAnsi" w:cs="Tahoma"/>
          <w:color w:val="000000"/>
          <w:szCs w:val="18"/>
        </w:rPr>
        <w:t xml:space="preserve"> </w:t>
      </w:r>
    </w:p>
    <w:p w14:paraId="678C34E1" w14:textId="77777777" w:rsidR="00F239C1" w:rsidRPr="00404B23" w:rsidRDefault="00F239C1" w:rsidP="00F239C1">
      <w:pPr>
        <w:autoSpaceDE w:val="0"/>
        <w:autoSpaceDN w:val="0"/>
        <w:adjustRightInd w:val="0"/>
        <w:spacing w:before="60" w:after="60"/>
        <w:rPr>
          <w:rFonts w:eastAsiaTheme="minorHAnsi" w:cs="Tahoma"/>
          <w:color w:val="000000"/>
          <w:szCs w:val="18"/>
        </w:rPr>
      </w:pPr>
      <w:r w:rsidRPr="00404B23">
        <w:rPr>
          <w:rFonts w:eastAsiaTheme="minorHAnsi" w:cs="Tahoma"/>
          <w:color w:val="000000"/>
          <w:szCs w:val="18"/>
        </w:rPr>
        <w:t xml:space="preserve">— </w:t>
      </w:r>
      <w:proofErr w:type="gramStart"/>
      <w:r w:rsidRPr="00404B23">
        <w:rPr>
          <w:rFonts w:eastAsiaTheme="minorHAnsi" w:cs="Tahoma"/>
          <w:color w:val="000000"/>
          <w:szCs w:val="18"/>
        </w:rPr>
        <w:t>Weakness</w:t>
      </w:r>
      <w:r>
        <w:rPr>
          <w:rFonts w:eastAsiaTheme="minorHAnsi" w:cs="Tahoma"/>
          <w:color w:val="000000"/>
          <w:szCs w:val="18"/>
        </w:rPr>
        <w:t>;</w:t>
      </w:r>
      <w:proofErr w:type="gramEnd"/>
      <w:r w:rsidRPr="00404B23">
        <w:rPr>
          <w:rFonts w:eastAsiaTheme="minorHAnsi" w:cs="Tahoma"/>
          <w:color w:val="000000"/>
          <w:szCs w:val="18"/>
        </w:rPr>
        <w:t xml:space="preserve"> </w:t>
      </w:r>
    </w:p>
    <w:p w14:paraId="08D57AE7" w14:textId="77777777" w:rsidR="00F239C1" w:rsidRPr="00404B23" w:rsidRDefault="00F239C1" w:rsidP="00F239C1">
      <w:pPr>
        <w:autoSpaceDE w:val="0"/>
        <w:autoSpaceDN w:val="0"/>
        <w:adjustRightInd w:val="0"/>
        <w:spacing w:before="60" w:after="60"/>
        <w:rPr>
          <w:rFonts w:eastAsiaTheme="minorHAnsi" w:cs="Tahoma"/>
          <w:color w:val="000000"/>
          <w:szCs w:val="18"/>
        </w:rPr>
      </w:pPr>
      <w:r w:rsidRPr="00404B23">
        <w:rPr>
          <w:rFonts w:eastAsiaTheme="minorHAnsi" w:cs="Tahoma"/>
          <w:color w:val="000000"/>
          <w:szCs w:val="18"/>
        </w:rPr>
        <w:t xml:space="preserve">— </w:t>
      </w:r>
      <w:proofErr w:type="gramStart"/>
      <w:r w:rsidRPr="00404B23">
        <w:rPr>
          <w:rFonts w:eastAsiaTheme="minorHAnsi" w:cs="Tahoma"/>
          <w:color w:val="000000"/>
          <w:szCs w:val="18"/>
        </w:rPr>
        <w:t>Depression</w:t>
      </w:r>
      <w:r>
        <w:rPr>
          <w:rFonts w:eastAsiaTheme="minorHAnsi" w:cs="Tahoma"/>
          <w:color w:val="000000"/>
          <w:szCs w:val="18"/>
        </w:rPr>
        <w:t>;</w:t>
      </w:r>
      <w:proofErr w:type="gramEnd"/>
      <w:r w:rsidRPr="00404B23">
        <w:rPr>
          <w:rFonts w:eastAsiaTheme="minorHAnsi" w:cs="Tahoma"/>
          <w:color w:val="000000"/>
          <w:szCs w:val="18"/>
        </w:rPr>
        <w:t xml:space="preserve"> </w:t>
      </w:r>
    </w:p>
    <w:p w14:paraId="00D89742" w14:textId="77777777" w:rsidR="00F239C1" w:rsidRPr="00404B23" w:rsidRDefault="00F239C1" w:rsidP="00F239C1">
      <w:pPr>
        <w:autoSpaceDE w:val="0"/>
        <w:autoSpaceDN w:val="0"/>
        <w:adjustRightInd w:val="0"/>
        <w:spacing w:before="60" w:after="60"/>
        <w:rPr>
          <w:rFonts w:eastAsiaTheme="minorHAnsi" w:cs="Tahoma"/>
          <w:color w:val="000000"/>
          <w:szCs w:val="18"/>
        </w:rPr>
      </w:pPr>
      <w:r w:rsidRPr="00404B23">
        <w:rPr>
          <w:rFonts w:eastAsiaTheme="minorHAnsi" w:cs="Tahoma"/>
          <w:color w:val="000000"/>
          <w:szCs w:val="18"/>
        </w:rPr>
        <w:t xml:space="preserve">— </w:t>
      </w:r>
      <w:proofErr w:type="gramStart"/>
      <w:r w:rsidRPr="00404B23">
        <w:rPr>
          <w:rFonts w:eastAsiaTheme="minorHAnsi" w:cs="Tahoma"/>
          <w:color w:val="000000"/>
          <w:szCs w:val="18"/>
        </w:rPr>
        <w:t>Headache</w:t>
      </w:r>
      <w:r>
        <w:rPr>
          <w:rFonts w:eastAsiaTheme="minorHAnsi" w:cs="Tahoma"/>
          <w:color w:val="000000"/>
          <w:szCs w:val="18"/>
        </w:rPr>
        <w:t>;</w:t>
      </w:r>
      <w:proofErr w:type="gramEnd"/>
      <w:r w:rsidRPr="00404B23">
        <w:rPr>
          <w:rFonts w:eastAsiaTheme="minorHAnsi" w:cs="Tahoma"/>
          <w:color w:val="000000"/>
          <w:szCs w:val="18"/>
        </w:rPr>
        <w:t xml:space="preserve"> </w:t>
      </w:r>
    </w:p>
    <w:p w14:paraId="102F8051" w14:textId="77777777" w:rsidR="00F239C1" w:rsidRPr="00404B23" w:rsidRDefault="00F239C1" w:rsidP="00F239C1">
      <w:pPr>
        <w:autoSpaceDE w:val="0"/>
        <w:autoSpaceDN w:val="0"/>
        <w:adjustRightInd w:val="0"/>
        <w:spacing w:before="60" w:after="60"/>
        <w:rPr>
          <w:rFonts w:eastAsiaTheme="minorHAnsi" w:cs="Tahoma"/>
          <w:color w:val="000000"/>
          <w:szCs w:val="18"/>
        </w:rPr>
      </w:pPr>
      <w:r w:rsidRPr="00404B23">
        <w:rPr>
          <w:rFonts w:eastAsiaTheme="minorHAnsi" w:cs="Tahoma"/>
          <w:color w:val="000000"/>
          <w:szCs w:val="18"/>
        </w:rPr>
        <w:t>— Anorexia</w:t>
      </w:r>
      <w:r>
        <w:rPr>
          <w:rFonts w:eastAsiaTheme="minorHAnsi" w:cs="Tahoma"/>
          <w:color w:val="000000"/>
          <w:szCs w:val="18"/>
        </w:rPr>
        <w:t>.</w:t>
      </w:r>
    </w:p>
    <w:p w14:paraId="095A65E4" w14:textId="77777777" w:rsidR="00F239C1" w:rsidRPr="00404B23" w:rsidRDefault="00F239C1" w:rsidP="00F239C1">
      <w:pPr>
        <w:autoSpaceDE w:val="0"/>
        <w:autoSpaceDN w:val="0"/>
        <w:adjustRightInd w:val="0"/>
        <w:spacing w:before="60" w:after="60"/>
        <w:rPr>
          <w:rFonts w:eastAsiaTheme="minorHAnsi" w:cs="Tahoma"/>
          <w:color w:val="000000"/>
          <w:szCs w:val="18"/>
        </w:rPr>
      </w:pPr>
      <w:r w:rsidRPr="00404B23">
        <w:rPr>
          <w:rFonts w:eastAsiaTheme="minorHAnsi" w:cs="Tahoma"/>
          <w:b/>
          <w:bCs/>
          <w:color w:val="000000"/>
          <w:szCs w:val="18"/>
        </w:rPr>
        <w:t xml:space="preserve">Laboratory </w:t>
      </w:r>
      <w:r>
        <w:rPr>
          <w:rFonts w:eastAsiaTheme="minorHAnsi" w:cs="Tahoma"/>
          <w:b/>
          <w:bCs/>
          <w:color w:val="000000"/>
          <w:szCs w:val="18"/>
        </w:rPr>
        <w:t>c</w:t>
      </w:r>
      <w:r w:rsidRPr="00404B23">
        <w:rPr>
          <w:rFonts w:eastAsiaTheme="minorHAnsi" w:cs="Tahoma"/>
          <w:b/>
          <w:bCs/>
          <w:color w:val="000000"/>
          <w:szCs w:val="18"/>
        </w:rPr>
        <w:t xml:space="preserve">riteria </w:t>
      </w:r>
    </w:p>
    <w:p w14:paraId="71426934" w14:textId="77777777" w:rsidR="005637C2" w:rsidRPr="009D3F1F" w:rsidRDefault="005637C2" w:rsidP="00F239C1">
      <w:pPr>
        <w:autoSpaceDE w:val="0"/>
        <w:autoSpaceDN w:val="0"/>
        <w:adjustRightInd w:val="0"/>
        <w:spacing w:before="60" w:after="60"/>
        <w:rPr>
          <w:szCs w:val="18"/>
        </w:rPr>
      </w:pPr>
      <w:r w:rsidRPr="009D3F1F">
        <w:rPr>
          <w:szCs w:val="18"/>
        </w:rPr>
        <w:t xml:space="preserve">At least one of the following three: </w:t>
      </w:r>
    </w:p>
    <w:p w14:paraId="78438867" w14:textId="5A341309" w:rsidR="005637C2" w:rsidRPr="009D3F1F" w:rsidRDefault="005637C2" w:rsidP="00F239C1">
      <w:pPr>
        <w:autoSpaceDE w:val="0"/>
        <w:autoSpaceDN w:val="0"/>
        <w:adjustRightInd w:val="0"/>
        <w:spacing w:before="60" w:after="60"/>
        <w:rPr>
          <w:szCs w:val="18"/>
        </w:rPr>
      </w:pPr>
      <w:r w:rsidRPr="009D3F1F">
        <w:rPr>
          <w:szCs w:val="18"/>
        </w:rPr>
        <w:t xml:space="preserve">— Isolation of human pathogenic </w:t>
      </w:r>
      <w:r w:rsidRPr="009D3F1F">
        <w:rPr>
          <w:i/>
          <w:szCs w:val="18"/>
        </w:rPr>
        <w:t>Brucella</w:t>
      </w:r>
      <w:r w:rsidRPr="009D3F1F">
        <w:rPr>
          <w:szCs w:val="18"/>
        </w:rPr>
        <w:t xml:space="preserve"> spp. from a clinical specimen; </w:t>
      </w:r>
      <w:r w:rsidRPr="009D3F1F">
        <w:rPr>
          <w:szCs w:val="18"/>
        </w:rPr>
        <w:br/>
        <w:t xml:space="preserve">— Human pathogenic </w:t>
      </w:r>
      <w:r w:rsidRPr="009D3F1F">
        <w:rPr>
          <w:i/>
          <w:szCs w:val="18"/>
        </w:rPr>
        <w:t>Brucella</w:t>
      </w:r>
      <w:r w:rsidRPr="009D3F1F">
        <w:rPr>
          <w:szCs w:val="18"/>
        </w:rPr>
        <w:t xml:space="preserve"> specific antibody response (Standard Agglutination Test, Complement Fixation, ELISA</w:t>
      </w:r>
      <w:proofErr w:type="gramStart"/>
      <w:r w:rsidRPr="009D3F1F">
        <w:rPr>
          <w:szCs w:val="18"/>
        </w:rPr>
        <w:t>);</w:t>
      </w:r>
      <w:proofErr w:type="gramEnd"/>
    </w:p>
    <w:p w14:paraId="7C5ADB04" w14:textId="6F8C8BD0" w:rsidR="00F239C1" w:rsidRPr="009D3F1F" w:rsidRDefault="005637C2" w:rsidP="00F239C1">
      <w:pPr>
        <w:autoSpaceDE w:val="0"/>
        <w:autoSpaceDN w:val="0"/>
        <w:adjustRightInd w:val="0"/>
        <w:spacing w:before="60" w:after="60"/>
        <w:rPr>
          <w:rFonts w:eastAsiaTheme="minorHAnsi" w:cs="Tahoma"/>
          <w:color w:val="000000"/>
          <w:szCs w:val="18"/>
        </w:rPr>
      </w:pPr>
      <w:r w:rsidRPr="009D3F1F">
        <w:rPr>
          <w:szCs w:val="18"/>
        </w:rPr>
        <w:t xml:space="preserve">— Detection of human pathogenic </w:t>
      </w:r>
      <w:r w:rsidRPr="009D3F1F">
        <w:rPr>
          <w:i/>
          <w:szCs w:val="18"/>
        </w:rPr>
        <w:t>Brucella</w:t>
      </w:r>
      <w:r w:rsidRPr="009D3F1F">
        <w:rPr>
          <w:szCs w:val="18"/>
        </w:rPr>
        <w:t xml:space="preserve"> spp. nucleic acid in a clinical specimen.</w:t>
      </w:r>
      <w:r w:rsidRPr="009D3F1F">
        <w:t xml:space="preserve"> </w:t>
      </w:r>
      <w:r w:rsidRPr="009D3F1F">
        <w:br/>
      </w:r>
      <w:r w:rsidR="00F239C1" w:rsidRPr="009D3F1F">
        <w:rPr>
          <w:rFonts w:eastAsiaTheme="minorHAnsi" w:cs="Tahoma"/>
          <w:b/>
          <w:bCs/>
          <w:color w:val="000000"/>
          <w:szCs w:val="18"/>
        </w:rPr>
        <w:t xml:space="preserve">Epidemiological criteria </w:t>
      </w:r>
    </w:p>
    <w:p w14:paraId="44911420" w14:textId="7DDCAB10" w:rsidR="00F239C1" w:rsidRPr="009D3F1F" w:rsidRDefault="00F239C1"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At least one of the following </w:t>
      </w:r>
      <w:r w:rsidR="00683DFE" w:rsidRPr="009D3F1F">
        <w:rPr>
          <w:rFonts w:eastAsiaTheme="minorHAnsi" w:cs="Tahoma"/>
          <w:color w:val="000000"/>
          <w:szCs w:val="18"/>
        </w:rPr>
        <w:t xml:space="preserve">five </w:t>
      </w:r>
      <w:r w:rsidRPr="009D3F1F">
        <w:rPr>
          <w:rFonts w:eastAsiaTheme="minorHAnsi" w:cs="Tahoma"/>
          <w:color w:val="000000"/>
          <w:szCs w:val="18"/>
        </w:rPr>
        <w:t xml:space="preserve">epidemiological links: </w:t>
      </w:r>
    </w:p>
    <w:p w14:paraId="0CBDEA37" w14:textId="77777777" w:rsidR="00F239C1" w:rsidRPr="009D3F1F" w:rsidRDefault="00F239C1"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 Exposure to contaminated food/drinking </w:t>
      </w:r>
      <w:proofErr w:type="gramStart"/>
      <w:r w:rsidRPr="009D3F1F">
        <w:rPr>
          <w:rFonts w:eastAsiaTheme="minorHAnsi" w:cs="Tahoma"/>
          <w:color w:val="000000"/>
          <w:szCs w:val="18"/>
        </w:rPr>
        <w:t>water;</w:t>
      </w:r>
      <w:proofErr w:type="gramEnd"/>
      <w:r w:rsidRPr="009D3F1F">
        <w:rPr>
          <w:rFonts w:eastAsiaTheme="minorHAnsi" w:cs="Tahoma"/>
          <w:color w:val="000000"/>
          <w:szCs w:val="18"/>
        </w:rPr>
        <w:t xml:space="preserve"> </w:t>
      </w:r>
    </w:p>
    <w:p w14:paraId="6CCF0A9B" w14:textId="77777777" w:rsidR="00F239C1" w:rsidRPr="009D3F1F" w:rsidRDefault="00F239C1"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Exposure to products from a contaminated animal (milk or milk products</w:t>
      </w:r>
      <w:proofErr w:type="gramStart"/>
      <w:r w:rsidRPr="009D3F1F">
        <w:rPr>
          <w:rFonts w:eastAsiaTheme="minorHAnsi" w:cs="Tahoma"/>
          <w:color w:val="000000"/>
          <w:szCs w:val="18"/>
        </w:rPr>
        <w:t>);</w:t>
      </w:r>
      <w:proofErr w:type="gramEnd"/>
      <w:r w:rsidRPr="009D3F1F">
        <w:rPr>
          <w:rFonts w:eastAsiaTheme="minorHAnsi" w:cs="Tahoma"/>
          <w:color w:val="000000"/>
          <w:szCs w:val="18"/>
        </w:rPr>
        <w:t xml:space="preserve"> </w:t>
      </w:r>
    </w:p>
    <w:p w14:paraId="5DD6D936" w14:textId="0781DC47" w:rsidR="00F239C1" w:rsidRPr="009D3F1F" w:rsidRDefault="00F239C1"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Animal</w:t>
      </w:r>
      <w:r w:rsidR="001D7427" w:rsidRPr="009D3F1F">
        <w:rPr>
          <w:rFonts w:eastAsiaTheme="minorHAnsi" w:cs="Tahoma"/>
          <w:color w:val="000000"/>
          <w:szCs w:val="18"/>
        </w:rPr>
        <w:t xml:space="preserve"> </w:t>
      </w:r>
      <w:r w:rsidRPr="009D3F1F">
        <w:rPr>
          <w:rFonts w:eastAsiaTheme="minorHAnsi" w:cs="Tahoma"/>
          <w:color w:val="000000"/>
          <w:szCs w:val="18"/>
        </w:rPr>
        <w:t>to</w:t>
      </w:r>
      <w:r w:rsidR="001D7427" w:rsidRPr="009D3F1F">
        <w:rPr>
          <w:rFonts w:eastAsiaTheme="minorHAnsi" w:cs="Tahoma"/>
          <w:color w:val="000000"/>
          <w:szCs w:val="18"/>
        </w:rPr>
        <w:t xml:space="preserve"> </w:t>
      </w:r>
      <w:r w:rsidRPr="009D3F1F">
        <w:rPr>
          <w:rFonts w:eastAsiaTheme="minorHAnsi" w:cs="Tahoma"/>
          <w:color w:val="000000"/>
          <w:szCs w:val="18"/>
        </w:rPr>
        <w:t>human transmission (contaminated secretions or organs e.g. vaginal discharge, placenta</w:t>
      </w:r>
      <w:proofErr w:type="gramStart"/>
      <w:r w:rsidRPr="009D3F1F">
        <w:rPr>
          <w:rFonts w:eastAsiaTheme="minorHAnsi" w:cs="Tahoma"/>
          <w:color w:val="000000"/>
          <w:szCs w:val="18"/>
        </w:rPr>
        <w:t>);</w:t>
      </w:r>
      <w:proofErr w:type="gramEnd"/>
      <w:r w:rsidRPr="009D3F1F">
        <w:rPr>
          <w:rFonts w:eastAsiaTheme="minorHAnsi" w:cs="Tahoma"/>
          <w:color w:val="000000"/>
          <w:szCs w:val="18"/>
        </w:rPr>
        <w:t xml:space="preserve"> </w:t>
      </w:r>
    </w:p>
    <w:p w14:paraId="1657E508" w14:textId="1BEC3C01" w:rsidR="00F239C1" w:rsidRPr="009D3F1F" w:rsidRDefault="00F239C1"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 Exposure to a common </w:t>
      </w:r>
      <w:proofErr w:type="gramStart"/>
      <w:r w:rsidRPr="009D3F1F">
        <w:rPr>
          <w:rFonts w:eastAsiaTheme="minorHAnsi" w:cs="Tahoma"/>
          <w:color w:val="000000"/>
          <w:szCs w:val="18"/>
        </w:rPr>
        <w:t>source</w:t>
      </w:r>
      <w:r w:rsidR="00683DFE" w:rsidRPr="009D3F1F">
        <w:rPr>
          <w:rFonts w:eastAsiaTheme="minorHAnsi" w:cs="Tahoma"/>
          <w:color w:val="000000"/>
          <w:szCs w:val="18"/>
        </w:rPr>
        <w:t>;</w:t>
      </w:r>
      <w:proofErr w:type="gramEnd"/>
    </w:p>
    <w:p w14:paraId="5E96FA04" w14:textId="32E89843" w:rsidR="00683DFE" w:rsidRDefault="00683DFE" w:rsidP="00F239C1">
      <w:pPr>
        <w:autoSpaceDE w:val="0"/>
        <w:autoSpaceDN w:val="0"/>
        <w:adjustRightInd w:val="0"/>
        <w:spacing w:before="60" w:after="60"/>
        <w:rPr>
          <w:szCs w:val="18"/>
        </w:rPr>
      </w:pPr>
      <w:r w:rsidRPr="00805F81">
        <w:rPr>
          <w:szCs w:val="18"/>
        </w:rPr>
        <w:t>— Laboratory exposure.</w:t>
      </w:r>
    </w:p>
    <w:p w14:paraId="44FA1369" w14:textId="77777777" w:rsidR="00184880" w:rsidRPr="009D3F1F" w:rsidRDefault="00184880" w:rsidP="00F239C1">
      <w:pPr>
        <w:autoSpaceDE w:val="0"/>
        <w:autoSpaceDN w:val="0"/>
        <w:adjustRightInd w:val="0"/>
        <w:spacing w:before="60" w:after="60"/>
        <w:rPr>
          <w:rFonts w:eastAsiaTheme="minorHAnsi" w:cs="Tahoma"/>
          <w:color w:val="000000"/>
          <w:szCs w:val="18"/>
        </w:rPr>
      </w:pPr>
    </w:p>
    <w:p w14:paraId="48C78321" w14:textId="37B21A6F" w:rsidR="00F239C1" w:rsidRPr="009D3F1F" w:rsidRDefault="00F239C1" w:rsidP="00F239C1">
      <w:pPr>
        <w:pStyle w:val="CM4"/>
        <w:spacing w:before="60" w:after="60"/>
        <w:rPr>
          <w:rFonts w:ascii="Tahoma" w:hAnsi="Tahoma" w:cs="Tahoma"/>
          <w:b/>
          <w:sz w:val="18"/>
          <w:szCs w:val="18"/>
        </w:rPr>
      </w:pPr>
      <w:r w:rsidRPr="009D3F1F">
        <w:rPr>
          <w:rFonts w:ascii="Tahoma" w:hAnsi="Tahoma" w:cs="Tahoma"/>
          <w:b/>
          <w:sz w:val="18"/>
          <w:szCs w:val="18"/>
        </w:rPr>
        <w:t>Case classification</w:t>
      </w:r>
    </w:p>
    <w:p w14:paraId="404DA5C5" w14:textId="3D4C7E49" w:rsidR="00F239C1" w:rsidRPr="00A9199F" w:rsidRDefault="001D7427" w:rsidP="00805F81">
      <w:pPr>
        <w:pStyle w:val="Default"/>
        <w:rPr>
          <w:rFonts w:eastAsiaTheme="minorHAnsi" w:cs="Tahoma"/>
          <w:sz w:val="18"/>
          <w:szCs w:val="18"/>
        </w:rPr>
      </w:pPr>
      <w:r w:rsidRPr="009D3F1F">
        <w:rPr>
          <w:rFonts w:ascii="Tahoma" w:hAnsi="Tahoma" w:cs="Tahoma"/>
          <w:sz w:val="18"/>
          <w:szCs w:val="18"/>
        </w:rPr>
        <w:t>A. Possible case</w:t>
      </w:r>
      <w:r w:rsidR="00A7303A" w:rsidRPr="009D3F1F">
        <w:rPr>
          <w:rFonts w:ascii="Tahoma" w:hAnsi="Tahoma" w:cs="Tahoma"/>
          <w:sz w:val="18"/>
          <w:szCs w:val="18"/>
        </w:rPr>
        <w:t>:</w:t>
      </w:r>
      <w:r w:rsidRPr="009D3F1F">
        <w:rPr>
          <w:rFonts w:ascii="Tahoma" w:hAnsi="Tahoma" w:cs="Tahoma"/>
          <w:sz w:val="18"/>
          <w:szCs w:val="18"/>
        </w:rPr>
        <w:t xml:space="preserve"> NA</w:t>
      </w:r>
      <w:r w:rsidRPr="009D3F1F">
        <w:rPr>
          <w:rFonts w:ascii="Tahoma" w:hAnsi="Tahoma" w:cs="Tahoma"/>
          <w:sz w:val="18"/>
          <w:szCs w:val="18"/>
        </w:rPr>
        <w:br/>
      </w:r>
      <w:r w:rsidRPr="00805F81">
        <w:rPr>
          <w:rFonts w:ascii="Tahoma" w:hAnsi="Tahoma" w:cs="Tahoma"/>
          <w:sz w:val="18"/>
          <w:szCs w:val="18"/>
        </w:rPr>
        <w:t>B. Probable case: Any person meeting the clinical criteria with an epidemiological link</w:t>
      </w:r>
      <w:r w:rsidRPr="005679DF">
        <w:rPr>
          <w:rFonts w:cs="Tahoma"/>
          <w:sz w:val="18"/>
          <w:szCs w:val="18"/>
        </w:rPr>
        <w:br/>
      </w:r>
      <w:r w:rsidRPr="009D3F1F">
        <w:rPr>
          <w:rFonts w:ascii="Tahoma" w:eastAsiaTheme="minorHAnsi" w:hAnsi="Tahoma" w:cs="Tahoma"/>
          <w:sz w:val="18"/>
          <w:szCs w:val="18"/>
        </w:rPr>
        <w:t>C</w:t>
      </w:r>
      <w:r w:rsidR="00F239C1" w:rsidRPr="00805F81">
        <w:rPr>
          <w:rFonts w:ascii="Tahoma" w:eastAsiaTheme="minorHAnsi" w:hAnsi="Tahoma" w:cs="Tahoma"/>
          <w:sz w:val="18"/>
          <w:szCs w:val="18"/>
        </w:rPr>
        <w:t xml:space="preserve">. </w:t>
      </w:r>
      <w:r w:rsidR="00F239C1" w:rsidRPr="005679DF">
        <w:rPr>
          <w:rFonts w:ascii="Tahoma" w:eastAsiaTheme="minorHAnsi" w:hAnsi="Tahoma" w:cs="Tahoma"/>
          <w:sz w:val="18"/>
          <w:szCs w:val="18"/>
        </w:rPr>
        <w:t xml:space="preserve">Confirmed case: </w:t>
      </w:r>
      <w:r w:rsidR="00F239C1" w:rsidRPr="00CB488F">
        <w:rPr>
          <w:rFonts w:ascii="Tahoma" w:eastAsiaTheme="minorHAnsi" w:hAnsi="Tahoma" w:cs="Tahoma"/>
          <w:sz w:val="18"/>
          <w:szCs w:val="18"/>
        </w:rPr>
        <w:t>Any person meeting the clinical and the laboratory criteria</w:t>
      </w:r>
    </w:p>
    <w:p w14:paraId="7DDD3D25" w14:textId="77777777" w:rsidR="00F239C1" w:rsidRPr="009D3F1F" w:rsidRDefault="00F239C1" w:rsidP="00F239C1">
      <w:pPr>
        <w:autoSpaceDE w:val="0"/>
        <w:autoSpaceDN w:val="0"/>
        <w:adjustRightInd w:val="0"/>
        <w:spacing w:before="60" w:after="60"/>
        <w:rPr>
          <w:rFonts w:eastAsia="Arial Unicode MS" w:cs="Tahoma"/>
          <w:kern w:val="22"/>
          <w:szCs w:val="18"/>
        </w:rPr>
      </w:pPr>
    </w:p>
    <w:p w14:paraId="01CE4B79" w14:textId="4EA1BFD2" w:rsidR="00B3152F" w:rsidRDefault="001D7427" w:rsidP="00F239C1">
      <w:pPr>
        <w:autoSpaceDE w:val="0"/>
        <w:autoSpaceDN w:val="0"/>
        <w:adjustRightInd w:val="0"/>
        <w:spacing w:before="60" w:after="60"/>
      </w:pPr>
      <w:r w:rsidRPr="009D3F1F">
        <w:rPr>
          <w:szCs w:val="18"/>
        </w:rPr>
        <w:t>Note: If the national surveillance system is not capturing clinical symptoms, all laboratory-confirmed individuals should be reported as confirmed cases</w:t>
      </w:r>
      <w:r w:rsidRPr="009D3F1F">
        <w:t>.</w:t>
      </w:r>
      <w:r w:rsidR="00747F50">
        <w:br/>
      </w:r>
    </w:p>
    <w:p w14:paraId="1AD5B0D7" w14:textId="77777777" w:rsidR="009D3F1F" w:rsidRDefault="009D3F1F" w:rsidP="009D3F1F">
      <w:pPr>
        <w:pStyle w:val="EC-Para"/>
        <w:spacing w:after="0" w:line="240" w:lineRule="auto"/>
        <w:jc w:val="both"/>
        <w:rPr>
          <w:rFonts w:cs="Tahoma"/>
        </w:rPr>
      </w:pPr>
      <w:r>
        <w:rPr>
          <w:rFonts w:cs="Tahoma"/>
        </w:rPr>
        <w:t>------------------------</w:t>
      </w:r>
    </w:p>
    <w:p w14:paraId="5770BE98" w14:textId="38C63D7B" w:rsidR="00955A50" w:rsidRDefault="009D3F1F" w:rsidP="00955A50">
      <w:pPr>
        <w:pStyle w:val="EC-Para"/>
        <w:spacing w:after="0" w:line="240" w:lineRule="auto"/>
        <w:jc w:val="both"/>
        <w:rPr>
          <w:lang w:eastAsia="en-US"/>
        </w:rPr>
      </w:pPr>
      <w:r>
        <w:rPr>
          <w:rFonts w:cs="Tahoma"/>
        </w:rPr>
        <w:t>(</w:t>
      </w:r>
      <w:r w:rsidR="00955A50" w:rsidRPr="00805F81">
        <w:rPr>
          <w:rFonts w:cs="Tahoma"/>
        </w:rPr>
        <w:t>C</w:t>
      </w:r>
      <w:r w:rsidR="00955A50" w:rsidRPr="005679DF">
        <w:rPr>
          <w:lang w:eastAsia="en-US"/>
        </w:rPr>
        <w:t>ompared to the 2008 and 2012 EU case definition, the 2018 EU case d</w:t>
      </w:r>
      <w:r w:rsidR="00955A50" w:rsidRPr="00CB488F">
        <w:rPr>
          <w:lang w:eastAsia="en-US"/>
        </w:rPr>
        <w:t xml:space="preserve">efinition allows genotypic tests for laboratory confirmation and has laboratory exposure as a possible epidemiological link. </w:t>
      </w:r>
      <w:r w:rsidR="00955A50" w:rsidRPr="003B4E4E">
        <w:rPr>
          <w:lang w:eastAsia="en-US"/>
        </w:rPr>
        <w:t>The</w:t>
      </w:r>
      <w:r w:rsidR="00955A50">
        <w:rPr>
          <w:lang w:eastAsia="en-US"/>
        </w:rPr>
        <w:t xml:space="preserve"> note is also </w:t>
      </w:r>
      <w:r w:rsidR="003B4E4E">
        <w:rPr>
          <w:lang w:eastAsia="en-US"/>
        </w:rPr>
        <w:t>a new addition</w:t>
      </w:r>
      <w:r w:rsidR="00955A50">
        <w:rPr>
          <w:lang w:eastAsia="en-US"/>
        </w:rPr>
        <w:t>.</w:t>
      </w:r>
      <w:r>
        <w:rPr>
          <w:lang w:eastAsia="en-US"/>
        </w:rPr>
        <w:t>)</w:t>
      </w:r>
    </w:p>
    <w:p w14:paraId="10639C44" w14:textId="77777777" w:rsidR="00955A50" w:rsidRPr="00B960F7" w:rsidRDefault="00955A50" w:rsidP="00955A50">
      <w:pPr>
        <w:pStyle w:val="EC-Para"/>
        <w:spacing w:after="0" w:line="240" w:lineRule="auto"/>
        <w:jc w:val="both"/>
        <w:rPr>
          <w:lang w:eastAsia="en-US"/>
        </w:rPr>
      </w:pPr>
    </w:p>
    <w:p w14:paraId="5DDD28B4" w14:textId="77777777" w:rsidR="00F239C1" w:rsidRPr="008D6924" w:rsidRDefault="00F239C1" w:rsidP="008D6924">
      <w:pPr>
        <w:pStyle w:val="EC-Title-6"/>
      </w:pPr>
      <w:r w:rsidRPr="008D6924">
        <w:lastRenderedPageBreak/>
        <w:t xml:space="preserve">Data collection and analysis </w:t>
      </w:r>
    </w:p>
    <w:p w14:paraId="086F6965" w14:textId="22C21C5A" w:rsidR="00F239C1" w:rsidRDefault="00F239C1" w:rsidP="00F239C1">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9578FE">
        <w:rPr>
          <w:rFonts w:cs="Tahoma"/>
        </w:rPr>
        <w:t>EU/EEA countries</w:t>
      </w:r>
      <w:r>
        <w:rPr>
          <w:rFonts w:cs="Tahoma"/>
        </w:rPr>
        <w:t>. C</w:t>
      </w:r>
      <w:r>
        <w:t>ountry population denominators by age group for the calculation of notification rates were obtained from Eurostat</w:t>
      </w:r>
      <w:r>
        <w:rPr>
          <w:rStyle w:val="FootnoteReference"/>
        </w:rPr>
        <w:footnoteReference w:id="6"/>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352AFFAA" w14:textId="77777777" w:rsidR="00F239C1" w:rsidRDefault="00F239C1" w:rsidP="00F239C1">
      <w:pPr>
        <w:pStyle w:val="EC-Para"/>
        <w:jc w:val="both"/>
        <w:rPr>
          <w:rFonts w:cstheme="minorHAnsi"/>
        </w:rPr>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r>
        <w:rPr>
          <w:rFonts w:cstheme="minorHAnsi"/>
        </w:rPr>
        <w:t xml:space="preserve"> </w:t>
      </w:r>
    </w:p>
    <w:p w14:paraId="4D9EEA88" w14:textId="77777777" w:rsidR="00F239C1" w:rsidRDefault="00F239C1" w:rsidP="00F239C1">
      <w:pPr>
        <w:pStyle w:val="EC-Para"/>
        <w:jc w:val="both"/>
        <w:rPr>
          <w:rFonts w:cs="Tahoma"/>
        </w:rPr>
      </w:pPr>
      <w:r>
        <w:rPr>
          <w:rFonts w:cs="Tahoma"/>
        </w:rPr>
        <w:t>Surveillance systems across the EU/EEA countries are heterogeneous and a surveillance systems overview is displayed in Annex 1.</w:t>
      </w:r>
    </w:p>
    <w:p w14:paraId="082F3EBA" w14:textId="77777777" w:rsidR="00C351F7" w:rsidRDefault="00C351F7" w:rsidP="00F239C1">
      <w:pPr>
        <w:pStyle w:val="EC-Para"/>
        <w:jc w:val="both"/>
        <w:rPr>
          <w:rFonts w:cs="Tahoma"/>
        </w:rPr>
      </w:pPr>
    </w:p>
    <w:p w14:paraId="64985213" w14:textId="77777777" w:rsidR="00F239C1" w:rsidRPr="008D6924" w:rsidRDefault="00F239C1" w:rsidP="008D6924">
      <w:pPr>
        <w:pStyle w:val="EC-Title-6"/>
      </w:pPr>
      <w:r w:rsidRPr="008D6924">
        <w:t>Surveillance Atlas indicators</w:t>
      </w:r>
    </w:p>
    <w:p w14:paraId="4291879B" w14:textId="77777777" w:rsidR="00F239C1" w:rsidRDefault="00F239C1" w:rsidP="00F239C1">
      <w:pPr>
        <w:pStyle w:val="EC-Para"/>
        <w:rPr>
          <w:rFonts w:cs="Tahoma"/>
        </w:rPr>
      </w:pPr>
      <w:r w:rsidRPr="005E139C">
        <w:rPr>
          <w:rFonts w:cs="Tahoma"/>
        </w:rPr>
        <w:t>The Surveillan</w:t>
      </w:r>
      <w:r>
        <w:rPr>
          <w:rFonts w:cs="Tahoma"/>
        </w:rPr>
        <w:t>ce Atlas indicators for confirmed brucellosis</w:t>
      </w:r>
      <w:r w:rsidRPr="005E139C">
        <w:rPr>
          <w:rFonts w:cs="Tahoma"/>
        </w:rPr>
        <w:t xml:space="preserve"> </w:t>
      </w:r>
      <w:r>
        <w:rPr>
          <w:rFonts w:cs="Tahoma"/>
        </w:rPr>
        <w:t xml:space="preserve">cases </w:t>
      </w:r>
      <w:r w:rsidRPr="005E139C">
        <w:rPr>
          <w:rFonts w:cs="Tahoma"/>
        </w:rPr>
        <w:t>are:</w:t>
      </w:r>
    </w:p>
    <w:p w14:paraId="640C23F1" w14:textId="77777777" w:rsidR="00F239C1" w:rsidRPr="007B34B1" w:rsidRDefault="00F239C1" w:rsidP="000617B1">
      <w:pPr>
        <w:numPr>
          <w:ilvl w:val="0"/>
          <w:numId w:val="1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40CBBE33" w14:textId="77777777" w:rsidR="00F239C1" w:rsidRDefault="00F239C1" w:rsidP="000617B1">
      <w:pPr>
        <w:numPr>
          <w:ilvl w:val="0"/>
          <w:numId w:val="1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634C88B6" w14:textId="77777777" w:rsidR="00F239C1" w:rsidRDefault="00F239C1" w:rsidP="000617B1">
      <w:pPr>
        <w:numPr>
          <w:ilvl w:val="0"/>
          <w:numId w:val="13"/>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Age-standardised rate per 100 000 </w:t>
      </w:r>
      <w:proofErr w:type="gramStart"/>
      <w:r>
        <w:rPr>
          <w:rFonts w:eastAsia="Arial Unicode MS" w:cs="Tahoma"/>
          <w:kern w:val="22"/>
          <w:szCs w:val="18"/>
        </w:rPr>
        <w:t>population;</w:t>
      </w:r>
      <w:proofErr w:type="gramEnd"/>
    </w:p>
    <w:p w14:paraId="0A259453" w14:textId="77777777" w:rsidR="00F239C1" w:rsidRDefault="00F239C1" w:rsidP="000617B1">
      <w:pPr>
        <w:numPr>
          <w:ilvl w:val="0"/>
          <w:numId w:val="13"/>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Number of hospitalised </w:t>
      </w:r>
      <w:proofErr w:type="gramStart"/>
      <w:r>
        <w:rPr>
          <w:rFonts w:eastAsia="Arial Unicode MS" w:cs="Tahoma"/>
          <w:kern w:val="22"/>
          <w:szCs w:val="18"/>
        </w:rPr>
        <w:t>cases;</w:t>
      </w:r>
      <w:proofErr w:type="gramEnd"/>
    </w:p>
    <w:p w14:paraId="5EB7DE56" w14:textId="77777777" w:rsidR="00F239C1" w:rsidRPr="002173DA" w:rsidRDefault="00F239C1" w:rsidP="000617B1">
      <w:pPr>
        <w:pStyle w:val="EC-Para"/>
        <w:numPr>
          <w:ilvl w:val="0"/>
          <w:numId w:val="13"/>
        </w:numPr>
        <w:spacing w:after="0"/>
        <w:rPr>
          <w:rFonts w:cs="Tahoma"/>
        </w:rPr>
      </w:pPr>
      <w:r>
        <w:rPr>
          <w:rFonts w:cs="Tahoma"/>
        </w:rPr>
        <w:t>Proportion of hospitalised cases among confirmed cases with known history of hospitalisation (%</w:t>
      </w:r>
      <w:proofErr w:type="gramStart"/>
      <w:r>
        <w:rPr>
          <w:rFonts w:cs="Tahoma"/>
        </w:rPr>
        <w:t>);</w:t>
      </w:r>
      <w:proofErr w:type="gramEnd"/>
    </w:p>
    <w:p w14:paraId="4ED96D32" w14:textId="77777777" w:rsidR="00F239C1" w:rsidRPr="007B34B1" w:rsidRDefault="00F239C1" w:rsidP="000617B1">
      <w:pPr>
        <w:numPr>
          <w:ilvl w:val="0"/>
          <w:numId w:val="1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063EFCD8" w14:textId="77777777" w:rsidR="00F239C1" w:rsidRPr="007B34B1" w:rsidRDefault="00F239C1" w:rsidP="000617B1">
      <w:pPr>
        <w:numPr>
          <w:ilvl w:val="0"/>
          <w:numId w:val="13"/>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Case fatality calculated as proportion of deaths among confirmed cases with known disease 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3976B09A" w14:textId="77777777" w:rsidR="00F239C1" w:rsidRPr="007B34B1" w:rsidRDefault="00F239C1" w:rsidP="000617B1">
      <w:pPr>
        <w:numPr>
          <w:ilvl w:val="0"/>
          <w:numId w:val="1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1961DE63" w14:textId="7E77F890" w:rsidR="00F239C1" w:rsidRPr="007B34B1" w:rsidRDefault="00F239C1" w:rsidP="000617B1">
      <w:pPr>
        <w:numPr>
          <w:ilvl w:val="0"/>
          <w:numId w:val="13"/>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00FE46B6">
        <w:rPr>
          <w:rFonts w:eastAsia="Arial Unicode MS" w:cs="Tahoma"/>
          <w:kern w:val="22"/>
          <w:szCs w:val="18"/>
        </w:rPr>
        <w:t>;</w:t>
      </w:r>
      <w:proofErr w:type="gramEnd"/>
    </w:p>
    <w:p w14:paraId="5A9D38A8" w14:textId="77777777" w:rsidR="00F239C1" w:rsidRPr="007B34B1" w:rsidRDefault="00F239C1" w:rsidP="00F239C1">
      <w:pPr>
        <w:kinsoku w:val="0"/>
        <w:autoSpaceDE w:val="0"/>
        <w:autoSpaceDN w:val="0"/>
        <w:adjustRightInd w:val="0"/>
        <w:spacing w:line="200" w:lineRule="atLeast"/>
        <w:ind w:left="720"/>
        <w:rPr>
          <w:rFonts w:eastAsia="Arial Unicode MS" w:cs="Tahoma"/>
          <w:kern w:val="22"/>
          <w:szCs w:val="18"/>
        </w:rPr>
      </w:pPr>
    </w:p>
    <w:p w14:paraId="5C9363D0" w14:textId="77777777" w:rsidR="00F239C1" w:rsidRPr="007B34B1" w:rsidRDefault="00F239C1" w:rsidP="00F239C1">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1D691A27" w14:textId="77777777" w:rsidR="00F239C1" w:rsidRPr="007B34B1" w:rsidRDefault="00F239C1"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641CF9BF" w14:textId="77777777" w:rsidR="00F239C1" w:rsidRPr="007B34B1" w:rsidRDefault="00F239C1"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46A5FB57" w14:textId="77777777" w:rsidR="00F239C1" w:rsidRDefault="00F239C1" w:rsidP="00F239C1">
      <w:pPr>
        <w:kinsoku w:val="0"/>
        <w:autoSpaceDE w:val="0"/>
        <w:autoSpaceDN w:val="0"/>
        <w:adjustRightInd w:val="0"/>
        <w:spacing w:line="200" w:lineRule="atLeast"/>
        <w:rPr>
          <w:rFonts w:eastAsia="Arial Unicode MS" w:cs="Tahoma"/>
          <w:kern w:val="22"/>
          <w:szCs w:val="18"/>
        </w:rPr>
      </w:pPr>
    </w:p>
    <w:p w14:paraId="68A8021C" w14:textId="77777777" w:rsidR="00F239C1" w:rsidRPr="007B34B1" w:rsidRDefault="00F239C1" w:rsidP="00F239C1">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1065CD48" w14:textId="77777777" w:rsidR="00F239C1" w:rsidRPr="007B34B1" w:rsidRDefault="00F239C1"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2C810638" w14:textId="77777777" w:rsidR="00F239C1" w:rsidRPr="00E8075D" w:rsidRDefault="00F239C1"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6CD85B9F" w14:textId="77777777" w:rsidR="00F239C1" w:rsidRDefault="00F239C1" w:rsidP="000617B1">
      <w:pPr>
        <w:pStyle w:val="ListParagraph"/>
        <w:numPr>
          <w:ilvl w:val="0"/>
          <w:numId w:val="6"/>
        </w:numPr>
        <w:kinsoku w:val="0"/>
        <w:autoSpaceDE w:val="0"/>
        <w:autoSpaceDN w:val="0"/>
        <w:adjustRightInd w:val="0"/>
        <w:spacing w:after="0" w:line="200" w:lineRule="atLeast"/>
        <w:rPr>
          <w:rFonts w:eastAsia="Arial Unicode MS" w:cs="Tahoma"/>
          <w:kern w:val="22"/>
          <w:szCs w:val="18"/>
          <w:lang w:eastAsia="ko-KR"/>
        </w:rPr>
      </w:pPr>
      <w:r>
        <w:rPr>
          <w:rFonts w:eastAsia="Arial Unicode MS" w:cs="Tahoma"/>
          <w:kern w:val="22"/>
          <w:szCs w:val="18"/>
          <w:lang w:eastAsia="ko-KR"/>
        </w:rPr>
        <w:t>Pathogen species.</w:t>
      </w:r>
    </w:p>
    <w:p w14:paraId="433FD554" w14:textId="77777777" w:rsidR="00F239C1" w:rsidRPr="00E8283A" w:rsidRDefault="00F239C1" w:rsidP="00F239C1">
      <w:pPr>
        <w:kinsoku w:val="0"/>
        <w:autoSpaceDE w:val="0"/>
        <w:autoSpaceDN w:val="0"/>
        <w:adjustRightInd w:val="0"/>
        <w:spacing w:line="200" w:lineRule="atLeast"/>
        <w:rPr>
          <w:rFonts w:eastAsia="Arial Unicode MS" w:cs="Tahoma"/>
          <w:color w:val="000000"/>
          <w:kern w:val="22"/>
          <w:szCs w:val="18"/>
        </w:rPr>
      </w:pPr>
    </w:p>
    <w:p w14:paraId="02E7C705" w14:textId="77777777" w:rsidR="00F239C1" w:rsidRDefault="00F239C1" w:rsidP="00F239C1">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F239C1" w14:paraId="0B214567" w14:textId="77777777" w:rsidTr="00F239C1">
        <w:tc>
          <w:tcPr>
            <w:tcW w:w="1101" w:type="dxa"/>
            <w:tcBorders>
              <w:top w:val="single" w:sz="4" w:space="0" w:color="000000"/>
              <w:left w:val="single" w:sz="4" w:space="0" w:color="000000"/>
              <w:bottom w:val="single" w:sz="4" w:space="0" w:color="000000"/>
              <w:right w:val="single" w:sz="4" w:space="0" w:color="000000"/>
            </w:tcBorders>
            <w:hideMark/>
          </w:tcPr>
          <w:p w14:paraId="10CAB395" w14:textId="77777777" w:rsidR="00F239C1" w:rsidRDefault="00F239C1" w:rsidP="00F239C1">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4B58076A" w14:textId="77777777" w:rsidR="00F239C1" w:rsidRDefault="00F239C1" w:rsidP="00F239C1">
            <w:pPr>
              <w:pStyle w:val="EC-Para"/>
              <w:rPr>
                <w:lang w:eastAsia="en-US"/>
              </w:rPr>
            </w:pPr>
            <w:r>
              <w:rPr>
                <w:lang w:eastAsia="en-US"/>
              </w:rPr>
              <w:t>Comment</w:t>
            </w:r>
          </w:p>
        </w:tc>
      </w:tr>
      <w:tr w:rsidR="00F239C1" w14:paraId="322C0311" w14:textId="77777777" w:rsidTr="00F239C1">
        <w:tc>
          <w:tcPr>
            <w:tcW w:w="1101" w:type="dxa"/>
            <w:tcBorders>
              <w:top w:val="single" w:sz="4" w:space="0" w:color="000000"/>
              <w:left w:val="single" w:sz="4" w:space="0" w:color="000000"/>
              <w:bottom w:val="single" w:sz="4" w:space="0" w:color="000000"/>
              <w:right w:val="single" w:sz="4" w:space="0" w:color="000000"/>
            </w:tcBorders>
            <w:hideMark/>
          </w:tcPr>
          <w:p w14:paraId="1670365F" w14:textId="77777777" w:rsidR="00F239C1" w:rsidRDefault="00F239C1" w:rsidP="00F239C1">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69E28598" w14:textId="77777777" w:rsidR="00F239C1" w:rsidRDefault="00F239C1" w:rsidP="00F239C1">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F239C1" w14:paraId="492CCBEC" w14:textId="77777777" w:rsidTr="00F239C1">
        <w:tc>
          <w:tcPr>
            <w:tcW w:w="1101" w:type="dxa"/>
            <w:tcBorders>
              <w:top w:val="single" w:sz="4" w:space="0" w:color="000000"/>
              <w:left w:val="single" w:sz="4" w:space="0" w:color="000000"/>
              <w:bottom w:val="single" w:sz="4" w:space="0" w:color="000000"/>
              <w:right w:val="single" w:sz="4" w:space="0" w:color="000000"/>
            </w:tcBorders>
            <w:hideMark/>
          </w:tcPr>
          <w:p w14:paraId="5D7E7DC3" w14:textId="77777777" w:rsidR="00F239C1" w:rsidRDefault="00F239C1" w:rsidP="00F239C1">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8AB92D5" w14:textId="77777777" w:rsidR="00F239C1" w:rsidRDefault="00F239C1" w:rsidP="00F239C1">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1DAD64A8" w14:textId="55C84B15" w:rsidR="00F239C1" w:rsidRPr="00FE46B6" w:rsidRDefault="00F239C1" w:rsidP="00FE46B6">
      <w:pPr>
        <w:pStyle w:val="EC-Title-6"/>
      </w:pPr>
      <w:r w:rsidRPr="00FE46B6">
        <w:lastRenderedPageBreak/>
        <w:t>Data quality</w:t>
      </w:r>
    </w:p>
    <w:p w14:paraId="2B5A4E2A" w14:textId="64115DED" w:rsidR="00821715" w:rsidRDefault="00821715" w:rsidP="00821715">
      <w:pPr>
        <w:autoSpaceDE w:val="0"/>
        <w:autoSpaceDN w:val="0"/>
        <w:adjustRightInd w:val="0"/>
        <w:jc w:val="both"/>
        <w:rPr>
          <w:rFonts w:eastAsia="Arial Unicode MS" w:cs="Tahoma"/>
          <w:kern w:val="22"/>
          <w:szCs w:val="18"/>
        </w:rPr>
      </w:pPr>
      <w:r w:rsidRPr="009E3B9F">
        <w:rPr>
          <w:rFonts w:eastAsia="Arial Unicode MS" w:cs="Tahoma"/>
          <w:kern w:val="22"/>
          <w:szCs w:val="18"/>
        </w:rPr>
        <w:t>EU/EEA countries reporting</w:t>
      </w:r>
      <w:r>
        <w:rPr>
          <w:rFonts w:eastAsia="Arial Unicode MS" w:cs="Tahoma"/>
          <w:kern w:val="22"/>
          <w:szCs w:val="18"/>
        </w:rPr>
        <w:t xml:space="preserve"> data on brucellosis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2FD241D3" w14:textId="305147DC" w:rsidR="00821715" w:rsidRDefault="00821715" w:rsidP="00821715">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Pr="00E95571">
        <w:rPr>
          <w:rFonts w:eastAsia="Arial Unicode MS" w:cs="Tahoma"/>
          <w:kern w:val="22"/>
          <w:szCs w:val="18"/>
        </w:rPr>
        <w:t xml:space="preserve">confirmed </w:t>
      </w:r>
      <w:r w:rsidR="00DA0E63">
        <w:rPr>
          <w:rFonts w:eastAsia="Arial Unicode MS" w:cs="Tahoma"/>
          <w:kern w:val="22"/>
          <w:szCs w:val="18"/>
        </w:rPr>
        <w:t>brucellosis cases</w:t>
      </w:r>
      <w:r>
        <w:rPr>
          <w:rFonts w:eastAsia="Arial Unicode MS" w:cs="Tahoma"/>
          <w:kern w:val="22"/>
          <w:szCs w:val="18"/>
        </w:rPr>
        <w:t xml:space="preserve"> are:</w:t>
      </w:r>
    </w:p>
    <w:p w14:paraId="30340A41" w14:textId="108F183B" w:rsidR="00821715"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577A27D8" w14:textId="6C7CEB7D" w:rsidR="00821715"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04576735" w14:textId="090C4A67" w:rsidR="00821715"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281F18A6" w14:textId="2F1E4CEA" w:rsidR="00821715"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4C015B37" w14:textId="5FE67D15" w:rsidR="00821715"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6B152EAF" w14:textId="49C241ED" w:rsidR="00821715"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pathogen species (%)</w:t>
      </w:r>
      <w:r w:rsidR="00FE46B6">
        <w:rPr>
          <w:rFonts w:eastAsia="Arial Unicode MS" w:cs="Tahoma"/>
          <w:kern w:val="22"/>
          <w:szCs w:val="18"/>
        </w:rPr>
        <w:t>.</w:t>
      </w:r>
    </w:p>
    <w:p w14:paraId="5A8FFE3F" w14:textId="77777777" w:rsidR="001B59F8" w:rsidRDefault="001B59F8" w:rsidP="000617B1">
      <w:pPr>
        <w:pStyle w:val="ListParagraph"/>
        <w:numPr>
          <w:ilvl w:val="0"/>
          <w:numId w:val="10"/>
        </w:numPr>
        <w:autoSpaceDE w:val="0"/>
        <w:autoSpaceDN w:val="0"/>
        <w:adjustRightInd w:val="0"/>
        <w:jc w:val="both"/>
        <w:rPr>
          <w:rFonts w:eastAsia="Arial Unicode MS" w:cs="Tahoma"/>
          <w:kern w:val="22"/>
          <w:szCs w:val="18"/>
        </w:rPr>
      </w:pPr>
    </w:p>
    <w:p w14:paraId="032DDC01" w14:textId="77777777" w:rsidR="00F239C1" w:rsidRDefault="00F239C1" w:rsidP="009F5B73">
      <w:pPr>
        <w:pStyle w:val="EC-Title-6"/>
        <w:outlineLvl w:val="1"/>
        <w:rPr>
          <w:rFonts w:cs="Tahoma"/>
        </w:rPr>
      </w:pPr>
      <w:r w:rsidRPr="00C82DDE">
        <w:rPr>
          <w:rFonts w:cs="Tahoma"/>
        </w:rPr>
        <w:t xml:space="preserve">Interpretation </w:t>
      </w:r>
    </w:p>
    <w:p w14:paraId="115DB49C" w14:textId="77777777" w:rsidR="00F239C1" w:rsidRDefault="00F239C1" w:rsidP="00F239C1">
      <w:pPr>
        <w:pStyle w:val="EC-Para"/>
        <w:jc w:val="both"/>
        <w:rPr>
          <w:rFonts w:cs="Tahoma"/>
          <w:lang w:eastAsia="en-US"/>
        </w:rPr>
      </w:pPr>
      <w:r w:rsidRPr="00D45E3C">
        <w:rPr>
          <w:rFonts w:eastAsiaTheme="minorHAnsi" w:cs="Tahoma"/>
          <w:lang w:eastAsia="en-US"/>
        </w:rPr>
        <w:t xml:space="preserve">The </w:t>
      </w:r>
      <w:r>
        <w:rPr>
          <w:rFonts w:eastAsiaTheme="minorHAnsi" w:cs="Tahoma"/>
          <w:lang w:eastAsia="en-US"/>
        </w:rPr>
        <w:t>data</w:t>
      </w:r>
      <w:r w:rsidRPr="00D45E3C">
        <w:rPr>
          <w:rFonts w:eastAsiaTheme="minorHAnsi" w:cs="Tahoma"/>
          <w:lang w:eastAsia="en-US"/>
        </w:rPr>
        <w:t xml:space="preserve">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w:t>
      </w:r>
      <w:r w:rsidRPr="00D45E3C">
        <w:rPr>
          <w:rFonts w:cs="Tahoma"/>
        </w:rPr>
        <w:t xml:space="preserve"> </w:t>
      </w:r>
      <w:r>
        <w:rPr>
          <w:rFonts w:cs="Tahoma"/>
        </w:rPr>
        <w:t xml:space="preserve">and so does </w:t>
      </w:r>
      <w:r w:rsidRPr="00C845AB">
        <w:rPr>
          <w:rFonts w:cs="Tahoma"/>
          <w:lang w:eastAsia="en-US"/>
        </w:rPr>
        <w:t xml:space="preserve">case under-ascertainment </w:t>
      </w:r>
      <w:r>
        <w:rPr>
          <w:rFonts w:cs="Tahoma"/>
          <w:lang w:eastAsia="en-US"/>
        </w:rPr>
        <w:t xml:space="preserve">and under-reporting </w:t>
      </w:r>
      <w:r w:rsidRPr="00C845AB">
        <w:rPr>
          <w:rFonts w:cs="Tahoma"/>
          <w:lang w:eastAsia="en-US"/>
        </w:rPr>
        <w:t>between countries</w:t>
      </w:r>
      <w:r>
        <w:rPr>
          <w:rFonts w:cs="Tahoma"/>
          <w:lang w:eastAsia="en-US"/>
        </w:rPr>
        <w:t xml:space="preserve">. </w:t>
      </w:r>
    </w:p>
    <w:p w14:paraId="52E67886" w14:textId="6FF65F5E" w:rsidR="00F239C1" w:rsidRPr="00194CB8" w:rsidRDefault="00F239C1" w:rsidP="00F239C1">
      <w:pPr>
        <w:pStyle w:val="EC-Para"/>
        <w:jc w:val="both"/>
        <w:rPr>
          <w:rFonts w:eastAsia="Times New Roman"/>
          <w:lang w:eastAsia="en-US"/>
        </w:rPr>
      </w:pPr>
      <w:r w:rsidRPr="00963B17">
        <w:t xml:space="preserve">The notification of brucellosis in humans is mandatory in all </w:t>
      </w:r>
      <w:r w:rsidR="002E4BF3">
        <w:t>EU</w:t>
      </w:r>
      <w:r w:rsidR="000F35AE">
        <w:t>/EEA countries</w:t>
      </w:r>
      <w:r w:rsidR="00B2744B">
        <w:t xml:space="preserve">, </w:t>
      </w:r>
      <w:r w:rsidR="002E4BF3" w:rsidRPr="00963B17">
        <w:t xml:space="preserve">except </w:t>
      </w:r>
      <w:r w:rsidR="00242F1E">
        <w:t xml:space="preserve">in </w:t>
      </w:r>
      <w:r w:rsidR="002E4BF3" w:rsidRPr="00963B17">
        <w:t>Belgium</w:t>
      </w:r>
      <w:r w:rsidR="0015029C">
        <w:t>.</w:t>
      </w:r>
      <w:r w:rsidRPr="00963B17">
        <w:t xml:space="preserve"> </w:t>
      </w:r>
      <w:r w:rsidR="00840110" w:rsidRPr="00194CB8">
        <w:t>In Denmark, brucellosis is n</w:t>
      </w:r>
      <w:r w:rsidR="00840110">
        <w:t>either</w:t>
      </w:r>
      <w:r w:rsidR="00840110" w:rsidRPr="00194CB8">
        <w:t xml:space="preserve"> notifiable no</w:t>
      </w:r>
      <w:r w:rsidR="00840110">
        <w:t>r</w:t>
      </w:r>
      <w:r w:rsidR="00840110" w:rsidRPr="00194CB8">
        <w:t xml:space="preserve"> </w:t>
      </w:r>
      <w:r w:rsidR="00840110">
        <w:t xml:space="preserve">under </w:t>
      </w:r>
      <w:r w:rsidR="00840110" w:rsidRPr="00194CB8">
        <w:t>surveillance.</w:t>
      </w:r>
      <w:r w:rsidR="00840110">
        <w:t xml:space="preserve"> </w:t>
      </w:r>
      <w:r w:rsidR="0015029C">
        <w:t>T</w:t>
      </w:r>
      <w:r w:rsidRPr="00963B17">
        <w:t xml:space="preserve">he </w:t>
      </w:r>
      <w:r w:rsidR="0057610B">
        <w:t xml:space="preserve">surveillance systems have full national coverage in all reporting countries also in the </w:t>
      </w:r>
      <w:r w:rsidRPr="00963B17">
        <w:t xml:space="preserve">voluntary </w:t>
      </w:r>
      <w:r w:rsidRPr="001154B2">
        <w:t>surveillance system in Belgium</w:t>
      </w:r>
      <w:r w:rsidRPr="00194CB8">
        <w:t xml:space="preserve">. </w:t>
      </w:r>
      <w:r w:rsidR="00E94BE6">
        <w:rPr>
          <w:rFonts w:cs="Tahoma"/>
        </w:rPr>
        <w:t xml:space="preserve">In Belgium, full national coverage was established in 2015 and rates before this date are not displayed. </w:t>
      </w:r>
      <w:r w:rsidR="0005487E">
        <w:rPr>
          <w:rFonts w:cs="Tahoma"/>
        </w:rPr>
        <w:t>For 20</w:t>
      </w:r>
      <w:r w:rsidR="007421E3">
        <w:rPr>
          <w:rFonts w:cs="Tahoma"/>
        </w:rPr>
        <w:t>20</w:t>
      </w:r>
      <w:r w:rsidR="005C48BE">
        <w:rPr>
          <w:rFonts w:cs="Tahoma"/>
        </w:rPr>
        <w:t>-202</w:t>
      </w:r>
      <w:r w:rsidR="00503F07">
        <w:rPr>
          <w:rFonts w:cs="Tahoma"/>
        </w:rPr>
        <w:t>1</w:t>
      </w:r>
      <w:r w:rsidR="0005487E">
        <w:rPr>
          <w:rFonts w:cs="Tahoma"/>
        </w:rPr>
        <w:t>, Spain has not received data from all regions and rate</w:t>
      </w:r>
      <w:r w:rsidR="00503F07">
        <w:rPr>
          <w:rFonts w:cs="Tahoma"/>
        </w:rPr>
        <w:t>s</w:t>
      </w:r>
      <w:r w:rsidR="0005487E">
        <w:rPr>
          <w:rFonts w:cs="Tahoma"/>
        </w:rPr>
        <w:t xml:space="preserve"> </w:t>
      </w:r>
      <w:r w:rsidR="00503F07">
        <w:rPr>
          <w:rFonts w:cs="Tahoma"/>
        </w:rPr>
        <w:t>are</w:t>
      </w:r>
      <w:r w:rsidR="0005487E">
        <w:rPr>
          <w:rFonts w:cs="Tahoma"/>
        </w:rPr>
        <w:t xml:space="preserve"> therefore not displayed for th</w:t>
      </w:r>
      <w:r w:rsidR="00503F07">
        <w:rPr>
          <w:rFonts w:cs="Tahoma"/>
        </w:rPr>
        <w:t>ese</w:t>
      </w:r>
      <w:r w:rsidR="0005487E">
        <w:rPr>
          <w:rFonts w:cs="Tahoma"/>
        </w:rPr>
        <w:t xml:space="preserve"> year</w:t>
      </w:r>
      <w:r w:rsidR="00503F07">
        <w:rPr>
          <w:rFonts w:cs="Tahoma"/>
        </w:rPr>
        <w:t>s</w:t>
      </w:r>
      <w:r w:rsidR="002A43B5">
        <w:rPr>
          <w:rFonts w:cs="Tahoma"/>
        </w:rPr>
        <w:t>.</w:t>
      </w:r>
      <w:r w:rsidRPr="00194CB8">
        <w:t xml:space="preserve"> All reporting countries </w:t>
      </w:r>
      <w:r w:rsidRPr="00194CB8">
        <w:rPr>
          <w:lang w:eastAsia="en-US"/>
        </w:rPr>
        <w:t xml:space="preserve">report case-based data except </w:t>
      </w:r>
      <w:r w:rsidR="007D49D8">
        <w:rPr>
          <w:lang w:eastAsia="en-US"/>
        </w:rPr>
        <w:t>Bulgaria</w:t>
      </w:r>
      <w:r w:rsidR="000854D1">
        <w:rPr>
          <w:lang w:eastAsia="en-US"/>
        </w:rPr>
        <w:t>,</w:t>
      </w:r>
      <w:r w:rsidR="007D49D8" w:rsidRPr="00194CB8">
        <w:rPr>
          <w:lang w:eastAsia="en-US"/>
        </w:rPr>
        <w:t xml:space="preserve"> </w:t>
      </w:r>
      <w:r w:rsidRPr="00194CB8">
        <w:t>which report</w:t>
      </w:r>
      <w:r w:rsidR="009E25F4">
        <w:t>ed</w:t>
      </w:r>
      <w:r w:rsidRPr="00194CB8">
        <w:t xml:space="preserve"> aggregate data. </w:t>
      </w:r>
      <w:r w:rsidR="00BB2FEF">
        <w:t>Aggregated</w:t>
      </w:r>
      <w:r w:rsidR="00BB2FEF" w:rsidRPr="004C1587">
        <w:t xml:space="preserve"> reporting format</w:t>
      </w:r>
      <w:r w:rsidR="00C96C10">
        <w:t xml:space="preserve"> was</w:t>
      </w:r>
      <w:r w:rsidR="00BB2FEF" w:rsidRPr="004C1587">
        <w:t xml:space="preserve"> included to calculate numbers of cases</w:t>
      </w:r>
      <w:r w:rsidR="00BB2FEF">
        <w:t xml:space="preserve"> and </w:t>
      </w:r>
      <w:r w:rsidR="00BB2FEF" w:rsidRPr="004C1587">
        <w:t xml:space="preserve">notification rates, </w:t>
      </w:r>
      <w:r w:rsidR="00BB2FEF">
        <w:t xml:space="preserve">as well as </w:t>
      </w:r>
      <w:r w:rsidR="00BB2FEF" w:rsidRPr="004C1587">
        <w:t xml:space="preserve">disease trends, </w:t>
      </w:r>
      <w:r w:rsidR="00BB2FEF">
        <w:t>a</w:t>
      </w:r>
      <w:r w:rsidR="00BB2FEF" w:rsidRPr="004C1587">
        <w:t>ge and gender distributions</w:t>
      </w:r>
      <w:r w:rsidR="00BB2FEF">
        <w:t xml:space="preserve"> when this data was available</w:t>
      </w:r>
      <w:r w:rsidRPr="00194CB8">
        <w:t>.</w:t>
      </w:r>
      <w:r w:rsidR="001C4E99">
        <w:t xml:space="preserve"> </w:t>
      </w:r>
      <w:r w:rsidR="001C4E99" w:rsidRPr="001C4E99">
        <w:t xml:space="preserve">The COVID-19 pandemic </w:t>
      </w:r>
      <w:r w:rsidR="003533FA">
        <w:t>seem</w:t>
      </w:r>
      <w:r w:rsidR="0021746E">
        <w:t xml:space="preserve">s to have impacted on brucellosis </w:t>
      </w:r>
      <w:r w:rsidR="002B3D57">
        <w:t>surveilla</w:t>
      </w:r>
      <w:r w:rsidR="002B3D57" w:rsidRPr="00C06D7F">
        <w:t xml:space="preserve">nce data </w:t>
      </w:r>
      <w:r w:rsidR="0021746E" w:rsidRPr="00C06D7F">
        <w:t>in 2020</w:t>
      </w:r>
      <w:r w:rsidR="004137EF" w:rsidRPr="00C06D7F">
        <w:t>-2021</w:t>
      </w:r>
      <w:r w:rsidR="0021746E" w:rsidRPr="00C06D7F">
        <w:t>.</w:t>
      </w:r>
      <w:r w:rsidR="0021746E">
        <w:t xml:space="preserve"> </w:t>
      </w:r>
      <w:r w:rsidR="001C4E99" w:rsidRPr="001C4E99">
        <w:t xml:space="preserve">Factors mentioned by countries resulting in lower case numbers were e.g. people avoiding </w:t>
      </w:r>
      <w:proofErr w:type="gramStart"/>
      <w:r w:rsidR="001C4E99" w:rsidRPr="001C4E99">
        <w:t>to seek</w:t>
      </w:r>
      <w:proofErr w:type="gramEnd"/>
      <w:r w:rsidR="001C4E99" w:rsidRPr="001C4E99">
        <w:t xml:space="preserve"> medical care for mild symptoms due to risk of exposure to COVID-19 in health care facilities</w:t>
      </w:r>
      <w:r w:rsidR="001C4E99">
        <w:t xml:space="preserve"> and</w:t>
      </w:r>
      <w:r w:rsidR="001C4E99" w:rsidRPr="001C4E99">
        <w:t xml:space="preserve"> less travel due to travel restriction etc.</w:t>
      </w:r>
    </w:p>
    <w:p w14:paraId="6EAA91D5" w14:textId="69A5EEA9" w:rsidR="00F239C1" w:rsidRDefault="00F239C1" w:rsidP="00F239C1">
      <w:pPr>
        <w:pStyle w:val="EC-Para"/>
        <w:jc w:val="both"/>
        <w:rPr>
          <w:rFonts w:cs="Tahoma"/>
          <w:lang w:eastAsia="en-US"/>
        </w:rPr>
      </w:pPr>
      <w:r w:rsidRPr="00EA31E5">
        <w:rPr>
          <w:rFonts w:cs="Tahoma"/>
          <w:lang w:eastAsia="en-US"/>
        </w:rPr>
        <w:t xml:space="preserve">The completeness of some variables such as hospitalisation, outcome or </w:t>
      </w:r>
      <w:r>
        <w:rPr>
          <w:rFonts w:cs="Tahoma"/>
          <w:lang w:eastAsia="en-US"/>
        </w:rPr>
        <w:t>travel history</w:t>
      </w:r>
      <w:r w:rsidRPr="00EA31E5">
        <w:rPr>
          <w:rFonts w:cs="Tahoma"/>
          <w:lang w:eastAsia="en-US"/>
        </w:rPr>
        <w:t xml:space="preserve"> var</w:t>
      </w:r>
      <w:r>
        <w:rPr>
          <w:rFonts w:cs="Tahoma"/>
          <w:lang w:eastAsia="en-US"/>
        </w:rPr>
        <w:t>ies</w:t>
      </w:r>
      <w:r w:rsidRPr="00EA31E5">
        <w:rPr>
          <w:rFonts w:cs="Tahoma"/>
          <w:lang w:eastAsia="en-US"/>
        </w:rPr>
        <w:t xml:space="preserve"> between countries and years; some countries </w:t>
      </w:r>
      <w:proofErr w:type="gramStart"/>
      <w:r w:rsidRPr="00EA31E5">
        <w:rPr>
          <w:rFonts w:cs="Tahoma"/>
          <w:lang w:eastAsia="en-US"/>
        </w:rPr>
        <w:t>are able to</w:t>
      </w:r>
      <w:proofErr w:type="gramEnd"/>
      <w:r w:rsidRPr="00EA31E5">
        <w:rPr>
          <w:rFonts w:cs="Tahoma"/>
          <w:lang w:eastAsia="en-US"/>
        </w:rPr>
        <w:t xml:space="preserve"> collect and integrate this type of information from different sources, other countries are not. </w:t>
      </w:r>
      <w:r w:rsidRPr="00C845AB">
        <w:rPr>
          <w:rFonts w:cs="Tahoma"/>
          <w:lang w:eastAsia="en-US"/>
        </w:rPr>
        <w:t>Even if overall data completeness is high for some variables, the reader should refrain from direct</w:t>
      </w:r>
      <w:r>
        <w:rPr>
          <w:rFonts w:cs="Tahoma"/>
          <w:lang w:eastAsia="en-US"/>
        </w:rPr>
        <w:t>ly</w:t>
      </w:r>
      <w:r w:rsidRPr="00C845AB">
        <w:rPr>
          <w:rFonts w:cs="Tahoma"/>
          <w:lang w:eastAsia="en-US"/>
        </w:rPr>
        <w:t xml:space="preserve"> compari</w:t>
      </w:r>
      <w:r>
        <w:rPr>
          <w:rFonts w:cs="Tahoma"/>
          <w:lang w:eastAsia="en-US"/>
        </w:rPr>
        <w:t>ng</w:t>
      </w:r>
      <w:r w:rsidRPr="00C845AB">
        <w:rPr>
          <w:rFonts w:cs="Tahoma"/>
          <w:lang w:eastAsia="en-US"/>
        </w:rPr>
        <w:t xml:space="preserve"> countries witho</w:t>
      </w:r>
      <w:r>
        <w:rPr>
          <w:rFonts w:cs="Tahoma"/>
          <w:lang w:eastAsia="en-US"/>
        </w:rPr>
        <w:t xml:space="preserve">ut </w:t>
      </w:r>
      <w:proofErr w:type="gramStart"/>
      <w:r>
        <w:rPr>
          <w:rFonts w:cs="Tahoma"/>
          <w:lang w:eastAsia="en-US"/>
        </w:rPr>
        <w:t>taking into account</w:t>
      </w:r>
      <w:proofErr w:type="gramEnd"/>
      <w:r>
        <w:rPr>
          <w:rFonts w:cs="Tahoma"/>
          <w:lang w:eastAsia="en-US"/>
        </w:rPr>
        <w:t xml:space="preserve"> </w:t>
      </w:r>
      <w:r w:rsidRPr="00C845AB">
        <w:rPr>
          <w:rFonts w:cs="Tahoma"/>
          <w:lang w:eastAsia="en-US"/>
        </w:rPr>
        <w:t>limitations.</w:t>
      </w:r>
      <w:r w:rsidRPr="00EA31E5">
        <w:rPr>
          <w:rFonts w:cs="Tahoma"/>
          <w:lang w:eastAsia="en-US"/>
        </w:rPr>
        <w:t xml:space="preserve"> </w:t>
      </w:r>
    </w:p>
    <w:p w14:paraId="1DC1BC69" w14:textId="77777777" w:rsidR="001B59F8" w:rsidRPr="00EA31E5" w:rsidRDefault="001B59F8" w:rsidP="00F239C1">
      <w:pPr>
        <w:pStyle w:val="EC-Para"/>
        <w:jc w:val="both"/>
        <w:rPr>
          <w:rFonts w:cs="Tahoma"/>
          <w:lang w:eastAsia="en-US"/>
        </w:rPr>
      </w:pPr>
    </w:p>
    <w:p w14:paraId="20A97A76" w14:textId="77777777" w:rsidR="00F239C1" w:rsidRDefault="00F239C1" w:rsidP="009F5B73">
      <w:pPr>
        <w:pStyle w:val="EC-Title-6"/>
        <w:outlineLvl w:val="1"/>
        <w:rPr>
          <w:rFonts w:cs="Tahoma"/>
          <w:color w:val="FF0000"/>
          <w:sz w:val="20"/>
          <w:szCs w:val="20"/>
        </w:rPr>
      </w:pPr>
      <w:r>
        <w:t xml:space="preserve">Reports published by ECDC on brucellosis </w:t>
      </w:r>
    </w:p>
    <w:p w14:paraId="20CBD1DE" w14:textId="77777777" w:rsidR="00F239C1" w:rsidRDefault="00F239C1" w:rsidP="00F239C1">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42A28751" w14:textId="77777777" w:rsidR="00D1043F" w:rsidRDefault="00D1043F" w:rsidP="00F239C1">
      <w:pPr>
        <w:pStyle w:val="EC-Para"/>
      </w:pPr>
    </w:p>
    <w:p w14:paraId="74C43B45" w14:textId="7F219E90" w:rsidR="00BA7327" w:rsidRDefault="00BA7327" w:rsidP="00BA7327">
      <w:pPr>
        <w:pStyle w:val="EC-Para"/>
        <w:spacing w:after="0"/>
      </w:pPr>
      <w:r w:rsidRPr="00D1043F">
        <w:rPr>
          <w:rFonts w:eastAsiaTheme="minorHAnsi" w:cs="Tahoma"/>
          <w:b/>
          <w:lang w:eastAsia="en-US"/>
        </w:rPr>
        <w:t>Annual epidemiological report for 202</w:t>
      </w:r>
      <w:r w:rsidR="006F3C4E">
        <w:rPr>
          <w:rFonts w:eastAsiaTheme="minorHAnsi" w:cs="Tahoma"/>
          <w:b/>
          <w:lang w:eastAsia="en-US"/>
        </w:rPr>
        <w:t>2</w:t>
      </w:r>
      <w:r w:rsidRPr="00D1043F">
        <w:rPr>
          <w:rFonts w:eastAsiaTheme="minorHAnsi" w:cs="Tahoma"/>
          <w:b/>
          <w:lang w:eastAsia="en-US"/>
        </w:rPr>
        <w:t xml:space="preserve"> – Brucellosis:</w:t>
      </w:r>
      <w:r w:rsidRPr="00D1043F">
        <w:t xml:space="preserve"> </w:t>
      </w:r>
    </w:p>
    <w:p w14:paraId="0F2D33C5" w14:textId="163F706A" w:rsidR="006F3C4E" w:rsidRDefault="00000000" w:rsidP="00BA7327">
      <w:pPr>
        <w:pStyle w:val="EC-Para"/>
        <w:spacing w:after="0"/>
      </w:pPr>
      <w:hyperlink r:id="rId20" w:history="1">
        <w:r w:rsidR="007D6C4B" w:rsidRPr="007D6C4B">
          <w:rPr>
            <w:rStyle w:val="Hyperlink"/>
            <w:sz w:val="18"/>
          </w:rPr>
          <w:t>Brucellosis - Annual epidemiological report (europa.eu)</w:t>
        </w:r>
      </w:hyperlink>
    </w:p>
    <w:p w14:paraId="61B2FBFA" w14:textId="77777777" w:rsidR="00BA7327" w:rsidRPr="00D1043F" w:rsidRDefault="00BA7327" w:rsidP="00BA7327">
      <w:pPr>
        <w:pStyle w:val="EC-Para"/>
        <w:spacing w:after="0"/>
        <w:rPr>
          <w:rFonts w:eastAsiaTheme="minorHAnsi" w:cs="Tahoma"/>
          <w:bCs/>
          <w:lang w:eastAsia="en-US"/>
        </w:rPr>
      </w:pPr>
    </w:p>
    <w:p w14:paraId="58BFF50A" w14:textId="49D770AF" w:rsidR="00910810" w:rsidRPr="00D1043F" w:rsidRDefault="005833ED" w:rsidP="005833ED">
      <w:pPr>
        <w:pStyle w:val="EC-Para"/>
        <w:spacing w:after="0"/>
        <w:jc w:val="both"/>
        <w:rPr>
          <w:b/>
        </w:rPr>
      </w:pPr>
      <w:r w:rsidRPr="00D1043F">
        <w:rPr>
          <w:b/>
        </w:rPr>
        <w:t>EFSA and ECDC (European Food Safety Authority and European Centre for Disease Prevention and Control), 20</w:t>
      </w:r>
      <w:r w:rsidR="003533FA" w:rsidRPr="00D1043F">
        <w:rPr>
          <w:b/>
        </w:rPr>
        <w:t>2</w:t>
      </w:r>
      <w:r w:rsidR="00D34D77">
        <w:rPr>
          <w:b/>
        </w:rPr>
        <w:t>3</w:t>
      </w:r>
      <w:r w:rsidRPr="00D1043F">
        <w:rPr>
          <w:b/>
        </w:rPr>
        <w:t>. The European Union One Health 20</w:t>
      </w:r>
      <w:r w:rsidR="00A1421E" w:rsidRPr="00D1043F">
        <w:rPr>
          <w:b/>
        </w:rPr>
        <w:t>2</w:t>
      </w:r>
      <w:r w:rsidR="007343E7">
        <w:rPr>
          <w:b/>
        </w:rPr>
        <w:t>2</w:t>
      </w:r>
      <w:r w:rsidRPr="00D1043F">
        <w:rPr>
          <w:b/>
        </w:rPr>
        <w:t xml:space="preserve"> Zoonoses Report</w:t>
      </w:r>
      <w:r w:rsidR="00BA7327">
        <w:rPr>
          <w:b/>
        </w:rPr>
        <w:t xml:space="preserve"> (December 2023)</w:t>
      </w:r>
      <w:r w:rsidRPr="00D1043F">
        <w:rPr>
          <w:b/>
        </w:rPr>
        <w:t>:</w:t>
      </w:r>
    </w:p>
    <w:p w14:paraId="16BAFD48" w14:textId="657DFABE" w:rsidR="00F239C1" w:rsidRPr="00EE292B" w:rsidRDefault="00EE292B">
      <w:pPr>
        <w:spacing w:after="200" w:line="276" w:lineRule="auto"/>
        <w:rPr>
          <w:rFonts w:eastAsia="Arial Unicode MS"/>
          <w:color w:val="69AE23"/>
          <w:kern w:val="22"/>
          <w:szCs w:val="18"/>
        </w:rPr>
      </w:pPr>
      <w:r w:rsidRPr="00EE292B">
        <w:rPr>
          <w:color w:val="69AE23"/>
          <w:szCs w:val="18"/>
        </w:rPr>
        <w:t>https://efsa.onlinelibrary.wiley.com/doi/epdf/10.2903/j.efsa.2023.8442</w:t>
      </w:r>
      <w:r w:rsidR="00F239C1" w:rsidRPr="00EE292B">
        <w:rPr>
          <w:color w:val="69AE23"/>
          <w:szCs w:val="18"/>
        </w:rPr>
        <w:br w:type="page"/>
      </w:r>
    </w:p>
    <w:p w14:paraId="1E935F4B" w14:textId="1F81D034" w:rsidR="00F239C1" w:rsidRDefault="00F239C1" w:rsidP="009F5B73">
      <w:pPr>
        <w:pStyle w:val="EC-Title-6"/>
        <w:outlineLvl w:val="1"/>
      </w:pPr>
      <w:r>
        <w:lastRenderedPageBreak/>
        <w:t xml:space="preserve">Annex 1. Surveillance systems overview, </w:t>
      </w:r>
      <w:r w:rsidR="00D3551D">
        <w:t>2</w:t>
      </w:r>
      <w:r w:rsidR="00D3551D">
        <w:t>02</w:t>
      </w:r>
      <w:r w:rsidR="00370D2B">
        <w:t>3</w:t>
      </w:r>
    </w:p>
    <w:tbl>
      <w:tblPr>
        <w:tblW w:w="9879" w:type="dxa"/>
        <w:tblInd w:w="-5" w:type="dxa"/>
        <w:tblLook w:val="04A0" w:firstRow="1" w:lastRow="0" w:firstColumn="1" w:lastColumn="0" w:noHBand="0" w:noVBand="1"/>
      </w:tblPr>
      <w:tblGrid>
        <w:gridCol w:w="1026"/>
        <w:gridCol w:w="2964"/>
        <w:gridCol w:w="570"/>
        <w:gridCol w:w="570"/>
        <w:gridCol w:w="570"/>
        <w:gridCol w:w="570"/>
        <w:gridCol w:w="570"/>
        <w:gridCol w:w="570"/>
        <w:gridCol w:w="570"/>
        <w:gridCol w:w="570"/>
        <w:gridCol w:w="1489"/>
      </w:tblGrid>
      <w:tr w:rsidR="00D70C92" w:rsidRPr="00FE46B6" w14:paraId="7B419348" w14:textId="77777777" w:rsidTr="00034328">
        <w:trPr>
          <w:trHeight w:val="290"/>
        </w:trPr>
        <w:tc>
          <w:tcPr>
            <w:tcW w:w="1026"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C4ED090" w14:textId="77777777" w:rsidR="004137EF" w:rsidRPr="009846E5" w:rsidRDefault="004137EF" w:rsidP="004137EF">
            <w:pPr>
              <w:rPr>
                <w:rFonts w:eastAsia="Times New Roman" w:cs="Tahoma"/>
                <w:b/>
                <w:bCs/>
                <w:color w:val="FFFFFF"/>
                <w:sz w:val="14"/>
                <w:szCs w:val="14"/>
                <w:lang w:eastAsia="en-GB"/>
              </w:rPr>
            </w:pPr>
            <w:r w:rsidRPr="009846E5">
              <w:rPr>
                <w:rFonts w:eastAsia="Times New Roman" w:cs="Tahoma"/>
                <w:b/>
                <w:bCs/>
                <w:color w:val="FFFFFF"/>
                <w:sz w:val="14"/>
                <w:szCs w:val="14"/>
                <w:lang w:eastAsia="en-GB"/>
              </w:rPr>
              <w:t>Country</w:t>
            </w:r>
          </w:p>
        </w:tc>
        <w:tc>
          <w:tcPr>
            <w:tcW w:w="2964"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6A4098A" w14:textId="77777777" w:rsidR="004137EF" w:rsidRPr="009846E5" w:rsidRDefault="004137EF" w:rsidP="004137EF">
            <w:pPr>
              <w:rPr>
                <w:rFonts w:eastAsia="Times New Roman" w:cs="Tahoma"/>
                <w:b/>
                <w:bCs/>
                <w:color w:val="FFFFFF"/>
                <w:sz w:val="14"/>
                <w:szCs w:val="14"/>
                <w:lang w:eastAsia="en-GB"/>
              </w:rPr>
            </w:pPr>
            <w:r w:rsidRPr="009846E5">
              <w:rPr>
                <w:rFonts w:eastAsia="Times New Roman" w:cs="Tahoma"/>
                <w:b/>
                <w:bCs/>
                <w:color w:val="FFFFFF"/>
                <w:sz w:val="14"/>
                <w:szCs w:val="14"/>
                <w:lang w:eastAsia="en-GB"/>
              </w:rPr>
              <w:t>Data source</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E0EDC2E" w14:textId="77777777" w:rsidR="004137EF" w:rsidRPr="009846E5" w:rsidRDefault="004137EF" w:rsidP="004137EF">
            <w:pPr>
              <w:jc w:val="center"/>
              <w:rPr>
                <w:rFonts w:eastAsia="Times New Roman" w:cs="Tahoma"/>
                <w:b/>
                <w:bCs/>
                <w:color w:val="FFFFFF"/>
                <w:sz w:val="14"/>
                <w:szCs w:val="14"/>
                <w:lang w:eastAsia="en-GB"/>
              </w:rPr>
            </w:pPr>
            <w:r w:rsidRPr="009846E5">
              <w:rPr>
                <w:rFonts w:eastAsia="Times New Roman" w:cs="Tahoma"/>
                <w:b/>
                <w:bCs/>
                <w:color w:val="FFFFFF"/>
                <w:sz w:val="14"/>
                <w:szCs w:val="14"/>
                <w:lang w:eastAsia="en-GB"/>
              </w:rPr>
              <w:t>Compulsory (Cp), voluntary (V), other(O)</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B21C3E0" w14:textId="77777777" w:rsidR="004137EF" w:rsidRPr="009846E5" w:rsidRDefault="004137EF" w:rsidP="004137EF">
            <w:pPr>
              <w:jc w:val="center"/>
              <w:rPr>
                <w:rFonts w:eastAsia="Times New Roman" w:cs="Tahoma"/>
                <w:b/>
                <w:bCs/>
                <w:color w:val="FFFFFF"/>
                <w:sz w:val="14"/>
                <w:szCs w:val="14"/>
                <w:lang w:eastAsia="en-GB"/>
              </w:rPr>
            </w:pPr>
            <w:r w:rsidRPr="009846E5">
              <w:rPr>
                <w:rFonts w:eastAsia="Times New Roman" w:cs="Tahoma"/>
                <w:b/>
                <w:bCs/>
                <w:color w:val="FFFFFF"/>
                <w:sz w:val="14"/>
                <w:szCs w:val="14"/>
                <w:lang w:eastAsia="en-GB"/>
              </w:rPr>
              <w:t>Comprehensive (Co), sentinel (Se), other(O)</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9644941" w14:textId="77777777" w:rsidR="004137EF" w:rsidRPr="009846E5" w:rsidRDefault="004137EF" w:rsidP="004137EF">
            <w:pPr>
              <w:jc w:val="center"/>
              <w:rPr>
                <w:rFonts w:eastAsia="Times New Roman" w:cs="Tahoma"/>
                <w:b/>
                <w:bCs/>
                <w:color w:val="FFFFFF"/>
                <w:sz w:val="14"/>
                <w:szCs w:val="14"/>
                <w:lang w:eastAsia="en-GB"/>
              </w:rPr>
            </w:pPr>
            <w:r w:rsidRPr="009846E5">
              <w:rPr>
                <w:rFonts w:eastAsia="Times New Roman" w:cs="Tahoma"/>
                <w:b/>
                <w:bCs/>
                <w:color w:val="FFFFFF"/>
                <w:sz w:val="14"/>
                <w:szCs w:val="14"/>
                <w:lang w:eastAsia="en-GB"/>
              </w:rPr>
              <w:t>Active (A), passive (P)</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75B3D7F" w14:textId="77777777" w:rsidR="004137EF" w:rsidRPr="009846E5" w:rsidRDefault="004137EF" w:rsidP="004137EF">
            <w:pPr>
              <w:jc w:val="center"/>
              <w:rPr>
                <w:rFonts w:eastAsia="Times New Roman" w:cs="Tahoma"/>
                <w:b/>
                <w:bCs/>
                <w:color w:val="FFFFFF"/>
                <w:sz w:val="14"/>
                <w:szCs w:val="14"/>
                <w:lang w:eastAsia="en-GB"/>
              </w:rPr>
            </w:pPr>
            <w:r w:rsidRPr="009846E5">
              <w:rPr>
                <w:rFonts w:eastAsia="Times New Roman" w:cs="Tahoma"/>
                <w:b/>
                <w:bCs/>
                <w:color w:val="FFFFFF"/>
                <w:sz w:val="14"/>
                <w:szCs w:val="14"/>
                <w:lang w:eastAsia="en-GB"/>
              </w:rPr>
              <w:t>Case-based (C), aggregated (A)</w:t>
            </w:r>
          </w:p>
        </w:tc>
        <w:tc>
          <w:tcPr>
            <w:tcW w:w="2200" w:type="dxa"/>
            <w:gridSpan w:val="4"/>
            <w:tcBorders>
              <w:top w:val="single" w:sz="4" w:space="0" w:color="auto"/>
              <w:left w:val="nil"/>
              <w:bottom w:val="single" w:sz="4" w:space="0" w:color="auto"/>
              <w:right w:val="single" w:sz="4" w:space="0" w:color="auto"/>
            </w:tcBorders>
            <w:shd w:val="clear" w:color="000000" w:fill="69AE23"/>
            <w:noWrap/>
            <w:hideMark/>
          </w:tcPr>
          <w:p w14:paraId="125306C8" w14:textId="77777777" w:rsidR="004137EF" w:rsidRPr="009846E5" w:rsidRDefault="004137EF" w:rsidP="004137EF">
            <w:pPr>
              <w:jc w:val="center"/>
              <w:rPr>
                <w:rFonts w:eastAsia="Times New Roman" w:cs="Tahoma"/>
                <w:b/>
                <w:bCs/>
                <w:color w:val="FFFFFF"/>
                <w:sz w:val="14"/>
                <w:szCs w:val="14"/>
                <w:lang w:eastAsia="en-GB"/>
              </w:rPr>
            </w:pPr>
            <w:r w:rsidRPr="009846E5">
              <w:rPr>
                <w:rFonts w:eastAsia="Times New Roman" w:cs="Tahoma"/>
                <w:b/>
                <w:bCs/>
                <w:color w:val="FFFFFF"/>
                <w:sz w:val="14"/>
                <w:szCs w:val="14"/>
                <w:lang w:eastAsia="en-GB"/>
              </w:rPr>
              <w:t>Data reported by</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1637F1BD" w14:textId="77777777" w:rsidR="004137EF" w:rsidRPr="009846E5" w:rsidRDefault="004137EF" w:rsidP="004137EF">
            <w:pPr>
              <w:rPr>
                <w:rFonts w:eastAsia="Times New Roman" w:cs="Tahoma"/>
                <w:b/>
                <w:bCs/>
                <w:color w:val="FFFFFF"/>
                <w:sz w:val="14"/>
                <w:szCs w:val="14"/>
                <w:lang w:eastAsia="en-GB"/>
              </w:rPr>
            </w:pPr>
            <w:r w:rsidRPr="009846E5">
              <w:rPr>
                <w:rFonts w:eastAsia="Times New Roman" w:cs="Tahoma"/>
                <w:b/>
                <w:bCs/>
                <w:color w:val="FFFFFF"/>
                <w:sz w:val="14"/>
                <w:szCs w:val="14"/>
                <w:lang w:eastAsia="en-GB"/>
              </w:rPr>
              <w:t>Case definition used</w:t>
            </w:r>
          </w:p>
        </w:tc>
      </w:tr>
      <w:tr w:rsidR="00D70C92" w:rsidRPr="00FE46B6" w14:paraId="6C2B0F47" w14:textId="77777777" w:rsidTr="00034328">
        <w:trPr>
          <w:trHeight w:val="2769"/>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1DBC3721" w14:textId="77777777" w:rsidR="004137EF" w:rsidRPr="009846E5" w:rsidRDefault="004137EF" w:rsidP="004137EF">
            <w:pPr>
              <w:rPr>
                <w:rFonts w:eastAsia="Times New Roman" w:cs="Tahoma"/>
                <w:color w:val="FFFFFF"/>
                <w:sz w:val="14"/>
                <w:szCs w:val="14"/>
                <w:lang w:eastAsia="en-GB"/>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14:paraId="589BBE22" w14:textId="77777777" w:rsidR="004137EF" w:rsidRPr="009846E5" w:rsidRDefault="004137EF" w:rsidP="004137EF">
            <w:pPr>
              <w:rPr>
                <w:rFonts w:eastAsia="Times New Roman" w:cs="Tahoma"/>
                <w:color w:val="FFFFFF"/>
                <w:sz w:val="14"/>
                <w:szCs w:val="14"/>
                <w:lang w:eastAsia="en-GB"/>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69DA13B0" w14:textId="77777777" w:rsidR="004137EF" w:rsidRPr="009846E5" w:rsidRDefault="004137EF" w:rsidP="004137EF">
            <w:pPr>
              <w:rPr>
                <w:rFonts w:eastAsia="Times New Roman" w:cs="Tahoma"/>
                <w:color w:val="FFFFFF"/>
                <w:sz w:val="14"/>
                <w:szCs w:val="14"/>
                <w:lang w:eastAsia="en-GB"/>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6E323202" w14:textId="77777777" w:rsidR="004137EF" w:rsidRPr="009846E5" w:rsidRDefault="004137EF" w:rsidP="004137EF">
            <w:pPr>
              <w:rPr>
                <w:rFonts w:eastAsia="Times New Roman" w:cs="Tahoma"/>
                <w:color w:val="FFFFFF"/>
                <w:sz w:val="14"/>
                <w:szCs w:val="14"/>
                <w:lang w:eastAsia="en-GB"/>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16B56639" w14:textId="77777777" w:rsidR="004137EF" w:rsidRPr="009846E5" w:rsidRDefault="004137EF" w:rsidP="004137EF">
            <w:pPr>
              <w:rPr>
                <w:rFonts w:eastAsia="Times New Roman" w:cs="Tahoma"/>
                <w:color w:val="FFFFFF"/>
                <w:sz w:val="14"/>
                <w:szCs w:val="14"/>
                <w:lang w:eastAsia="en-GB"/>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481F56F9" w14:textId="77777777" w:rsidR="004137EF" w:rsidRPr="009846E5" w:rsidRDefault="004137EF" w:rsidP="004137EF">
            <w:pPr>
              <w:rPr>
                <w:rFonts w:eastAsia="Times New Roman" w:cs="Tahoma"/>
                <w:color w:val="FFFFFF"/>
                <w:sz w:val="14"/>
                <w:szCs w:val="14"/>
                <w:lang w:eastAsia="en-GB"/>
              </w:rPr>
            </w:pPr>
          </w:p>
        </w:tc>
        <w:tc>
          <w:tcPr>
            <w:tcW w:w="550" w:type="dxa"/>
            <w:tcBorders>
              <w:top w:val="nil"/>
              <w:left w:val="nil"/>
              <w:bottom w:val="nil"/>
              <w:right w:val="single" w:sz="4" w:space="0" w:color="auto"/>
            </w:tcBorders>
            <w:shd w:val="clear" w:color="000000" w:fill="69AE23"/>
            <w:noWrap/>
            <w:textDirection w:val="btLr"/>
            <w:vAlign w:val="bottom"/>
            <w:hideMark/>
          </w:tcPr>
          <w:p w14:paraId="7558661F" w14:textId="77777777" w:rsidR="004137EF" w:rsidRPr="009846E5" w:rsidRDefault="004137EF" w:rsidP="004137EF">
            <w:pPr>
              <w:jc w:val="center"/>
              <w:rPr>
                <w:rFonts w:eastAsia="Times New Roman" w:cs="Tahoma"/>
                <w:b/>
                <w:bCs/>
                <w:color w:val="FFFFFF"/>
                <w:sz w:val="14"/>
                <w:szCs w:val="14"/>
                <w:lang w:eastAsia="en-GB"/>
              </w:rPr>
            </w:pPr>
            <w:r w:rsidRPr="009846E5">
              <w:rPr>
                <w:rFonts w:eastAsia="Times New Roman" w:cs="Tahoma"/>
                <w:b/>
                <w:bCs/>
                <w:color w:val="FFFFFF"/>
                <w:sz w:val="14"/>
                <w:szCs w:val="14"/>
                <w:lang w:eastAsia="en-GB"/>
              </w:rPr>
              <w:t>Laboratories</w:t>
            </w:r>
          </w:p>
        </w:tc>
        <w:tc>
          <w:tcPr>
            <w:tcW w:w="550" w:type="dxa"/>
            <w:tcBorders>
              <w:top w:val="nil"/>
              <w:left w:val="nil"/>
              <w:bottom w:val="nil"/>
              <w:right w:val="single" w:sz="4" w:space="0" w:color="auto"/>
            </w:tcBorders>
            <w:shd w:val="clear" w:color="000000" w:fill="69AE23"/>
            <w:noWrap/>
            <w:textDirection w:val="btLr"/>
            <w:vAlign w:val="bottom"/>
            <w:hideMark/>
          </w:tcPr>
          <w:p w14:paraId="5B52A108" w14:textId="77777777" w:rsidR="004137EF" w:rsidRPr="009846E5" w:rsidRDefault="004137EF" w:rsidP="004137EF">
            <w:pPr>
              <w:jc w:val="center"/>
              <w:rPr>
                <w:rFonts w:eastAsia="Times New Roman" w:cs="Tahoma"/>
                <w:b/>
                <w:bCs/>
                <w:color w:val="FFFFFF"/>
                <w:sz w:val="14"/>
                <w:szCs w:val="14"/>
                <w:lang w:eastAsia="en-GB"/>
              </w:rPr>
            </w:pPr>
            <w:r w:rsidRPr="009846E5">
              <w:rPr>
                <w:rFonts w:eastAsia="Times New Roman" w:cs="Tahoma"/>
                <w:b/>
                <w:bCs/>
                <w:color w:val="FFFFFF"/>
                <w:sz w:val="14"/>
                <w:szCs w:val="14"/>
                <w:lang w:eastAsia="en-GB"/>
              </w:rPr>
              <w:t>Physicians</w:t>
            </w:r>
          </w:p>
        </w:tc>
        <w:tc>
          <w:tcPr>
            <w:tcW w:w="550" w:type="dxa"/>
            <w:tcBorders>
              <w:top w:val="nil"/>
              <w:left w:val="nil"/>
              <w:bottom w:val="nil"/>
              <w:right w:val="single" w:sz="4" w:space="0" w:color="auto"/>
            </w:tcBorders>
            <w:shd w:val="clear" w:color="000000" w:fill="69AE23"/>
            <w:noWrap/>
            <w:textDirection w:val="btLr"/>
            <w:vAlign w:val="bottom"/>
            <w:hideMark/>
          </w:tcPr>
          <w:p w14:paraId="0BF88DCB" w14:textId="77777777" w:rsidR="004137EF" w:rsidRPr="009846E5" w:rsidRDefault="004137EF" w:rsidP="004137EF">
            <w:pPr>
              <w:jc w:val="center"/>
              <w:rPr>
                <w:rFonts w:eastAsia="Times New Roman" w:cs="Tahoma"/>
                <w:b/>
                <w:bCs/>
                <w:color w:val="FFFFFF"/>
                <w:sz w:val="14"/>
                <w:szCs w:val="14"/>
                <w:lang w:eastAsia="en-GB"/>
              </w:rPr>
            </w:pPr>
            <w:r w:rsidRPr="009846E5">
              <w:rPr>
                <w:rFonts w:eastAsia="Times New Roman" w:cs="Tahoma"/>
                <w:b/>
                <w:bCs/>
                <w:color w:val="FFFFFF"/>
                <w:sz w:val="14"/>
                <w:szCs w:val="14"/>
                <w:lang w:eastAsia="en-GB"/>
              </w:rPr>
              <w:t>Hospitals</w:t>
            </w:r>
          </w:p>
        </w:tc>
        <w:tc>
          <w:tcPr>
            <w:tcW w:w="550" w:type="dxa"/>
            <w:tcBorders>
              <w:top w:val="nil"/>
              <w:left w:val="nil"/>
              <w:bottom w:val="nil"/>
              <w:right w:val="single" w:sz="4" w:space="0" w:color="auto"/>
            </w:tcBorders>
            <w:shd w:val="clear" w:color="000000" w:fill="69AE23"/>
            <w:noWrap/>
            <w:textDirection w:val="btLr"/>
            <w:vAlign w:val="bottom"/>
            <w:hideMark/>
          </w:tcPr>
          <w:p w14:paraId="59646F13" w14:textId="77777777" w:rsidR="004137EF" w:rsidRPr="009846E5" w:rsidRDefault="004137EF" w:rsidP="004137EF">
            <w:pPr>
              <w:jc w:val="center"/>
              <w:rPr>
                <w:rFonts w:eastAsia="Times New Roman" w:cs="Tahoma"/>
                <w:b/>
                <w:bCs/>
                <w:color w:val="FFFFFF"/>
                <w:sz w:val="14"/>
                <w:szCs w:val="14"/>
                <w:lang w:eastAsia="en-GB"/>
              </w:rPr>
            </w:pPr>
            <w:r w:rsidRPr="009846E5">
              <w:rPr>
                <w:rFonts w:eastAsia="Times New Roman" w:cs="Tahoma"/>
                <w:b/>
                <w:bCs/>
                <w:color w:val="FFFFFF"/>
                <w:sz w:val="14"/>
                <w:szCs w:val="14"/>
                <w:lang w:eastAsia="en-GB"/>
              </w:rPr>
              <w:t>Others</w:t>
            </w: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7D060CEE" w14:textId="77777777" w:rsidR="004137EF" w:rsidRPr="009846E5" w:rsidRDefault="004137EF" w:rsidP="004137EF">
            <w:pPr>
              <w:rPr>
                <w:rFonts w:eastAsia="Times New Roman" w:cs="Tahoma"/>
                <w:color w:val="FFFFFF"/>
                <w:sz w:val="14"/>
                <w:szCs w:val="14"/>
                <w:lang w:eastAsia="en-GB"/>
              </w:rPr>
            </w:pPr>
          </w:p>
        </w:tc>
      </w:tr>
      <w:tr w:rsidR="000C12BF" w:rsidRPr="00FE46B6" w14:paraId="3542F260" w14:textId="77777777" w:rsidTr="00034328">
        <w:trPr>
          <w:trHeight w:val="232"/>
        </w:trPr>
        <w:tc>
          <w:tcPr>
            <w:tcW w:w="1026" w:type="dxa"/>
            <w:tcBorders>
              <w:top w:val="single" w:sz="4" w:space="0" w:color="000000"/>
              <w:left w:val="single" w:sz="4" w:space="0" w:color="000000"/>
              <w:bottom w:val="nil"/>
              <w:right w:val="single" w:sz="4" w:space="0" w:color="auto"/>
            </w:tcBorders>
            <w:shd w:val="clear" w:color="000000" w:fill="D9D9D9"/>
            <w:noWrap/>
            <w:vAlign w:val="bottom"/>
            <w:hideMark/>
          </w:tcPr>
          <w:p w14:paraId="4AF60AB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Austria</w:t>
            </w:r>
          </w:p>
        </w:tc>
        <w:tc>
          <w:tcPr>
            <w:tcW w:w="2964" w:type="dxa"/>
            <w:tcBorders>
              <w:top w:val="single" w:sz="4" w:space="0" w:color="000000"/>
              <w:left w:val="nil"/>
              <w:bottom w:val="nil"/>
              <w:right w:val="single" w:sz="4" w:space="0" w:color="auto"/>
            </w:tcBorders>
            <w:shd w:val="clear" w:color="000000" w:fill="D9D9D9"/>
            <w:noWrap/>
            <w:vAlign w:val="bottom"/>
            <w:hideMark/>
          </w:tcPr>
          <w:p w14:paraId="5C059B9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AT-</w:t>
            </w:r>
            <w:proofErr w:type="spellStart"/>
            <w:r w:rsidRPr="009846E5">
              <w:rPr>
                <w:rFonts w:eastAsia="Times New Roman" w:cs="Tahoma"/>
                <w:sz w:val="14"/>
                <w:szCs w:val="14"/>
                <w:lang w:eastAsia="en-GB"/>
              </w:rPr>
              <w:t>Epidemiegesetz</w:t>
            </w:r>
            <w:proofErr w:type="spellEnd"/>
          </w:p>
        </w:tc>
        <w:tc>
          <w:tcPr>
            <w:tcW w:w="550" w:type="dxa"/>
            <w:tcBorders>
              <w:top w:val="single" w:sz="4" w:space="0" w:color="000000"/>
              <w:left w:val="nil"/>
              <w:bottom w:val="nil"/>
              <w:right w:val="single" w:sz="4" w:space="0" w:color="auto"/>
            </w:tcBorders>
            <w:shd w:val="clear" w:color="000000" w:fill="D9D9D9"/>
            <w:noWrap/>
            <w:vAlign w:val="bottom"/>
            <w:hideMark/>
          </w:tcPr>
          <w:p w14:paraId="5E2EE7E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single" w:sz="4" w:space="0" w:color="000000"/>
              <w:left w:val="nil"/>
              <w:bottom w:val="nil"/>
              <w:right w:val="single" w:sz="4" w:space="0" w:color="auto"/>
            </w:tcBorders>
            <w:shd w:val="clear" w:color="000000" w:fill="D9D9D9"/>
            <w:noWrap/>
            <w:vAlign w:val="bottom"/>
            <w:hideMark/>
          </w:tcPr>
          <w:p w14:paraId="4882EF3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single" w:sz="4" w:space="0" w:color="000000"/>
              <w:left w:val="nil"/>
              <w:bottom w:val="nil"/>
              <w:right w:val="single" w:sz="4" w:space="0" w:color="auto"/>
            </w:tcBorders>
            <w:shd w:val="clear" w:color="000000" w:fill="D9D9D9"/>
            <w:noWrap/>
            <w:vAlign w:val="bottom"/>
            <w:hideMark/>
          </w:tcPr>
          <w:p w14:paraId="6220059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single" w:sz="4" w:space="0" w:color="000000"/>
              <w:left w:val="nil"/>
              <w:bottom w:val="nil"/>
              <w:right w:val="single" w:sz="4" w:space="0" w:color="auto"/>
            </w:tcBorders>
            <w:shd w:val="clear" w:color="000000" w:fill="D9D9D9"/>
            <w:noWrap/>
            <w:vAlign w:val="bottom"/>
            <w:hideMark/>
          </w:tcPr>
          <w:p w14:paraId="01827DC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single" w:sz="4" w:space="0" w:color="000000"/>
              <w:left w:val="nil"/>
              <w:bottom w:val="nil"/>
              <w:right w:val="single" w:sz="4" w:space="0" w:color="auto"/>
            </w:tcBorders>
            <w:shd w:val="clear" w:color="000000" w:fill="D9D9D9"/>
            <w:noWrap/>
            <w:vAlign w:val="bottom"/>
            <w:hideMark/>
          </w:tcPr>
          <w:p w14:paraId="0620A0B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single" w:sz="4" w:space="0" w:color="000000"/>
              <w:left w:val="nil"/>
              <w:bottom w:val="nil"/>
              <w:right w:val="single" w:sz="4" w:space="0" w:color="auto"/>
            </w:tcBorders>
            <w:shd w:val="clear" w:color="000000" w:fill="D9D9D9"/>
            <w:noWrap/>
            <w:vAlign w:val="bottom"/>
            <w:hideMark/>
          </w:tcPr>
          <w:p w14:paraId="2CC2BA1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single" w:sz="4" w:space="0" w:color="000000"/>
              <w:left w:val="nil"/>
              <w:bottom w:val="nil"/>
              <w:right w:val="single" w:sz="4" w:space="0" w:color="auto"/>
            </w:tcBorders>
            <w:shd w:val="clear" w:color="000000" w:fill="D9D9D9"/>
            <w:noWrap/>
            <w:vAlign w:val="bottom"/>
            <w:hideMark/>
          </w:tcPr>
          <w:p w14:paraId="4569E45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single" w:sz="4" w:space="0" w:color="000000"/>
              <w:left w:val="nil"/>
              <w:bottom w:val="nil"/>
              <w:right w:val="single" w:sz="4" w:space="0" w:color="auto"/>
            </w:tcBorders>
            <w:shd w:val="clear" w:color="000000" w:fill="D9D9D9"/>
            <w:noWrap/>
            <w:vAlign w:val="bottom"/>
            <w:hideMark/>
          </w:tcPr>
          <w:p w14:paraId="0A6AED2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1489" w:type="dxa"/>
            <w:tcBorders>
              <w:top w:val="single" w:sz="4" w:space="0" w:color="000000"/>
              <w:left w:val="nil"/>
              <w:bottom w:val="nil"/>
              <w:right w:val="single" w:sz="4" w:space="0" w:color="000000"/>
            </w:tcBorders>
            <w:shd w:val="clear" w:color="000000" w:fill="D9D9D9"/>
            <w:noWrap/>
            <w:vAlign w:val="bottom"/>
            <w:hideMark/>
          </w:tcPr>
          <w:p w14:paraId="43191B8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EU-2008</w:t>
            </w:r>
          </w:p>
        </w:tc>
      </w:tr>
      <w:tr w:rsidR="004137EF" w:rsidRPr="00FE46B6" w14:paraId="53D4F609"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645913E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Belgium</w:t>
            </w:r>
          </w:p>
        </w:tc>
        <w:tc>
          <w:tcPr>
            <w:tcW w:w="2964" w:type="dxa"/>
            <w:tcBorders>
              <w:top w:val="nil"/>
              <w:left w:val="nil"/>
              <w:bottom w:val="nil"/>
              <w:right w:val="single" w:sz="4" w:space="0" w:color="auto"/>
            </w:tcBorders>
            <w:shd w:val="clear" w:color="auto" w:fill="auto"/>
            <w:noWrap/>
            <w:vAlign w:val="bottom"/>
            <w:hideMark/>
          </w:tcPr>
          <w:p w14:paraId="485D8C9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BE-REFLAB</w:t>
            </w:r>
          </w:p>
        </w:tc>
        <w:tc>
          <w:tcPr>
            <w:tcW w:w="550" w:type="dxa"/>
            <w:tcBorders>
              <w:top w:val="nil"/>
              <w:left w:val="nil"/>
              <w:bottom w:val="nil"/>
              <w:right w:val="single" w:sz="4" w:space="0" w:color="auto"/>
            </w:tcBorders>
            <w:shd w:val="clear" w:color="auto" w:fill="auto"/>
            <w:noWrap/>
            <w:vAlign w:val="bottom"/>
            <w:hideMark/>
          </w:tcPr>
          <w:p w14:paraId="47E83B0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O</w:t>
            </w:r>
          </w:p>
        </w:tc>
        <w:tc>
          <w:tcPr>
            <w:tcW w:w="550" w:type="dxa"/>
            <w:tcBorders>
              <w:top w:val="nil"/>
              <w:left w:val="nil"/>
              <w:bottom w:val="nil"/>
              <w:right w:val="single" w:sz="4" w:space="0" w:color="auto"/>
            </w:tcBorders>
            <w:shd w:val="clear" w:color="auto" w:fill="auto"/>
            <w:noWrap/>
            <w:vAlign w:val="bottom"/>
            <w:hideMark/>
          </w:tcPr>
          <w:p w14:paraId="332C524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465D617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077196E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2BB7195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2A5447B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7E50364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663E68B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03439C6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0C12BF" w:rsidRPr="00FE46B6" w14:paraId="146AC833"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2BEF9B7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Bulgaria</w:t>
            </w:r>
          </w:p>
        </w:tc>
        <w:tc>
          <w:tcPr>
            <w:tcW w:w="2964" w:type="dxa"/>
            <w:tcBorders>
              <w:top w:val="nil"/>
              <w:left w:val="nil"/>
              <w:bottom w:val="nil"/>
              <w:right w:val="single" w:sz="4" w:space="0" w:color="auto"/>
            </w:tcBorders>
            <w:shd w:val="clear" w:color="000000" w:fill="D9D9D9"/>
            <w:noWrap/>
            <w:vAlign w:val="bottom"/>
            <w:hideMark/>
          </w:tcPr>
          <w:p w14:paraId="222B760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BG-NATIONAL_SURVEILLANCE</w:t>
            </w:r>
          </w:p>
        </w:tc>
        <w:tc>
          <w:tcPr>
            <w:tcW w:w="550" w:type="dxa"/>
            <w:tcBorders>
              <w:top w:val="nil"/>
              <w:left w:val="nil"/>
              <w:bottom w:val="nil"/>
              <w:right w:val="single" w:sz="4" w:space="0" w:color="auto"/>
            </w:tcBorders>
            <w:shd w:val="clear" w:color="000000" w:fill="D9D9D9"/>
            <w:noWrap/>
            <w:vAlign w:val="bottom"/>
            <w:hideMark/>
          </w:tcPr>
          <w:p w14:paraId="785AB51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4AE1299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3B0451C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2FC3132B" w14:textId="2669760C" w:rsidR="004137EF" w:rsidRPr="009846E5" w:rsidRDefault="00473E24" w:rsidP="00AF4AD6">
            <w:pPr>
              <w:spacing w:before="120" w:after="0"/>
              <w:rPr>
                <w:rFonts w:eastAsia="Times New Roman" w:cs="Tahoma"/>
                <w:sz w:val="14"/>
                <w:szCs w:val="14"/>
                <w:lang w:eastAsia="en-GB"/>
              </w:rPr>
            </w:pPr>
            <w:r w:rsidRPr="009846E5">
              <w:rPr>
                <w:rFonts w:eastAsia="Times New Roman" w:cs="Tahoma"/>
                <w:sz w:val="14"/>
                <w:szCs w:val="14"/>
                <w:lang w:eastAsia="en-GB"/>
              </w:rPr>
              <w:t>A</w:t>
            </w:r>
          </w:p>
        </w:tc>
        <w:tc>
          <w:tcPr>
            <w:tcW w:w="550" w:type="dxa"/>
            <w:tcBorders>
              <w:top w:val="nil"/>
              <w:left w:val="nil"/>
              <w:bottom w:val="nil"/>
              <w:right w:val="single" w:sz="4" w:space="0" w:color="auto"/>
            </w:tcBorders>
            <w:shd w:val="clear" w:color="000000" w:fill="D9D9D9"/>
            <w:noWrap/>
            <w:vAlign w:val="bottom"/>
            <w:hideMark/>
          </w:tcPr>
          <w:p w14:paraId="69C32F7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000AFB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561BDE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1BEDFC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1489" w:type="dxa"/>
            <w:tcBorders>
              <w:top w:val="nil"/>
              <w:left w:val="nil"/>
              <w:bottom w:val="nil"/>
              <w:right w:val="single" w:sz="4" w:space="0" w:color="000000"/>
            </w:tcBorders>
            <w:shd w:val="clear" w:color="000000" w:fill="D9D9D9"/>
            <w:noWrap/>
            <w:vAlign w:val="bottom"/>
            <w:hideMark/>
          </w:tcPr>
          <w:p w14:paraId="129C621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4137EF" w:rsidRPr="00FE46B6" w14:paraId="68AC20A6"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5F8F027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Croatia</w:t>
            </w:r>
          </w:p>
        </w:tc>
        <w:tc>
          <w:tcPr>
            <w:tcW w:w="2964" w:type="dxa"/>
            <w:tcBorders>
              <w:top w:val="nil"/>
              <w:left w:val="nil"/>
              <w:bottom w:val="nil"/>
              <w:right w:val="single" w:sz="4" w:space="0" w:color="auto"/>
            </w:tcBorders>
            <w:shd w:val="clear" w:color="auto" w:fill="auto"/>
            <w:noWrap/>
            <w:vAlign w:val="bottom"/>
            <w:hideMark/>
          </w:tcPr>
          <w:p w14:paraId="0C5ED3C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HR-CNIPH</w:t>
            </w:r>
          </w:p>
        </w:tc>
        <w:tc>
          <w:tcPr>
            <w:tcW w:w="550" w:type="dxa"/>
            <w:tcBorders>
              <w:top w:val="nil"/>
              <w:left w:val="nil"/>
              <w:bottom w:val="nil"/>
              <w:right w:val="single" w:sz="4" w:space="0" w:color="auto"/>
            </w:tcBorders>
            <w:shd w:val="clear" w:color="auto" w:fill="auto"/>
            <w:noWrap/>
            <w:vAlign w:val="bottom"/>
            <w:hideMark/>
          </w:tcPr>
          <w:p w14:paraId="2CEEF10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65A25A4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206F79B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6F9C51D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5AFC9D7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2830C71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252FC1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49F1CA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1489" w:type="dxa"/>
            <w:tcBorders>
              <w:top w:val="nil"/>
              <w:left w:val="nil"/>
              <w:bottom w:val="nil"/>
              <w:right w:val="single" w:sz="4" w:space="0" w:color="000000"/>
            </w:tcBorders>
            <w:shd w:val="clear" w:color="auto" w:fill="auto"/>
            <w:noWrap/>
            <w:vAlign w:val="bottom"/>
            <w:hideMark/>
          </w:tcPr>
          <w:p w14:paraId="171A57E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EU-2012</w:t>
            </w:r>
          </w:p>
        </w:tc>
      </w:tr>
      <w:tr w:rsidR="000C12BF" w:rsidRPr="00FE46B6" w14:paraId="2783B696"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2E6D5C5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Cyprus</w:t>
            </w:r>
          </w:p>
        </w:tc>
        <w:tc>
          <w:tcPr>
            <w:tcW w:w="2964" w:type="dxa"/>
            <w:tcBorders>
              <w:top w:val="nil"/>
              <w:left w:val="nil"/>
              <w:bottom w:val="nil"/>
              <w:right w:val="single" w:sz="4" w:space="0" w:color="auto"/>
            </w:tcBorders>
            <w:shd w:val="clear" w:color="000000" w:fill="D9D9D9"/>
            <w:noWrap/>
            <w:vAlign w:val="bottom"/>
            <w:hideMark/>
          </w:tcPr>
          <w:p w14:paraId="347B6B5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CY-NOTIFIED_DISEASES</w:t>
            </w:r>
          </w:p>
        </w:tc>
        <w:tc>
          <w:tcPr>
            <w:tcW w:w="550" w:type="dxa"/>
            <w:tcBorders>
              <w:top w:val="nil"/>
              <w:left w:val="nil"/>
              <w:bottom w:val="nil"/>
              <w:right w:val="single" w:sz="4" w:space="0" w:color="auto"/>
            </w:tcBorders>
            <w:shd w:val="clear" w:color="000000" w:fill="D9D9D9"/>
            <w:noWrap/>
            <w:vAlign w:val="bottom"/>
            <w:hideMark/>
          </w:tcPr>
          <w:p w14:paraId="7DD2A3C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14E0FC3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16382FA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048A096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3E98143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6B4CE46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7FE38D3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57ACBD8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000000" w:fill="D9D9D9"/>
            <w:noWrap/>
            <w:vAlign w:val="bottom"/>
            <w:hideMark/>
          </w:tcPr>
          <w:p w14:paraId="18EF184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EU-2008</w:t>
            </w:r>
          </w:p>
        </w:tc>
      </w:tr>
      <w:tr w:rsidR="004137EF" w:rsidRPr="00FE46B6" w14:paraId="4C84520A"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03005AF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Czechia</w:t>
            </w:r>
          </w:p>
        </w:tc>
        <w:tc>
          <w:tcPr>
            <w:tcW w:w="2964" w:type="dxa"/>
            <w:tcBorders>
              <w:top w:val="nil"/>
              <w:left w:val="nil"/>
              <w:bottom w:val="nil"/>
              <w:right w:val="single" w:sz="4" w:space="0" w:color="auto"/>
            </w:tcBorders>
            <w:shd w:val="clear" w:color="auto" w:fill="auto"/>
            <w:noWrap/>
            <w:vAlign w:val="bottom"/>
            <w:hideMark/>
          </w:tcPr>
          <w:p w14:paraId="3FAE20E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CZ-ISIN</w:t>
            </w:r>
          </w:p>
        </w:tc>
        <w:tc>
          <w:tcPr>
            <w:tcW w:w="550" w:type="dxa"/>
            <w:tcBorders>
              <w:top w:val="nil"/>
              <w:left w:val="nil"/>
              <w:bottom w:val="nil"/>
              <w:right w:val="single" w:sz="4" w:space="0" w:color="auto"/>
            </w:tcBorders>
            <w:shd w:val="clear" w:color="auto" w:fill="auto"/>
            <w:noWrap/>
            <w:vAlign w:val="bottom"/>
            <w:hideMark/>
          </w:tcPr>
          <w:p w14:paraId="163104B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718F36F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1E3DD64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A</w:t>
            </w:r>
          </w:p>
        </w:tc>
        <w:tc>
          <w:tcPr>
            <w:tcW w:w="550" w:type="dxa"/>
            <w:tcBorders>
              <w:top w:val="nil"/>
              <w:left w:val="nil"/>
              <w:bottom w:val="nil"/>
              <w:right w:val="single" w:sz="4" w:space="0" w:color="auto"/>
            </w:tcBorders>
            <w:shd w:val="clear" w:color="auto" w:fill="auto"/>
            <w:noWrap/>
            <w:vAlign w:val="bottom"/>
            <w:hideMark/>
          </w:tcPr>
          <w:p w14:paraId="4551AB7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692C005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816236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45A2FA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2E28A0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77D549F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EU-2008</w:t>
            </w:r>
          </w:p>
        </w:tc>
      </w:tr>
      <w:tr w:rsidR="000C12BF" w:rsidRPr="00FE46B6" w14:paraId="43256DE1"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0B4C2F7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Estonia</w:t>
            </w:r>
          </w:p>
        </w:tc>
        <w:tc>
          <w:tcPr>
            <w:tcW w:w="2964" w:type="dxa"/>
            <w:tcBorders>
              <w:top w:val="nil"/>
              <w:left w:val="nil"/>
              <w:bottom w:val="nil"/>
              <w:right w:val="single" w:sz="4" w:space="0" w:color="auto"/>
            </w:tcBorders>
            <w:shd w:val="clear" w:color="000000" w:fill="D9D9D9"/>
            <w:noWrap/>
            <w:vAlign w:val="bottom"/>
            <w:hideMark/>
          </w:tcPr>
          <w:p w14:paraId="04C595F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EE-NAKIS</w:t>
            </w:r>
          </w:p>
        </w:tc>
        <w:tc>
          <w:tcPr>
            <w:tcW w:w="550" w:type="dxa"/>
            <w:tcBorders>
              <w:top w:val="nil"/>
              <w:left w:val="nil"/>
              <w:bottom w:val="nil"/>
              <w:right w:val="single" w:sz="4" w:space="0" w:color="auto"/>
            </w:tcBorders>
            <w:shd w:val="clear" w:color="000000" w:fill="D9D9D9"/>
            <w:noWrap/>
            <w:vAlign w:val="bottom"/>
            <w:hideMark/>
          </w:tcPr>
          <w:p w14:paraId="2B15EA6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02CD956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23E98E8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520D790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69E9FEC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50DFF95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B6CC79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5732791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000000" w:fill="D9D9D9"/>
            <w:noWrap/>
            <w:vAlign w:val="bottom"/>
            <w:hideMark/>
          </w:tcPr>
          <w:p w14:paraId="465B99B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4137EF" w:rsidRPr="00FE46B6" w14:paraId="1C12E595"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0DF52D8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Finland</w:t>
            </w:r>
          </w:p>
        </w:tc>
        <w:tc>
          <w:tcPr>
            <w:tcW w:w="2964" w:type="dxa"/>
            <w:tcBorders>
              <w:top w:val="nil"/>
              <w:left w:val="nil"/>
              <w:bottom w:val="nil"/>
              <w:right w:val="single" w:sz="4" w:space="0" w:color="auto"/>
            </w:tcBorders>
            <w:shd w:val="clear" w:color="auto" w:fill="auto"/>
            <w:noWrap/>
            <w:vAlign w:val="bottom"/>
            <w:hideMark/>
          </w:tcPr>
          <w:p w14:paraId="11DF5C6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FI-NIDR</w:t>
            </w:r>
          </w:p>
        </w:tc>
        <w:tc>
          <w:tcPr>
            <w:tcW w:w="550" w:type="dxa"/>
            <w:tcBorders>
              <w:top w:val="nil"/>
              <w:left w:val="nil"/>
              <w:bottom w:val="nil"/>
              <w:right w:val="single" w:sz="4" w:space="0" w:color="auto"/>
            </w:tcBorders>
            <w:shd w:val="clear" w:color="auto" w:fill="auto"/>
            <w:noWrap/>
            <w:vAlign w:val="bottom"/>
            <w:hideMark/>
          </w:tcPr>
          <w:p w14:paraId="40E860D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2DD6E86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289E6CE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60C5415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0A69B6B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493AF8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00C26D9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3DF4257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5A4ECCC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EU-2012</w:t>
            </w:r>
          </w:p>
        </w:tc>
      </w:tr>
      <w:tr w:rsidR="000C12BF" w:rsidRPr="00FE46B6" w14:paraId="209F4C7D"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1BFE3F3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France</w:t>
            </w:r>
          </w:p>
        </w:tc>
        <w:tc>
          <w:tcPr>
            <w:tcW w:w="2964" w:type="dxa"/>
            <w:tcBorders>
              <w:top w:val="nil"/>
              <w:left w:val="nil"/>
              <w:bottom w:val="nil"/>
              <w:right w:val="single" w:sz="4" w:space="0" w:color="auto"/>
            </w:tcBorders>
            <w:shd w:val="clear" w:color="000000" w:fill="D9D9D9"/>
            <w:noWrap/>
            <w:vAlign w:val="bottom"/>
            <w:hideMark/>
          </w:tcPr>
          <w:p w14:paraId="03CB589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FR-MANDATORY_INFECTIOUS_DISEASES</w:t>
            </w:r>
          </w:p>
        </w:tc>
        <w:tc>
          <w:tcPr>
            <w:tcW w:w="550" w:type="dxa"/>
            <w:tcBorders>
              <w:top w:val="nil"/>
              <w:left w:val="nil"/>
              <w:bottom w:val="nil"/>
              <w:right w:val="single" w:sz="4" w:space="0" w:color="auto"/>
            </w:tcBorders>
            <w:shd w:val="clear" w:color="000000" w:fill="D9D9D9"/>
            <w:noWrap/>
            <w:vAlign w:val="bottom"/>
            <w:hideMark/>
          </w:tcPr>
          <w:p w14:paraId="2B12D3F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0C5A007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73D0EAB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30C9304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314D8D2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72BD81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80DF7E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AEBEA9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1489" w:type="dxa"/>
            <w:tcBorders>
              <w:top w:val="nil"/>
              <w:left w:val="nil"/>
              <w:bottom w:val="nil"/>
              <w:right w:val="single" w:sz="4" w:space="0" w:color="000000"/>
            </w:tcBorders>
            <w:shd w:val="clear" w:color="000000" w:fill="D9D9D9"/>
            <w:noWrap/>
            <w:vAlign w:val="bottom"/>
            <w:hideMark/>
          </w:tcPr>
          <w:p w14:paraId="1793EAB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Not specified/unknown</w:t>
            </w:r>
          </w:p>
        </w:tc>
      </w:tr>
      <w:tr w:rsidR="004137EF" w:rsidRPr="00FE46B6" w14:paraId="0B6434C1"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1A46162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Germany</w:t>
            </w:r>
          </w:p>
        </w:tc>
        <w:tc>
          <w:tcPr>
            <w:tcW w:w="2964" w:type="dxa"/>
            <w:tcBorders>
              <w:top w:val="nil"/>
              <w:left w:val="nil"/>
              <w:bottom w:val="nil"/>
              <w:right w:val="single" w:sz="4" w:space="0" w:color="auto"/>
            </w:tcBorders>
            <w:shd w:val="clear" w:color="auto" w:fill="auto"/>
            <w:noWrap/>
            <w:vAlign w:val="bottom"/>
            <w:hideMark/>
          </w:tcPr>
          <w:p w14:paraId="0DCBA4B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DE-SURVNET@RKI-7.1</w:t>
            </w:r>
          </w:p>
        </w:tc>
        <w:tc>
          <w:tcPr>
            <w:tcW w:w="550" w:type="dxa"/>
            <w:tcBorders>
              <w:top w:val="nil"/>
              <w:left w:val="nil"/>
              <w:bottom w:val="nil"/>
              <w:right w:val="single" w:sz="4" w:space="0" w:color="auto"/>
            </w:tcBorders>
            <w:shd w:val="clear" w:color="auto" w:fill="auto"/>
            <w:noWrap/>
            <w:vAlign w:val="bottom"/>
            <w:hideMark/>
          </w:tcPr>
          <w:p w14:paraId="587BBBB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1DDCC87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3A02B85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1567F12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4F9A1F9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6BA717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19A0CAD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48933CD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539161D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Other</w:t>
            </w:r>
          </w:p>
        </w:tc>
      </w:tr>
      <w:tr w:rsidR="000C12BF" w:rsidRPr="00FE46B6" w14:paraId="6EE08434"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1E487EF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Greece</w:t>
            </w:r>
          </w:p>
        </w:tc>
        <w:tc>
          <w:tcPr>
            <w:tcW w:w="2964" w:type="dxa"/>
            <w:tcBorders>
              <w:top w:val="nil"/>
              <w:left w:val="nil"/>
              <w:bottom w:val="nil"/>
              <w:right w:val="single" w:sz="4" w:space="0" w:color="auto"/>
            </w:tcBorders>
            <w:shd w:val="clear" w:color="000000" w:fill="D9D9D9"/>
            <w:noWrap/>
            <w:vAlign w:val="bottom"/>
            <w:hideMark/>
          </w:tcPr>
          <w:p w14:paraId="5E3AD18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EL-NOTIFIABLE_DISEASES</w:t>
            </w:r>
          </w:p>
        </w:tc>
        <w:tc>
          <w:tcPr>
            <w:tcW w:w="550" w:type="dxa"/>
            <w:tcBorders>
              <w:top w:val="nil"/>
              <w:left w:val="nil"/>
              <w:bottom w:val="nil"/>
              <w:right w:val="single" w:sz="4" w:space="0" w:color="auto"/>
            </w:tcBorders>
            <w:shd w:val="clear" w:color="000000" w:fill="D9D9D9"/>
            <w:noWrap/>
            <w:vAlign w:val="bottom"/>
            <w:hideMark/>
          </w:tcPr>
          <w:p w14:paraId="1185B43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515F58F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51E5551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65FE779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6E3F086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332B09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4AAC471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4E2F77A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w:t>
            </w:r>
          </w:p>
        </w:tc>
        <w:tc>
          <w:tcPr>
            <w:tcW w:w="1489" w:type="dxa"/>
            <w:tcBorders>
              <w:top w:val="nil"/>
              <w:left w:val="nil"/>
              <w:bottom w:val="nil"/>
              <w:right w:val="single" w:sz="4" w:space="0" w:color="000000"/>
            </w:tcBorders>
            <w:shd w:val="clear" w:color="000000" w:fill="D9D9D9"/>
            <w:noWrap/>
            <w:vAlign w:val="bottom"/>
            <w:hideMark/>
          </w:tcPr>
          <w:p w14:paraId="0E0EF52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4137EF" w:rsidRPr="00FE46B6" w14:paraId="7CC8E94E"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363CBC5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Hungary</w:t>
            </w:r>
          </w:p>
        </w:tc>
        <w:tc>
          <w:tcPr>
            <w:tcW w:w="2964" w:type="dxa"/>
            <w:tcBorders>
              <w:top w:val="nil"/>
              <w:left w:val="nil"/>
              <w:bottom w:val="nil"/>
              <w:right w:val="single" w:sz="4" w:space="0" w:color="auto"/>
            </w:tcBorders>
            <w:shd w:val="clear" w:color="auto" w:fill="auto"/>
            <w:noWrap/>
            <w:vAlign w:val="bottom"/>
            <w:hideMark/>
          </w:tcPr>
          <w:p w14:paraId="5311725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HU-Zoonoses</w:t>
            </w:r>
          </w:p>
        </w:tc>
        <w:tc>
          <w:tcPr>
            <w:tcW w:w="550" w:type="dxa"/>
            <w:tcBorders>
              <w:top w:val="nil"/>
              <w:left w:val="nil"/>
              <w:bottom w:val="nil"/>
              <w:right w:val="single" w:sz="4" w:space="0" w:color="auto"/>
            </w:tcBorders>
            <w:shd w:val="clear" w:color="auto" w:fill="auto"/>
            <w:noWrap/>
            <w:vAlign w:val="bottom"/>
            <w:hideMark/>
          </w:tcPr>
          <w:p w14:paraId="5F5BC08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5DF4F35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1928790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40B8816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0149F1B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0CC9C48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338555D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D3B2CE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02366B8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EU-2012</w:t>
            </w:r>
          </w:p>
        </w:tc>
      </w:tr>
      <w:tr w:rsidR="000C12BF" w:rsidRPr="00FE46B6" w14:paraId="7D3144DD"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42AB5F2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Iceland</w:t>
            </w:r>
          </w:p>
        </w:tc>
        <w:tc>
          <w:tcPr>
            <w:tcW w:w="2964" w:type="dxa"/>
            <w:tcBorders>
              <w:top w:val="nil"/>
              <w:left w:val="nil"/>
              <w:bottom w:val="nil"/>
              <w:right w:val="single" w:sz="4" w:space="0" w:color="auto"/>
            </w:tcBorders>
            <w:shd w:val="clear" w:color="000000" w:fill="D9D9D9"/>
            <w:noWrap/>
            <w:vAlign w:val="bottom"/>
            <w:hideMark/>
          </w:tcPr>
          <w:p w14:paraId="436ED74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IS-SUBJECT_TO_REGISTRATION</w:t>
            </w:r>
          </w:p>
        </w:tc>
        <w:tc>
          <w:tcPr>
            <w:tcW w:w="550" w:type="dxa"/>
            <w:tcBorders>
              <w:top w:val="nil"/>
              <w:left w:val="nil"/>
              <w:bottom w:val="nil"/>
              <w:right w:val="single" w:sz="4" w:space="0" w:color="auto"/>
            </w:tcBorders>
            <w:shd w:val="clear" w:color="000000" w:fill="D9D9D9"/>
            <w:noWrap/>
            <w:vAlign w:val="bottom"/>
            <w:hideMark/>
          </w:tcPr>
          <w:p w14:paraId="0E46874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42C0949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71126BD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6ABF9C9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53E6974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504683D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C3DA5E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w:t>
            </w:r>
          </w:p>
        </w:tc>
        <w:tc>
          <w:tcPr>
            <w:tcW w:w="550" w:type="dxa"/>
            <w:tcBorders>
              <w:top w:val="nil"/>
              <w:left w:val="nil"/>
              <w:bottom w:val="nil"/>
              <w:right w:val="single" w:sz="4" w:space="0" w:color="auto"/>
            </w:tcBorders>
            <w:shd w:val="clear" w:color="000000" w:fill="D9D9D9"/>
            <w:noWrap/>
            <w:vAlign w:val="bottom"/>
            <w:hideMark/>
          </w:tcPr>
          <w:p w14:paraId="241268F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w:t>
            </w:r>
          </w:p>
        </w:tc>
        <w:tc>
          <w:tcPr>
            <w:tcW w:w="1489" w:type="dxa"/>
            <w:tcBorders>
              <w:top w:val="nil"/>
              <w:left w:val="nil"/>
              <w:bottom w:val="nil"/>
              <w:right w:val="single" w:sz="4" w:space="0" w:color="000000"/>
            </w:tcBorders>
            <w:shd w:val="clear" w:color="000000" w:fill="D9D9D9"/>
            <w:noWrap/>
            <w:vAlign w:val="bottom"/>
            <w:hideMark/>
          </w:tcPr>
          <w:p w14:paraId="71524BC2" w14:textId="3C24706F"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w:t>
            </w:r>
            <w:r w:rsidR="003A12EB" w:rsidRPr="009846E5">
              <w:rPr>
                <w:rFonts w:eastAsia="Times New Roman" w:cs="Tahoma"/>
                <w:sz w:val="14"/>
                <w:szCs w:val="14"/>
                <w:lang w:eastAsia="en-GB"/>
              </w:rPr>
              <w:t>8</w:t>
            </w:r>
          </w:p>
        </w:tc>
      </w:tr>
      <w:tr w:rsidR="004137EF" w:rsidRPr="00FE46B6" w14:paraId="4E3C76E0"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662BC7F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Ireland</w:t>
            </w:r>
          </w:p>
        </w:tc>
        <w:tc>
          <w:tcPr>
            <w:tcW w:w="2964" w:type="dxa"/>
            <w:tcBorders>
              <w:top w:val="nil"/>
              <w:left w:val="nil"/>
              <w:bottom w:val="nil"/>
              <w:right w:val="single" w:sz="4" w:space="0" w:color="auto"/>
            </w:tcBorders>
            <w:shd w:val="clear" w:color="auto" w:fill="auto"/>
            <w:noWrap/>
            <w:vAlign w:val="bottom"/>
            <w:hideMark/>
          </w:tcPr>
          <w:p w14:paraId="38A4694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IE-CIDR</w:t>
            </w:r>
          </w:p>
        </w:tc>
        <w:tc>
          <w:tcPr>
            <w:tcW w:w="550" w:type="dxa"/>
            <w:tcBorders>
              <w:top w:val="nil"/>
              <w:left w:val="nil"/>
              <w:bottom w:val="nil"/>
              <w:right w:val="single" w:sz="4" w:space="0" w:color="auto"/>
            </w:tcBorders>
            <w:shd w:val="clear" w:color="auto" w:fill="auto"/>
            <w:noWrap/>
            <w:vAlign w:val="bottom"/>
            <w:hideMark/>
          </w:tcPr>
          <w:p w14:paraId="1667113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0B0B8D8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5541FA4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5F2BDF3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311E53B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37F339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1EA9E4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0C666F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666866C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EU-2008</w:t>
            </w:r>
          </w:p>
        </w:tc>
      </w:tr>
      <w:tr w:rsidR="000C12BF" w:rsidRPr="00FE46B6" w14:paraId="092FC907"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00A9564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Italy</w:t>
            </w:r>
          </w:p>
        </w:tc>
        <w:tc>
          <w:tcPr>
            <w:tcW w:w="2964" w:type="dxa"/>
            <w:tcBorders>
              <w:top w:val="nil"/>
              <w:left w:val="nil"/>
              <w:bottom w:val="nil"/>
              <w:right w:val="single" w:sz="4" w:space="0" w:color="auto"/>
            </w:tcBorders>
            <w:shd w:val="clear" w:color="000000" w:fill="D9D9D9"/>
            <w:noWrap/>
            <w:vAlign w:val="bottom"/>
            <w:hideMark/>
          </w:tcPr>
          <w:p w14:paraId="7B5EBE2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IT-NRS</w:t>
            </w:r>
          </w:p>
        </w:tc>
        <w:tc>
          <w:tcPr>
            <w:tcW w:w="550" w:type="dxa"/>
            <w:tcBorders>
              <w:top w:val="nil"/>
              <w:left w:val="nil"/>
              <w:bottom w:val="nil"/>
              <w:right w:val="single" w:sz="4" w:space="0" w:color="auto"/>
            </w:tcBorders>
            <w:shd w:val="clear" w:color="000000" w:fill="D9D9D9"/>
            <w:noWrap/>
            <w:vAlign w:val="bottom"/>
            <w:hideMark/>
          </w:tcPr>
          <w:p w14:paraId="7CB19D0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44E2309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346E23D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0061979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3B0072D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1B4166F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716D11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160394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000000" w:fill="D9D9D9"/>
            <w:noWrap/>
            <w:vAlign w:val="bottom"/>
            <w:hideMark/>
          </w:tcPr>
          <w:p w14:paraId="6381E4B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Other</w:t>
            </w:r>
          </w:p>
        </w:tc>
      </w:tr>
      <w:tr w:rsidR="004137EF" w:rsidRPr="00FE46B6" w14:paraId="1D407035"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093FC53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Latvia</w:t>
            </w:r>
          </w:p>
        </w:tc>
        <w:tc>
          <w:tcPr>
            <w:tcW w:w="2964" w:type="dxa"/>
            <w:tcBorders>
              <w:top w:val="nil"/>
              <w:left w:val="nil"/>
              <w:bottom w:val="nil"/>
              <w:right w:val="single" w:sz="4" w:space="0" w:color="auto"/>
            </w:tcBorders>
            <w:shd w:val="clear" w:color="auto" w:fill="auto"/>
            <w:noWrap/>
            <w:vAlign w:val="bottom"/>
            <w:hideMark/>
          </w:tcPr>
          <w:p w14:paraId="6E7EC21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LV-BSN</w:t>
            </w:r>
          </w:p>
        </w:tc>
        <w:tc>
          <w:tcPr>
            <w:tcW w:w="550" w:type="dxa"/>
            <w:tcBorders>
              <w:top w:val="nil"/>
              <w:left w:val="nil"/>
              <w:bottom w:val="nil"/>
              <w:right w:val="single" w:sz="4" w:space="0" w:color="auto"/>
            </w:tcBorders>
            <w:shd w:val="clear" w:color="auto" w:fill="auto"/>
            <w:noWrap/>
            <w:vAlign w:val="bottom"/>
            <w:hideMark/>
          </w:tcPr>
          <w:p w14:paraId="0FE92C7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7F5BED4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04ABB0E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49ADCF8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2BFE55F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733BC5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6CE365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008944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442D69CB" w14:textId="521D254B" w:rsidR="004137EF" w:rsidRPr="009846E5" w:rsidRDefault="00370D2B"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0C12BF" w:rsidRPr="00FE46B6" w14:paraId="78161869"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4C1D647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Liechtenstein</w:t>
            </w:r>
          </w:p>
        </w:tc>
        <w:tc>
          <w:tcPr>
            <w:tcW w:w="2964" w:type="dxa"/>
            <w:tcBorders>
              <w:top w:val="nil"/>
              <w:left w:val="nil"/>
              <w:bottom w:val="nil"/>
              <w:right w:val="single" w:sz="4" w:space="0" w:color="auto"/>
            </w:tcBorders>
            <w:shd w:val="clear" w:color="000000" w:fill="D9D9D9"/>
            <w:noWrap/>
            <w:vAlign w:val="bottom"/>
            <w:hideMark/>
          </w:tcPr>
          <w:p w14:paraId="1EA4007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LI-BRUC</w:t>
            </w:r>
          </w:p>
        </w:tc>
        <w:tc>
          <w:tcPr>
            <w:tcW w:w="550" w:type="dxa"/>
            <w:tcBorders>
              <w:top w:val="nil"/>
              <w:left w:val="nil"/>
              <w:bottom w:val="nil"/>
              <w:right w:val="single" w:sz="4" w:space="0" w:color="auto"/>
            </w:tcBorders>
            <w:shd w:val="clear" w:color="000000" w:fill="D9D9D9"/>
            <w:noWrap/>
            <w:vAlign w:val="bottom"/>
            <w:hideMark/>
          </w:tcPr>
          <w:p w14:paraId="14B1FFB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0BACC5D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7E2E63D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54B99C7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6FB4DEF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8D9AF9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223257B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05C379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w:t>
            </w:r>
          </w:p>
        </w:tc>
        <w:tc>
          <w:tcPr>
            <w:tcW w:w="1489" w:type="dxa"/>
            <w:tcBorders>
              <w:top w:val="nil"/>
              <w:left w:val="nil"/>
              <w:bottom w:val="nil"/>
              <w:right w:val="single" w:sz="4" w:space="0" w:color="000000"/>
            </w:tcBorders>
            <w:shd w:val="clear" w:color="000000" w:fill="D9D9D9"/>
            <w:noWrap/>
            <w:vAlign w:val="bottom"/>
            <w:hideMark/>
          </w:tcPr>
          <w:p w14:paraId="6CCC639B" w14:textId="432C963F" w:rsidR="004137EF" w:rsidRPr="009846E5" w:rsidRDefault="00370D2B"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4137EF" w:rsidRPr="00FE46B6" w14:paraId="6A1311EC"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02B359F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Lithuania</w:t>
            </w:r>
          </w:p>
        </w:tc>
        <w:tc>
          <w:tcPr>
            <w:tcW w:w="2964" w:type="dxa"/>
            <w:tcBorders>
              <w:top w:val="nil"/>
              <w:left w:val="nil"/>
              <w:bottom w:val="nil"/>
              <w:right w:val="single" w:sz="4" w:space="0" w:color="auto"/>
            </w:tcBorders>
            <w:shd w:val="clear" w:color="auto" w:fill="auto"/>
            <w:noWrap/>
            <w:vAlign w:val="bottom"/>
            <w:hideMark/>
          </w:tcPr>
          <w:p w14:paraId="358F799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LT-COMMUNICABLE_DISEASES</w:t>
            </w:r>
          </w:p>
        </w:tc>
        <w:tc>
          <w:tcPr>
            <w:tcW w:w="550" w:type="dxa"/>
            <w:tcBorders>
              <w:top w:val="nil"/>
              <w:left w:val="nil"/>
              <w:bottom w:val="nil"/>
              <w:right w:val="single" w:sz="4" w:space="0" w:color="auto"/>
            </w:tcBorders>
            <w:shd w:val="clear" w:color="auto" w:fill="auto"/>
            <w:noWrap/>
            <w:vAlign w:val="bottom"/>
            <w:hideMark/>
          </w:tcPr>
          <w:p w14:paraId="5C38E21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0D4742D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01DCC0F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0CE3DC2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1C80EFB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979883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66B151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3514B53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7677B97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0C12BF" w:rsidRPr="00FE46B6" w14:paraId="2790B160"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78A3892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Luxembourg</w:t>
            </w:r>
          </w:p>
        </w:tc>
        <w:tc>
          <w:tcPr>
            <w:tcW w:w="2964" w:type="dxa"/>
            <w:tcBorders>
              <w:top w:val="nil"/>
              <w:left w:val="nil"/>
              <w:bottom w:val="nil"/>
              <w:right w:val="single" w:sz="4" w:space="0" w:color="auto"/>
            </w:tcBorders>
            <w:shd w:val="clear" w:color="000000" w:fill="D9D9D9"/>
            <w:noWrap/>
            <w:vAlign w:val="bottom"/>
            <w:hideMark/>
          </w:tcPr>
          <w:p w14:paraId="34D0EDF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LU-SYSTEM1</w:t>
            </w:r>
          </w:p>
        </w:tc>
        <w:tc>
          <w:tcPr>
            <w:tcW w:w="550" w:type="dxa"/>
            <w:tcBorders>
              <w:top w:val="nil"/>
              <w:left w:val="nil"/>
              <w:bottom w:val="nil"/>
              <w:right w:val="single" w:sz="4" w:space="0" w:color="auto"/>
            </w:tcBorders>
            <w:shd w:val="clear" w:color="000000" w:fill="D9D9D9"/>
            <w:noWrap/>
            <w:vAlign w:val="bottom"/>
            <w:hideMark/>
          </w:tcPr>
          <w:p w14:paraId="4E45E61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6A98AD2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7E37EF8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42EE2FD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46AE44B7" w14:textId="40657052" w:rsidR="004137EF" w:rsidRPr="009846E5" w:rsidRDefault="00B1708B"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268EF2C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55039A8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064BDA4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000000" w:fill="D9D9D9"/>
            <w:noWrap/>
            <w:vAlign w:val="bottom"/>
            <w:hideMark/>
          </w:tcPr>
          <w:p w14:paraId="27028AB9" w14:textId="176E7AC8"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w:t>
            </w:r>
            <w:r w:rsidR="00B1708B" w:rsidRPr="009846E5">
              <w:rPr>
                <w:rFonts w:eastAsia="Times New Roman" w:cs="Tahoma"/>
                <w:sz w:val="14"/>
                <w:szCs w:val="14"/>
                <w:lang w:eastAsia="en-GB"/>
              </w:rPr>
              <w:t>18</w:t>
            </w:r>
          </w:p>
        </w:tc>
      </w:tr>
      <w:tr w:rsidR="004137EF" w:rsidRPr="00FE46B6" w14:paraId="674B1F7A"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74F1855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Malta</w:t>
            </w:r>
          </w:p>
        </w:tc>
        <w:tc>
          <w:tcPr>
            <w:tcW w:w="2964" w:type="dxa"/>
            <w:tcBorders>
              <w:top w:val="nil"/>
              <w:left w:val="nil"/>
              <w:bottom w:val="nil"/>
              <w:right w:val="single" w:sz="4" w:space="0" w:color="auto"/>
            </w:tcBorders>
            <w:shd w:val="clear" w:color="auto" w:fill="auto"/>
            <w:noWrap/>
            <w:vAlign w:val="bottom"/>
            <w:hideMark/>
          </w:tcPr>
          <w:p w14:paraId="70964AA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MT-DISEASE_SURVEILLANCE</w:t>
            </w:r>
          </w:p>
        </w:tc>
        <w:tc>
          <w:tcPr>
            <w:tcW w:w="550" w:type="dxa"/>
            <w:tcBorders>
              <w:top w:val="nil"/>
              <w:left w:val="nil"/>
              <w:bottom w:val="nil"/>
              <w:right w:val="single" w:sz="4" w:space="0" w:color="auto"/>
            </w:tcBorders>
            <w:shd w:val="clear" w:color="auto" w:fill="auto"/>
            <w:noWrap/>
            <w:vAlign w:val="bottom"/>
            <w:hideMark/>
          </w:tcPr>
          <w:p w14:paraId="50BACAE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2906B87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01E0729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1A9818B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57F9F25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2AD3B34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690737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3EA9A40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1489" w:type="dxa"/>
            <w:tcBorders>
              <w:top w:val="nil"/>
              <w:left w:val="nil"/>
              <w:bottom w:val="nil"/>
              <w:right w:val="single" w:sz="4" w:space="0" w:color="000000"/>
            </w:tcBorders>
            <w:shd w:val="clear" w:color="auto" w:fill="auto"/>
            <w:noWrap/>
            <w:vAlign w:val="bottom"/>
            <w:hideMark/>
          </w:tcPr>
          <w:p w14:paraId="0D072CB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0C12BF" w:rsidRPr="00FE46B6" w14:paraId="0B259307"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4803719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Netherlands</w:t>
            </w:r>
          </w:p>
        </w:tc>
        <w:tc>
          <w:tcPr>
            <w:tcW w:w="2964" w:type="dxa"/>
            <w:tcBorders>
              <w:top w:val="nil"/>
              <w:left w:val="nil"/>
              <w:bottom w:val="nil"/>
              <w:right w:val="single" w:sz="4" w:space="0" w:color="auto"/>
            </w:tcBorders>
            <w:shd w:val="clear" w:color="000000" w:fill="D9D9D9"/>
            <w:noWrap/>
            <w:vAlign w:val="bottom"/>
            <w:hideMark/>
          </w:tcPr>
          <w:p w14:paraId="4729D21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NL-OSIRIS</w:t>
            </w:r>
          </w:p>
        </w:tc>
        <w:tc>
          <w:tcPr>
            <w:tcW w:w="550" w:type="dxa"/>
            <w:tcBorders>
              <w:top w:val="nil"/>
              <w:left w:val="nil"/>
              <w:bottom w:val="nil"/>
              <w:right w:val="single" w:sz="4" w:space="0" w:color="auto"/>
            </w:tcBorders>
            <w:shd w:val="clear" w:color="000000" w:fill="D9D9D9"/>
            <w:noWrap/>
            <w:vAlign w:val="bottom"/>
            <w:hideMark/>
          </w:tcPr>
          <w:p w14:paraId="2A6DE8E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558D3F0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26B90B6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23F81A6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001AD2E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2019420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405FDA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74E0B6F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000000" w:fill="D9D9D9"/>
            <w:noWrap/>
            <w:vAlign w:val="bottom"/>
            <w:hideMark/>
          </w:tcPr>
          <w:p w14:paraId="6BD951D7" w14:textId="37FBB34E"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w:t>
            </w:r>
            <w:r w:rsidR="00936B31">
              <w:rPr>
                <w:rFonts w:eastAsia="Times New Roman" w:cs="Tahoma"/>
                <w:sz w:val="14"/>
                <w:szCs w:val="14"/>
                <w:lang w:eastAsia="en-GB"/>
              </w:rPr>
              <w:t>1</w:t>
            </w:r>
            <w:r w:rsidRPr="009846E5">
              <w:rPr>
                <w:rFonts w:eastAsia="Times New Roman" w:cs="Tahoma"/>
                <w:sz w:val="14"/>
                <w:szCs w:val="14"/>
                <w:lang w:eastAsia="en-GB"/>
              </w:rPr>
              <w:t>8</w:t>
            </w:r>
          </w:p>
        </w:tc>
      </w:tr>
      <w:tr w:rsidR="004137EF" w:rsidRPr="00FE46B6" w14:paraId="5B85C237"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3B86390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Norway</w:t>
            </w:r>
          </w:p>
        </w:tc>
        <w:tc>
          <w:tcPr>
            <w:tcW w:w="2964" w:type="dxa"/>
            <w:tcBorders>
              <w:top w:val="nil"/>
              <w:left w:val="nil"/>
              <w:bottom w:val="nil"/>
              <w:right w:val="single" w:sz="4" w:space="0" w:color="auto"/>
            </w:tcBorders>
            <w:shd w:val="clear" w:color="auto" w:fill="auto"/>
            <w:noWrap/>
            <w:vAlign w:val="bottom"/>
            <w:hideMark/>
          </w:tcPr>
          <w:p w14:paraId="27459D7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NO-MSIS_A</w:t>
            </w:r>
          </w:p>
        </w:tc>
        <w:tc>
          <w:tcPr>
            <w:tcW w:w="550" w:type="dxa"/>
            <w:tcBorders>
              <w:top w:val="nil"/>
              <w:left w:val="nil"/>
              <w:bottom w:val="nil"/>
              <w:right w:val="single" w:sz="4" w:space="0" w:color="auto"/>
            </w:tcBorders>
            <w:shd w:val="clear" w:color="auto" w:fill="auto"/>
            <w:noWrap/>
            <w:vAlign w:val="bottom"/>
            <w:hideMark/>
          </w:tcPr>
          <w:p w14:paraId="34B6268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4AF2175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4477155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277A7A2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20AE0CC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02E095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129F60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1D10C3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1BCE7C5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0C12BF" w:rsidRPr="00FE46B6" w14:paraId="6BBC4D77"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3578AE4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Poland</w:t>
            </w:r>
          </w:p>
        </w:tc>
        <w:tc>
          <w:tcPr>
            <w:tcW w:w="2964" w:type="dxa"/>
            <w:tcBorders>
              <w:top w:val="nil"/>
              <w:left w:val="nil"/>
              <w:bottom w:val="nil"/>
              <w:right w:val="single" w:sz="4" w:space="0" w:color="auto"/>
            </w:tcBorders>
            <w:shd w:val="clear" w:color="000000" w:fill="D9D9D9"/>
            <w:noWrap/>
            <w:vAlign w:val="bottom"/>
            <w:hideMark/>
          </w:tcPr>
          <w:p w14:paraId="71C345D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PL-NATIONAL_SURVEILLANCE</w:t>
            </w:r>
          </w:p>
        </w:tc>
        <w:tc>
          <w:tcPr>
            <w:tcW w:w="550" w:type="dxa"/>
            <w:tcBorders>
              <w:top w:val="nil"/>
              <w:left w:val="nil"/>
              <w:bottom w:val="nil"/>
              <w:right w:val="single" w:sz="4" w:space="0" w:color="auto"/>
            </w:tcBorders>
            <w:shd w:val="clear" w:color="000000" w:fill="D9D9D9"/>
            <w:noWrap/>
            <w:vAlign w:val="bottom"/>
            <w:hideMark/>
          </w:tcPr>
          <w:p w14:paraId="6B5A433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00D131D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7471694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3DE1C6A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198DE61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73C0741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931921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DBEFF3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000000" w:fill="D9D9D9"/>
            <w:noWrap/>
            <w:vAlign w:val="bottom"/>
            <w:hideMark/>
          </w:tcPr>
          <w:p w14:paraId="63526A1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4137EF" w:rsidRPr="00FE46B6" w14:paraId="6D280F4A"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31F4C40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Portugal</w:t>
            </w:r>
          </w:p>
        </w:tc>
        <w:tc>
          <w:tcPr>
            <w:tcW w:w="2964" w:type="dxa"/>
            <w:tcBorders>
              <w:top w:val="nil"/>
              <w:left w:val="nil"/>
              <w:bottom w:val="nil"/>
              <w:right w:val="single" w:sz="4" w:space="0" w:color="auto"/>
            </w:tcBorders>
            <w:shd w:val="clear" w:color="auto" w:fill="auto"/>
            <w:noWrap/>
            <w:vAlign w:val="bottom"/>
            <w:hideMark/>
          </w:tcPr>
          <w:p w14:paraId="1610BBF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PT-BRUCELLOSIS</w:t>
            </w:r>
          </w:p>
        </w:tc>
        <w:tc>
          <w:tcPr>
            <w:tcW w:w="550" w:type="dxa"/>
            <w:tcBorders>
              <w:top w:val="nil"/>
              <w:left w:val="nil"/>
              <w:bottom w:val="nil"/>
              <w:right w:val="single" w:sz="4" w:space="0" w:color="auto"/>
            </w:tcBorders>
            <w:shd w:val="clear" w:color="auto" w:fill="auto"/>
            <w:noWrap/>
            <w:vAlign w:val="bottom"/>
            <w:hideMark/>
          </w:tcPr>
          <w:p w14:paraId="1B08163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20496F9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3C4A900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138441C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53DC0B9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3BB6793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2547A5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5DE602C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5C05FF82" w14:textId="2F7215DE"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w:t>
            </w:r>
            <w:r w:rsidR="00E02C3B" w:rsidRPr="009846E5">
              <w:rPr>
                <w:rFonts w:eastAsia="Times New Roman" w:cs="Tahoma"/>
                <w:sz w:val="14"/>
                <w:szCs w:val="14"/>
                <w:lang w:eastAsia="en-GB"/>
              </w:rPr>
              <w:t>1</w:t>
            </w:r>
            <w:r w:rsidRPr="009846E5">
              <w:rPr>
                <w:rFonts w:eastAsia="Times New Roman" w:cs="Tahoma"/>
                <w:sz w:val="14"/>
                <w:szCs w:val="14"/>
                <w:lang w:eastAsia="en-GB"/>
              </w:rPr>
              <w:t>8</w:t>
            </w:r>
          </w:p>
        </w:tc>
      </w:tr>
      <w:tr w:rsidR="000C12BF" w:rsidRPr="00FE46B6" w14:paraId="46FB13C0"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34DF8DC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Romania</w:t>
            </w:r>
          </w:p>
        </w:tc>
        <w:tc>
          <w:tcPr>
            <w:tcW w:w="2964" w:type="dxa"/>
            <w:tcBorders>
              <w:top w:val="nil"/>
              <w:left w:val="nil"/>
              <w:bottom w:val="nil"/>
              <w:right w:val="single" w:sz="4" w:space="0" w:color="auto"/>
            </w:tcBorders>
            <w:shd w:val="clear" w:color="000000" w:fill="D9D9D9"/>
            <w:noWrap/>
            <w:vAlign w:val="bottom"/>
            <w:hideMark/>
          </w:tcPr>
          <w:p w14:paraId="7F4E195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RO-</w:t>
            </w:r>
            <w:proofErr w:type="spellStart"/>
            <w:r w:rsidRPr="009846E5">
              <w:rPr>
                <w:rFonts w:eastAsia="Times New Roman" w:cs="Tahoma"/>
                <w:sz w:val="14"/>
                <w:szCs w:val="14"/>
                <w:lang w:eastAsia="en-GB"/>
              </w:rPr>
              <w:t>RNSSy</w:t>
            </w:r>
            <w:proofErr w:type="spellEnd"/>
          </w:p>
        </w:tc>
        <w:tc>
          <w:tcPr>
            <w:tcW w:w="550" w:type="dxa"/>
            <w:tcBorders>
              <w:top w:val="nil"/>
              <w:left w:val="nil"/>
              <w:bottom w:val="nil"/>
              <w:right w:val="single" w:sz="4" w:space="0" w:color="auto"/>
            </w:tcBorders>
            <w:shd w:val="clear" w:color="000000" w:fill="D9D9D9"/>
            <w:noWrap/>
            <w:vAlign w:val="bottom"/>
            <w:hideMark/>
          </w:tcPr>
          <w:p w14:paraId="722E7AC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7C29781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5DF1DD8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22CD758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3F22162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19B7CD4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3B4AD5B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40F68F4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000000" w:fill="D9D9D9"/>
            <w:noWrap/>
            <w:vAlign w:val="bottom"/>
            <w:hideMark/>
          </w:tcPr>
          <w:p w14:paraId="4DE4361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4137EF" w:rsidRPr="00FE46B6" w14:paraId="45A6D989"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293183F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Slovakia</w:t>
            </w:r>
          </w:p>
        </w:tc>
        <w:tc>
          <w:tcPr>
            <w:tcW w:w="2964" w:type="dxa"/>
            <w:tcBorders>
              <w:top w:val="nil"/>
              <w:left w:val="nil"/>
              <w:bottom w:val="nil"/>
              <w:right w:val="single" w:sz="4" w:space="0" w:color="auto"/>
            </w:tcBorders>
            <w:shd w:val="clear" w:color="auto" w:fill="auto"/>
            <w:noWrap/>
            <w:vAlign w:val="bottom"/>
            <w:hideMark/>
          </w:tcPr>
          <w:p w14:paraId="6BA0850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SK-EPIS</w:t>
            </w:r>
          </w:p>
        </w:tc>
        <w:tc>
          <w:tcPr>
            <w:tcW w:w="550" w:type="dxa"/>
            <w:tcBorders>
              <w:top w:val="nil"/>
              <w:left w:val="nil"/>
              <w:bottom w:val="nil"/>
              <w:right w:val="single" w:sz="4" w:space="0" w:color="auto"/>
            </w:tcBorders>
            <w:shd w:val="clear" w:color="auto" w:fill="auto"/>
            <w:noWrap/>
            <w:vAlign w:val="bottom"/>
            <w:hideMark/>
          </w:tcPr>
          <w:p w14:paraId="081D3A43"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6450DD9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0D523EC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A</w:t>
            </w:r>
          </w:p>
        </w:tc>
        <w:tc>
          <w:tcPr>
            <w:tcW w:w="550" w:type="dxa"/>
            <w:tcBorders>
              <w:top w:val="nil"/>
              <w:left w:val="nil"/>
              <w:bottom w:val="nil"/>
              <w:right w:val="single" w:sz="4" w:space="0" w:color="auto"/>
            </w:tcBorders>
            <w:shd w:val="clear" w:color="auto" w:fill="auto"/>
            <w:noWrap/>
            <w:vAlign w:val="bottom"/>
            <w:hideMark/>
          </w:tcPr>
          <w:p w14:paraId="274020DB"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623937F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4825DB3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F57EC4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B10401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5977027A" w14:textId="208CCD39" w:rsidR="004137EF" w:rsidRPr="009846E5" w:rsidRDefault="003B6CAB"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0C12BF" w:rsidRPr="00FE46B6" w14:paraId="4A4B6DC5" w14:textId="77777777" w:rsidTr="00034328">
        <w:trPr>
          <w:trHeight w:val="232"/>
        </w:trPr>
        <w:tc>
          <w:tcPr>
            <w:tcW w:w="1026" w:type="dxa"/>
            <w:tcBorders>
              <w:top w:val="nil"/>
              <w:left w:val="single" w:sz="4" w:space="0" w:color="000000"/>
              <w:bottom w:val="nil"/>
              <w:right w:val="single" w:sz="4" w:space="0" w:color="auto"/>
            </w:tcBorders>
            <w:shd w:val="clear" w:color="000000" w:fill="D9D9D9"/>
            <w:noWrap/>
            <w:vAlign w:val="bottom"/>
            <w:hideMark/>
          </w:tcPr>
          <w:p w14:paraId="2CF4471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Slovenia</w:t>
            </w:r>
          </w:p>
        </w:tc>
        <w:tc>
          <w:tcPr>
            <w:tcW w:w="2964" w:type="dxa"/>
            <w:tcBorders>
              <w:top w:val="nil"/>
              <w:left w:val="nil"/>
              <w:bottom w:val="nil"/>
              <w:right w:val="single" w:sz="4" w:space="0" w:color="auto"/>
            </w:tcBorders>
            <w:shd w:val="clear" w:color="000000" w:fill="D9D9D9"/>
            <w:noWrap/>
            <w:vAlign w:val="bottom"/>
            <w:hideMark/>
          </w:tcPr>
          <w:p w14:paraId="325833E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SI-SURVIVAL</w:t>
            </w:r>
          </w:p>
        </w:tc>
        <w:tc>
          <w:tcPr>
            <w:tcW w:w="550" w:type="dxa"/>
            <w:tcBorders>
              <w:top w:val="nil"/>
              <w:left w:val="nil"/>
              <w:bottom w:val="nil"/>
              <w:right w:val="single" w:sz="4" w:space="0" w:color="auto"/>
            </w:tcBorders>
            <w:shd w:val="clear" w:color="000000" w:fill="D9D9D9"/>
            <w:noWrap/>
            <w:vAlign w:val="bottom"/>
            <w:hideMark/>
          </w:tcPr>
          <w:p w14:paraId="7CCB994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29C5194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0966BD3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457692D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70EC3F7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24B674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11C6380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7C61576F"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000000" w:fill="D9D9D9"/>
            <w:noWrap/>
            <w:vAlign w:val="bottom"/>
            <w:hideMark/>
          </w:tcPr>
          <w:p w14:paraId="3D64422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EU-2008</w:t>
            </w:r>
          </w:p>
        </w:tc>
      </w:tr>
      <w:tr w:rsidR="004137EF" w:rsidRPr="00FE46B6" w14:paraId="60331A30" w14:textId="77777777" w:rsidTr="00034328">
        <w:trPr>
          <w:trHeight w:val="232"/>
        </w:trPr>
        <w:tc>
          <w:tcPr>
            <w:tcW w:w="1026" w:type="dxa"/>
            <w:tcBorders>
              <w:top w:val="nil"/>
              <w:left w:val="single" w:sz="4" w:space="0" w:color="000000"/>
              <w:bottom w:val="nil"/>
              <w:right w:val="single" w:sz="4" w:space="0" w:color="auto"/>
            </w:tcBorders>
            <w:shd w:val="clear" w:color="auto" w:fill="auto"/>
            <w:noWrap/>
            <w:vAlign w:val="bottom"/>
            <w:hideMark/>
          </w:tcPr>
          <w:p w14:paraId="4ABF0BF6"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Spain</w:t>
            </w:r>
          </w:p>
        </w:tc>
        <w:tc>
          <w:tcPr>
            <w:tcW w:w="2964" w:type="dxa"/>
            <w:tcBorders>
              <w:top w:val="nil"/>
              <w:left w:val="nil"/>
              <w:bottom w:val="nil"/>
              <w:right w:val="single" w:sz="4" w:space="0" w:color="auto"/>
            </w:tcBorders>
            <w:shd w:val="clear" w:color="auto" w:fill="auto"/>
            <w:noWrap/>
            <w:vAlign w:val="bottom"/>
            <w:hideMark/>
          </w:tcPr>
          <w:p w14:paraId="1E3ABDB4"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ES-STATUTORY_DISEASES</w:t>
            </w:r>
          </w:p>
        </w:tc>
        <w:tc>
          <w:tcPr>
            <w:tcW w:w="550" w:type="dxa"/>
            <w:tcBorders>
              <w:top w:val="nil"/>
              <w:left w:val="nil"/>
              <w:bottom w:val="nil"/>
              <w:right w:val="single" w:sz="4" w:space="0" w:color="auto"/>
            </w:tcBorders>
            <w:shd w:val="clear" w:color="auto" w:fill="auto"/>
            <w:noWrap/>
            <w:vAlign w:val="bottom"/>
            <w:hideMark/>
          </w:tcPr>
          <w:p w14:paraId="4E8C53F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787F1A8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3F2A86E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5D8683D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0C7DB2B8"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4D3DF2D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C9B0710"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426AD78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nil"/>
              <w:right w:val="single" w:sz="4" w:space="0" w:color="000000"/>
            </w:tcBorders>
            <w:shd w:val="clear" w:color="auto" w:fill="auto"/>
            <w:noWrap/>
            <w:vAlign w:val="bottom"/>
            <w:hideMark/>
          </w:tcPr>
          <w:p w14:paraId="17DBA419"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r w:rsidR="000C12BF" w:rsidRPr="00FE46B6" w14:paraId="0E39A220" w14:textId="77777777" w:rsidTr="00034328">
        <w:trPr>
          <w:trHeight w:val="232"/>
        </w:trPr>
        <w:tc>
          <w:tcPr>
            <w:tcW w:w="1026" w:type="dxa"/>
            <w:tcBorders>
              <w:top w:val="nil"/>
              <w:left w:val="single" w:sz="4" w:space="0" w:color="000000"/>
              <w:bottom w:val="single" w:sz="4" w:space="0" w:color="000000"/>
              <w:right w:val="single" w:sz="4" w:space="0" w:color="auto"/>
            </w:tcBorders>
            <w:shd w:val="clear" w:color="000000" w:fill="D9D9D9"/>
            <w:noWrap/>
            <w:vAlign w:val="bottom"/>
            <w:hideMark/>
          </w:tcPr>
          <w:p w14:paraId="23808BB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Sweden</w:t>
            </w:r>
          </w:p>
        </w:tc>
        <w:tc>
          <w:tcPr>
            <w:tcW w:w="2964" w:type="dxa"/>
            <w:tcBorders>
              <w:top w:val="nil"/>
              <w:left w:val="nil"/>
              <w:bottom w:val="single" w:sz="4" w:space="0" w:color="000000"/>
              <w:right w:val="single" w:sz="4" w:space="0" w:color="auto"/>
            </w:tcBorders>
            <w:shd w:val="clear" w:color="000000" w:fill="D9D9D9"/>
            <w:noWrap/>
            <w:vAlign w:val="bottom"/>
            <w:hideMark/>
          </w:tcPr>
          <w:p w14:paraId="157DA58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SE-SMINET</w:t>
            </w:r>
          </w:p>
        </w:tc>
        <w:tc>
          <w:tcPr>
            <w:tcW w:w="550" w:type="dxa"/>
            <w:tcBorders>
              <w:top w:val="nil"/>
              <w:left w:val="nil"/>
              <w:bottom w:val="single" w:sz="4" w:space="0" w:color="000000"/>
              <w:right w:val="single" w:sz="4" w:space="0" w:color="auto"/>
            </w:tcBorders>
            <w:shd w:val="clear" w:color="000000" w:fill="D9D9D9"/>
            <w:noWrap/>
            <w:vAlign w:val="bottom"/>
            <w:hideMark/>
          </w:tcPr>
          <w:p w14:paraId="1043298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Cp</w:t>
            </w:r>
          </w:p>
        </w:tc>
        <w:tc>
          <w:tcPr>
            <w:tcW w:w="550" w:type="dxa"/>
            <w:tcBorders>
              <w:top w:val="nil"/>
              <w:left w:val="nil"/>
              <w:bottom w:val="single" w:sz="4" w:space="0" w:color="000000"/>
              <w:right w:val="single" w:sz="4" w:space="0" w:color="auto"/>
            </w:tcBorders>
            <w:shd w:val="clear" w:color="000000" w:fill="D9D9D9"/>
            <w:noWrap/>
            <w:vAlign w:val="bottom"/>
            <w:hideMark/>
          </w:tcPr>
          <w:p w14:paraId="7B9C9D1E"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Co</w:t>
            </w:r>
          </w:p>
        </w:tc>
        <w:tc>
          <w:tcPr>
            <w:tcW w:w="550" w:type="dxa"/>
            <w:tcBorders>
              <w:top w:val="nil"/>
              <w:left w:val="nil"/>
              <w:bottom w:val="single" w:sz="4" w:space="0" w:color="000000"/>
              <w:right w:val="single" w:sz="4" w:space="0" w:color="auto"/>
            </w:tcBorders>
            <w:shd w:val="clear" w:color="000000" w:fill="D9D9D9"/>
            <w:noWrap/>
            <w:vAlign w:val="bottom"/>
            <w:hideMark/>
          </w:tcPr>
          <w:p w14:paraId="424484E1"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P</w:t>
            </w:r>
          </w:p>
        </w:tc>
        <w:tc>
          <w:tcPr>
            <w:tcW w:w="550" w:type="dxa"/>
            <w:tcBorders>
              <w:top w:val="nil"/>
              <w:left w:val="nil"/>
              <w:bottom w:val="single" w:sz="4" w:space="0" w:color="000000"/>
              <w:right w:val="single" w:sz="4" w:space="0" w:color="auto"/>
            </w:tcBorders>
            <w:shd w:val="clear" w:color="000000" w:fill="D9D9D9"/>
            <w:noWrap/>
            <w:vAlign w:val="bottom"/>
            <w:hideMark/>
          </w:tcPr>
          <w:p w14:paraId="59AA84AD"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C</w:t>
            </w:r>
          </w:p>
        </w:tc>
        <w:tc>
          <w:tcPr>
            <w:tcW w:w="550" w:type="dxa"/>
            <w:tcBorders>
              <w:top w:val="nil"/>
              <w:left w:val="nil"/>
              <w:bottom w:val="single" w:sz="4" w:space="0" w:color="000000"/>
              <w:right w:val="single" w:sz="4" w:space="0" w:color="auto"/>
            </w:tcBorders>
            <w:shd w:val="clear" w:color="000000" w:fill="D9D9D9"/>
            <w:noWrap/>
            <w:vAlign w:val="bottom"/>
            <w:hideMark/>
          </w:tcPr>
          <w:p w14:paraId="7DB0D1FC"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single" w:sz="4" w:space="0" w:color="000000"/>
              <w:right w:val="single" w:sz="4" w:space="0" w:color="auto"/>
            </w:tcBorders>
            <w:shd w:val="clear" w:color="000000" w:fill="D9D9D9"/>
            <w:noWrap/>
            <w:vAlign w:val="bottom"/>
            <w:hideMark/>
          </w:tcPr>
          <w:p w14:paraId="0374BB65"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Y</w:t>
            </w:r>
          </w:p>
        </w:tc>
        <w:tc>
          <w:tcPr>
            <w:tcW w:w="550" w:type="dxa"/>
            <w:tcBorders>
              <w:top w:val="nil"/>
              <w:left w:val="nil"/>
              <w:bottom w:val="single" w:sz="4" w:space="0" w:color="000000"/>
              <w:right w:val="single" w:sz="4" w:space="0" w:color="auto"/>
            </w:tcBorders>
            <w:shd w:val="clear" w:color="000000" w:fill="D9D9D9"/>
            <w:noWrap/>
            <w:vAlign w:val="bottom"/>
            <w:hideMark/>
          </w:tcPr>
          <w:p w14:paraId="3045B522"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550" w:type="dxa"/>
            <w:tcBorders>
              <w:top w:val="nil"/>
              <w:left w:val="nil"/>
              <w:bottom w:val="single" w:sz="4" w:space="0" w:color="000000"/>
              <w:right w:val="single" w:sz="4" w:space="0" w:color="auto"/>
            </w:tcBorders>
            <w:shd w:val="clear" w:color="000000" w:fill="D9D9D9"/>
            <w:noWrap/>
            <w:vAlign w:val="bottom"/>
            <w:hideMark/>
          </w:tcPr>
          <w:p w14:paraId="7D42AFF7"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N</w:t>
            </w:r>
          </w:p>
        </w:tc>
        <w:tc>
          <w:tcPr>
            <w:tcW w:w="1489" w:type="dxa"/>
            <w:tcBorders>
              <w:top w:val="nil"/>
              <w:left w:val="nil"/>
              <w:bottom w:val="single" w:sz="4" w:space="0" w:color="000000"/>
              <w:right w:val="single" w:sz="4" w:space="0" w:color="000000"/>
            </w:tcBorders>
            <w:shd w:val="clear" w:color="000000" w:fill="D9D9D9"/>
            <w:noWrap/>
            <w:vAlign w:val="bottom"/>
            <w:hideMark/>
          </w:tcPr>
          <w:p w14:paraId="0265960A" w14:textId="77777777" w:rsidR="004137EF" w:rsidRPr="009846E5" w:rsidRDefault="004137EF" w:rsidP="00AF4AD6">
            <w:pPr>
              <w:spacing w:before="120" w:after="0"/>
              <w:rPr>
                <w:rFonts w:eastAsia="Times New Roman" w:cs="Tahoma"/>
                <w:sz w:val="14"/>
                <w:szCs w:val="14"/>
                <w:lang w:eastAsia="en-GB"/>
              </w:rPr>
            </w:pPr>
            <w:r w:rsidRPr="009846E5">
              <w:rPr>
                <w:rFonts w:eastAsia="Times New Roman" w:cs="Tahoma"/>
                <w:sz w:val="14"/>
                <w:szCs w:val="14"/>
                <w:lang w:eastAsia="en-GB"/>
              </w:rPr>
              <w:t>EU-2018</w:t>
            </w:r>
          </w:p>
        </w:tc>
      </w:tr>
    </w:tbl>
    <w:p w14:paraId="345B9C55" w14:textId="77777777" w:rsidR="008F31F2" w:rsidRDefault="008F31F2">
      <w:pPr>
        <w:rPr>
          <w:rFonts w:eastAsia="Arial Unicode MS" w:cs="Times New Roman"/>
          <w:kern w:val="22"/>
          <w:szCs w:val="18"/>
          <w:lang w:eastAsia="ko-KR"/>
        </w:rPr>
      </w:pPr>
      <w:r>
        <w:br w:type="page"/>
      </w:r>
    </w:p>
    <w:p w14:paraId="21FB7081" w14:textId="1CB99A24" w:rsidR="00AC0043" w:rsidRPr="009D3F1F" w:rsidRDefault="00AC0043" w:rsidP="00AC0043">
      <w:pPr>
        <w:pStyle w:val="EC-Title-5"/>
        <w:outlineLvl w:val="0"/>
        <w:rPr>
          <w:i/>
        </w:rPr>
      </w:pPr>
      <w:bookmarkStart w:id="12" w:name="_Toc437442007"/>
      <w:bookmarkStart w:id="13" w:name="_Toc127531818"/>
      <w:r w:rsidRPr="009D3F1F">
        <w:lastRenderedPageBreak/>
        <w:t>Campylobacteriosis</w:t>
      </w:r>
      <w:bookmarkEnd w:id="12"/>
      <w:bookmarkEnd w:id="13"/>
    </w:p>
    <w:p w14:paraId="398CF209" w14:textId="6107F6C3" w:rsidR="002719AF" w:rsidRDefault="002B7990" w:rsidP="00EE1F3C">
      <w:pPr>
        <w:pStyle w:val="EC-Para"/>
        <w:jc w:val="right"/>
        <w:rPr>
          <w:b/>
          <w:lang w:eastAsia="en-US"/>
        </w:rPr>
      </w:pPr>
      <w:r w:rsidRPr="009D3F1F">
        <w:rPr>
          <w:b/>
          <w:lang w:eastAsia="en-US"/>
        </w:rPr>
        <w:br/>
      </w:r>
      <w:r w:rsidR="00CB3144">
        <w:rPr>
          <w:b/>
          <w:lang w:eastAsia="en-US"/>
        </w:rPr>
        <w:t>Last updated: 13 August 2024</w:t>
      </w:r>
    </w:p>
    <w:p w14:paraId="4617D3D6" w14:textId="14EE12D6" w:rsidR="00AC0043" w:rsidRPr="009D3F1F"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55118482" w14:textId="77777777" w:rsidR="002719AF" w:rsidRDefault="002719AF" w:rsidP="00AC0043">
      <w:pPr>
        <w:pStyle w:val="EC-Title-6"/>
        <w:outlineLvl w:val="9"/>
        <w:rPr>
          <w:rFonts w:eastAsia="Arial Unicode MS" w:cs="Tahoma"/>
          <w:b w:val="0"/>
          <w:bCs w:val="0"/>
          <w:color w:val="auto"/>
          <w:kern w:val="22"/>
          <w:sz w:val="18"/>
          <w:szCs w:val="18"/>
          <w:lang w:eastAsia="ko-KR"/>
        </w:rPr>
      </w:pPr>
    </w:p>
    <w:p w14:paraId="1B26A3D1" w14:textId="6F2E0F65" w:rsidR="00AC0043" w:rsidRPr="009D3F1F" w:rsidRDefault="00AC0043" w:rsidP="00AC0043">
      <w:pPr>
        <w:pStyle w:val="EC-Title-6"/>
        <w:outlineLvl w:val="9"/>
        <w:rPr>
          <w:rStyle w:val="Hyperlink"/>
          <w:i/>
        </w:rPr>
      </w:pPr>
      <w:r w:rsidRPr="009D3F1F">
        <w:rPr>
          <w:rFonts w:eastAsia="Arial Unicode MS" w:cs="Tahoma"/>
          <w:b w:val="0"/>
          <w:bCs w:val="0"/>
          <w:color w:val="auto"/>
          <w:kern w:val="22"/>
          <w:sz w:val="18"/>
          <w:szCs w:val="18"/>
          <w:lang w:eastAsia="ko-KR"/>
        </w:rPr>
        <w:t>Campylobacteriosis is an infectious disease caused</w:t>
      </w:r>
      <w:r w:rsidRPr="009D3F1F">
        <w:rPr>
          <w:rFonts w:cs="Tahoma"/>
          <w:color w:val="000000"/>
          <w:sz w:val="18"/>
          <w:szCs w:val="18"/>
          <w:lang w:val="en"/>
        </w:rPr>
        <w:t xml:space="preserve"> </w:t>
      </w:r>
      <w:r w:rsidRPr="009D3F1F">
        <w:rPr>
          <w:rFonts w:eastAsia="Arial Unicode MS" w:cs="Tahoma"/>
          <w:b w:val="0"/>
          <w:bCs w:val="0"/>
          <w:color w:val="auto"/>
          <w:kern w:val="22"/>
          <w:sz w:val="18"/>
          <w:szCs w:val="18"/>
          <w:lang w:eastAsia="ko-KR"/>
        </w:rPr>
        <w:t xml:space="preserve">by bacteria of the genus </w:t>
      </w:r>
      <w:r w:rsidRPr="009D3F1F">
        <w:rPr>
          <w:rFonts w:eastAsia="Arial Unicode MS"/>
          <w:b w:val="0"/>
          <w:bCs w:val="0"/>
          <w:i/>
          <w:iCs/>
          <w:color w:val="auto"/>
          <w:kern w:val="22"/>
          <w:sz w:val="18"/>
          <w:szCs w:val="18"/>
          <w:lang w:eastAsia="ko-KR"/>
        </w:rPr>
        <w:t xml:space="preserve">Campylobacter. </w:t>
      </w:r>
      <w:r w:rsidRPr="009D3F1F">
        <w:rPr>
          <w:rFonts w:eastAsia="Arial Unicode MS" w:cs="Tahoma"/>
          <w:b w:val="0"/>
          <w:bCs w:val="0"/>
          <w:color w:val="auto"/>
          <w:kern w:val="22"/>
          <w:sz w:val="18"/>
          <w:szCs w:val="18"/>
          <w:lang w:eastAsia="ko-KR"/>
        </w:rPr>
        <w:t xml:space="preserve">For a more detailed description of the disease and its epidemiology, </w:t>
      </w:r>
      <w:r w:rsidRPr="00D1043F">
        <w:rPr>
          <w:rFonts w:eastAsia="Arial Unicode MS" w:cs="Tahoma"/>
          <w:b w:val="0"/>
          <w:bCs w:val="0"/>
          <w:color w:val="auto"/>
          <w:kern w:val="22"/>
          <w:sz w:val="18"/>
          <w:szCs w:val="18"/>
          <w:lang w:eastAsia="ko-KR"/>
        </w:rPr>
        <w:t>please click</w:t>
      </w:r>
      <w:r w:rsidR="00E32F3C" w:rsidRPr="00D1043F">
        <w:rPr>
          <w:rFonts w:eastAsia="Arial Unicode MS" w:cs="Tahoma"/>
          <w:b w:val="0"/>
          <w:bCs w:val="0"/>
          <w:color w:val="auto"/>
          <w:kern w:val="22"/>
          <w:sz w:val="18"/>
          <w:szCs w:val="18"/>
          <w:lang w:eastAsia="ko-KR"/>
        </w:rPr>
        <w:t xml:space="preserve"> </w:t>
      </w:r>
      <w:hyperlink r:id="rId21" w:history="1">
        <w:r w:rsidR="00E32F3C" w:rsidRPr="00D1043F">
          <w:rPr>
            <w:rStyle w:val="Hyperlink"/>
            <w:rFonts w:eastAsia="Arial Unicode MS" w:cs="Tahoma"/>
            <w:b w:val="0"/>
            <w:bCs w:val="0"/>
            <w:i/>
            <w:iCs/>
            <w:kern w:val="22"/>
            <w:sz w:val="18"/>
            <w:szCs w:val="18"/>
            <w:lang w:eastAsia="ko-KR"/>
          </w:rPr>
          <w:t>here</w:t>
        </w:r>
      </w:hyperlink>
      <w:r w:rsidR="00E32F3C" w:rsidRPr="00D1043F">
        <w:rPr>
          <w:rFonts w:eastAsia="Arial Unicode MS" w:cs="Tahoma"/>
          <w:b w:val="0"/>
          <w:bCs w:val="0"/>
          <w:i/>
          <w:iCs/>
          <w:color w:val="auto"/>
          <w:kern w:val="22"/>
          <w:sz w:val="18"/>
          <w:szCs w:val="18"/>
          <w:lang w:eastAsia="ko-KR"/>
        </w:rPr>
        <w:t>.</w:t>
      </w:r>
      <w:r w:rsidRPr="009D3F1F">
        <w:rPr>
          <w:rStyle w:val="Hyperlink"/>
          <w:i/>
        </w:rPr>
        <w:t xml:space="preserve">  </w:t>
      </w:r>
    </w:p>
    <w:p w14:paraId="3467520F" w14:textId="77777777" w:rsidR="00AC0043" w:rsidRPr="009D3F1F" w:rsidRDefault="00AC0043" w:rsidP="00AC0043">
      <w:pPr>
        <w:pStyle w:val="EC-Title-6"/>
        <w:outlineLvl w:val="1"/>
        <w:rPr>
          <w:rFonts w:cs="Tahoma"/>
        </w:rPr>
      </w:pPr>
      <w:bookmarkStart w:id="14" w:name="_Toc437442008"/>
      <w:r w:rsidRPr="009D3F1F">
        <w:rPr>
          <w:rFonts w:cs="Tahoma"/>
        </w:rPr>
        <w:t>Data</w:t>
      </w:r>
      <w:bookmarkEnd w:id="14"/>
    </w:p>
    <w:p w14:paraId="7AC3C7B6" w14:textId="12CC0140" w:rsidR="00AC0043" w:rsidRPr="009D3F1F" w:rsidRDefault="00AC0043" w:rsidP="00AC0043">
      <w:pPr>
        <w:pStyle w:val="EC-Para"/>
        <w:jc w:val="both"/>
        <w:rPr>
          <w:rFonts w:cs="Tahoma"/>
        </w:rPr>
      </w:pPr>
      <w:r w:rsidRPr="009D3F1F">
        <w:rPr>
          <w:rFonts w:cs="Tahoma"/>
        </w:rPr>
        <w:t xml:space="preserve">The Surveillance Atlas of Infectious Diseases displays data on campylobacteriosis reported by the </w:t>
      </w:r>
      <w:r w:rsidR="00E75405" w:rsidRPr="009D3F1F">
        <w:rPr>
          <w:rFonts w:cs="Tahoma"/>
        </w:rPr>
        <w:t>EU/EEA countries</w:t>
      </w:r>
      <w:r w:rsidRPr="009D3F1F">
        <w:rPr>
          <w:rFonts w:cs="Tahoma"/>
        </w:rPr>
        <w:t>. Cases should be reported according to the 201</w:t>
      </w:r>
      <w:r w:rsidR="008E5E48" w:rsidRPr="009D3F1F">
        <w:rPr>
          <w:rFonts w:cs="Tahoma"/>
        </w:rPr>
        <w:t>8</w:t>
      </w:r>
      <w:r w:rsidRPr="009D3F1F">
        <w:rPr>
          <w:rFonts w:cs="Tahoma"/>
        </w:rPr>
        <w:t xml:space="preserve"> EU case definition for </w:t>
      </w:r>
      <w:r w:rsidR="008E5E48" w:rsidRPr="00805F81">
        <w:rPr>
          <w:rFonts w:cs="Tahoma"/>
          <w:i/>
        </w:rPr>
        <w:t>Campylobacter</w:t>
      </w:r>
      <w:r w:rsidR="008E5E48" w:rsidRPr="009D3F1F">
        <w:rPr>
          <w:rFonts w:cs="Tahoma"/>
        </w:rPr>
        <w:t xml:space="preserve"> enteri</w:t>
      </w:r>
      <w:r w:rsidR="00A433D8" w:rsidRPr="009D3F1F">
        <w:rPr>
          <w:rFonts w:cs="Tahoma"/>
        </w:rPr>
        <w:t>t</w:t>
      </w:r>
      <w:r w:rsidR="00376E3D" w:rsidRPr="009D3F1F">
        <w:rPr>
          <w:rFonts w:cs="Tahoma"/>
        </w:rPr>
        <w:t>i</w:t>
      </w:r>
      <w:r w:rsidR="00A433D8" w:rsidRPr="009D3F1F">
        <w:rPr>
          <w:rFonts w:cs="Tahoma"/>
        </w:rPr>
        <w:t>s</w:t>
      </w:r>
      <w:r w:rsidRPr="009D3F1F">
        <w:rPr>
          <w:rStyle w:val="FootnoteReference"/>
          <w:rFonts w:eastAsiaTheme="minorHAnsi" w:cs="Tahoma"/>
          <w:szCs w:val="20"/>
          <w:lang w:eastAsia="en-US"/>
        </w:rPr>
        <w:footnoteReference w:id="7"/>
      </w:r>
      <w:r w:rsidRPr="009D3F1F">
        <w:rPr>
          <w:rFonts w:cs="Tahoma"/>
        </w:rPr>
        <w:t>:</w:t>
      </w:r>
    </w:p>
    <w:p w14:paraId="43D18F26" w14:textId="77777777" w:rsidR="00AC0043" w:rsidRPr="009D3F1F" w:rsidRDefault="00AC0043" w:rsidP="00AC0043">
      <w:pPr>
        <w:autoSpaceDE w:val="0"/>
        <w:autoSpaceDN w:val="0"/>
        <w:adjustRightInd w:val="0"/>
        <w:spacing w:before="60" w:after="60"/>
        <w:rPr>
          <w:rFonts w:eastAsiaTheme="minorHAnsi" w:cs="Tahoma"/>
          <w:b/>
          <w:bCs/>
          <w:color w:val="000000"/>
          <w:szCs w:val="18"/>
        </w:rPr>
      </w:pPr>
    </w:p>
    <w:p w14:paraId="596D6C5C"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b/>
          <w:bCs/>
          <w:color w:val="000000"/>
          <w:szCs w:val="18"/>
        </w:rPr>
        <w:t xml:space="preserve">Clinical criteria </w:t>
      </w:r>
    </w:p>
    <w:p w14:paraId="55E2F12B"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Any person with the following three: </w:t>
      </w:r>
    </w:p>
    <w:p w14:paraId="7E4AE019"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 </w:t>
      </w:r>
      <w:proofErr w:type="gramStart"/>
      <w:r w:rsidRPr="009D3F1F">
        <w:rPr>
          <w:rFonts w:eastAsiaTheme="minorHAnsi" w:cs="Tahoma"/>
          <w:color w:val="000000"/>
          <w:szCs w:val="18"/>
        </w:rPr>
        <w:t>Diarrhoea;</w:t>
      </w:r>
      <w:proofErr w:type="gramEnd"/>
      <w:r w:rsidRPr="009D3F1F">
        <w:rPr>
          <w:rFonts w:eastAsiaTheme="minorHAnsi" w:cs="Tahoma"/>
          <w:color w:val="000000"/>
          <w:szCs w:val="18"/>
        </w:rPr>
        <w:t xml:space="preserve"> </w:t>
      </w:r>
    </w:p>
    <w:p w14:paraId="19842B5A"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 Abdominal </w:t>
      </w:r>
      <w:proofErr w:type="gramStart"/>
      <w:r w:rsidRPr="009D3F1F">
        <w:rPr>
          <w:rFonts w:eastAsiaTheme="minorHAnsi" w:cs="Tahoma"/>
          <w:color w:val="000000"/>
          <w:szCs w:val="18"/>
        </w:rPr>
        <w:t>pain;</w:t>
      </w:r>
      <w:proofErr w:type="gramEnd"/>
      <w:r w:rsidRPr="009D3F1F">
        <w:rPr>
          <w:rFonts w:eastAsiaTheme="minorHAnsi" w:cs="Tahoma"/>
          <w:color w:val="000000"/>
          <w:szCs w:val="18"/>
        </w:rPr>
        <w:t xml:space="preserve"> </w:t>
      </w:r>
    </w:p>
    <w:p w14:paraId="7E7FD05E"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Fever.</w:t>
      </w:r>
    </w:p>
    <w:p w14:paraId="08699A97" w14:textId="3524D622" w:rsidR="00AC0043" w:rsidRPr="009D3F1F" w:rsidRDefault="00AC0043" w:rsidP="00AC0043">
      <w:pPr>
        <w:autoSpaceDE w:val="0"/>
        <w:autoSpaceDN w:val="0"/>
        <w:adjustRightInd w:val="0"/>
        <w:spacing w:before="60" w:after="60"/>
        <w:rPr>
          <w:rFonts w:eastAsiaTheme="minorHAnsi" w:cs="Tahoma"/>
          <w:b/>
          <w:bCs/>
          <w:color w:val="000000"/>
          <w:szCs w:val="18"/>
        </w:rPr>
      </w:pPr>
      <w:r w:rsidRPr="009D3F1F">
        <w:rPr>
          <w:rFonts w:eastAsiaTheme="minorHAnsi" w:cs="Tahoma"/>
          <w:b/>
          <w:bCs/>
          <w:color w:val="000000"/>
          <w:szCs w:val="18"/>
        </w:rPr>
        <w:t xml:space="preserve">Laboratory criteria </w:t>
      </w:r>
    </w:p>
    <w:p w14:paraId="6137AD44" w14:textId="081ED0E1" w:rsidR="00F051E6" w:rsidRPr="009D3F1F" w:rsidRDefault="00F051E6" w:rsidP="00AC0043">
      <w:pPr>
        <w:autoSpaceDE w:val="0"/>
        <w:autoSpaceDN w:val="0"/>
        <w:adjustRightInd w:val="0"/>
        <w:spacing w:before="60" w:after="60"/>
        <w:rPr>
          <w:rFonts w:cs="Tahoma"/>
          <w:szCs w:val="18"/>
        </w:rPr>
      </w:pPr>
      <w:r w:rsidRPr="009D3F1F">
        <w:rPr>
          <w:rFonts w:cs="Tahoma"/>
          <w:szCs w:val="18"/>
        </w:rPr>
        <w:t>At least one of the following two:</w:t>
      </w:r>
    </w:p>
    <w:p w14:paraId="2140076E" w14:textId="480C8C61" w:rsidR="00F051E6" w:rsidRPr="009D3F1F" w:rsidRDefault="00F051E6" w:rsidP="00AC0043">
      <w:pPr>
        <w:autoSpaceDE w:val="0"/>
        <w:autoSpaceDN w:val="0"/>
        <w:adjustRightInd w:val="0"/>
        <w:spacing w:before="60" w:after="60"/>
        <w:rPr>
          <w:rFonts w:cs="Tahoma"/>
          <w:szCs w:val="18"/>
        </w:rPr>
      </w:pPr>
      <w:r w:rsidRPr="009D3F1F">
        <w:rPr>
          <w:rFonts w:cs="Tahoma"/>
          <w:szCs w:val="18"/>
        </w:rPr>
        <w:t xml:space="preserve">— Isolation of human pathogenic </w:t>
      </w:r>
      <w:r w:rsidRPr="009D3F1F">
        <w:rPr>
          <w:rFonts w:cs="Tahoma"/>
          <w:i/>
          <w:szCs w:val="18"/>
        </w:rPr>
        <w:t>Campylobacter</w:t>
      </w:r>
      <w:r w:rsidRPr="009D3F1F">
        <w:rPr>
          <w:rFonts w:cs="Tahoma"/>
          <w:szCs w:val="18"/>
        </w:rPr>
        <w:t xml:space="preserve"> spp. from a clinical </w:t>
      </w:r>
      <w:proofErr w:type="gramStart"/>
      <w:r w:rsidRPr="009D3F1F">
        <w:rPr>
          <w:rFonts w:cs="Tahoma"/>
          <w:szCs w:val="18"/>
        </w:rPr>
        <w:t>specimen;</w:t>
      </w:r>
      <w:proofErr w:type="gramEnd"/>
    </w:p>
    <w:p w14:paraId="2472368A" w14:textId="39CCC31E" w:rsidR="00F051E6" w:rsidRPr="009D3F1F" w:rsidRDefault="00F051E6" w:rsidP="00AC0043">
      <w:pPr>
        <w:autoSpaceDE w:val="0"/>
        <w:autoSpaceDN w:val="0"/>
        <w:adjustRightInd w:val="0"/>
        <w:spacing w:before="60" w:after="60"/>
        <w:rPr>
          <w:rFonts w:cs="Tahoma"/>
          <w:szCs w:val="18"/>
        </w:rPr>
      </w:pPr>
      <w:r w:rsidRPr="009D3F1F">
        <w:rPr>
          <w:rFonts w:cs="Tahoma"/>
          <w:szCs w:val="18"/>
        </w:rPr>
        <w:t xml:space="preserve">— Detection of </w:t>
      </w:r>
      <w:r w:rsidRPr="009D3F1F">
        <w:rPr>
          <w:rFonts w:cs="Tahoma"/>
          <w:i/>
          <w:szCs w:val="18"/>
        </w:rPr>
        <w:t>Campylobacter</w:t>
      </w:r>
      <w:r w:rsidRPr="009D3F1F">
        <w:rPr>
          <w:rFonts w:cs="Tahoma"/>
          <w:szCs w:val="18"/>
        </w:rPr>
        <w:t xml:space="preserve"> spp. nucleic acid in a clinical specimen.</w:t>
      </w:r>
    </w:p>
    <w:p w14:paraId="7F661702" w14:textId="17281931" w:rsidR="00F051E6" w:rsidRPr="009D3F1F" w:rsidRDefault="00F051E6" w:rsidP="00AC0043">
      <w:pPr>
        <w:autoSpaceDE w:val="0"/>
        <w:autoSpaceDN w:val="0"/>
        <w:adjustRightInd w:val="0"/>
        <w:spacing w:before="60" w:after="60"/>
        <w:rPr>
          <w:rFonts w:eastAsiaTheme="minorHAnsi" w:cs="Tahoma"/>
          <w:color w:val="000000"/>
          <w:szCs w:val="18"/>
        </w:rPr>
      </w:pPr>
      <w:r w:rsidRPr="009D3F1F">
        <w:rPr>
          <w:rFonts w:cs="Tahoma"/>
          <w:szCs w:val="18"/>
        </w:rPr>
        <w:t xml:space="preserve">Note: Antimicrobial susceptibility testing of </w:t>
      </w:r>
      <w:r w:rsidRPr="009D3F1F">
        <w:rPr>
          <w:rFonts w:cs="Tahoma"/>
          <w:i/>
          <w:szCs w:val="18"/>
        </w:rPr>
        <w:t>Campylobacter</w:t>
      </w:r>
      <w:r w:rsidRPr="009D3F1F">
        <w:rPr>
          <w:rFonts w:cs="Tahoma"/>
          <w:szCs w:val="18"/>
        </w:rPr>
        <w:t xml:space="preserve"> spp. should be performed on a representative subset of isolates</w:t>
      </w:r>
    </w:p>
    <w:p w14:paraId="35216F4E"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b/>
          <w:bCs/>
          <w:color w:val="000000"/>
          <w:szCs w:val="18"/>
        </w:rPr>
        <w:t xml:space="preserve">Epidemiological criteria </w:t>
      </w:r>
    </w:p>
    <w:p w14:paraId="5EB7DFA5"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At least one of the following five epidemiological links: </w:t>
      </w:r>
    </w:p>
    <w:p w14:paraId="4F0BB4C0" w14:textId="37B8632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Animal</w:t>
      </w:r>
      <w:r w:rsidR="00C10432" w:rsidRPr="009D3F1F">
        <w:rPr>
          <w:rFonts w:eastAsiaTheme="minorHAnsi" w:cs="Tahoma"/>
          <w:color w:val="000000"/>
          <w:szCs w:val="18"/>
        </w:rPr>
        <w:t xml:space="preserve"> </w:t>
      </w:r>
      <w:r w:rsidRPr="009D3F1F">
        <w:rPr>
          <w:rFonts w:eastAsiaTheme="minorHAnsi" w:cs="Tahoma"/>
          <w:color w:val="000000"/>
          <w:szCs w:val="18"/>
        </w:rPr>
        <w:t>to</w:t>
      </w:r>
      <w:r w:rsidR="00C10432" w:rsidRPr="009D3F1F">
        <w:rPr>
          <w:rFonts w:eastAsiaTheme="minorHAnsi" w:cs="Tahoma"/>
          <w:color w:val="000000"/>
          <w:szCs w:val="18"/>
        </w:rPr>
        <w:t xml:space="preserve"> </w:t>
      </w:r>
      <w:r w:rsidRPr="009D3F1F">
        <w:rPr>
          <w:rFonts w:eastAsiaTheme="minorHAnsi" w:cs="Tahoma"/>
          <w:color w:val="000000"/>
          <w:szCs w:val="18"/>
        </w:rPr>
        <w:t xml:space="preserve">human </w:t>
      </w:r>
      <w:proofErr w:type="gramStart"/>
      <w:r w:rsidRPr="009D3F1F">
        <w:rPr>
          <w:rFonts w:eastAsiaTheme="minorHAnsi" w:cs="Tahoma"/>
          <w:color w:val="000000"/>
          <w:szCs w:val="18"/>
        </w:rPr>
        <w:t>transmission;</w:t>
      </w:r>
      <w:proofErr w:type="gramEnd"/>
      <w:r w:rsidRPr="009D3F1F">
        <w:rPr>
          <w:rFonts w:eastAsiaTheme="minorHAnsi" w:cs="Tahoma"/>
          <w:color w:val="000000"/>
          <w:szCs w:val="18"/>
        </w:rPr>
        <w:t xml:space="preserve"> </w:t>
      </w:r>
    </w:p>
    <w:p w14:paraId="0F22149A" w14:textId="714F2F5E"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Human</w:t>
      </w:r>
      <w:r w:rsidR="00C10432" w:rsidRPr="009D3F1F">
        <w:rPr>
          <w:rFonts w:eastAsiaTheme="minorHAnsi" w:cs="Tahoma"/>
          <w:color w:val="000000"/>
          <w:szCs w:val="18"/>
        </w:rPr>
        <w:t xml:space="preserve"> </w:t>
      </w:r>
      <w:r w:rsidRPr="009D3F1F">
        <w:rPr>
          <w:rFonts w:eastAsiaTheme="minorHAnsi" w:cs="Tahoma"/>
          <w:color w:val="000000"/>
          <w:szCs w:val="18"/>
        </w:rPr>
        <w:t>to</w:t>
      </w:r>
      <w:r w:rsidR="00C10432" w:rsidRPr="009D3F1F">
        <w:rPr>
          <w:rFonts w:eastAsiaTheme="minorHAnsi" w:cs="Tahoma"/>
          <w:color w:val="000000"/>
          <w:szCs w:val="18"/>
        </w:rPr>
        <w:t xml:space="preserve"> </w:t>
      </w:r>
      <w:r w:rsidRPr="009D3F1F">
        <w:rPr>
          <w:rFonts w:eastAsiaTheme="minorHAnsi" w:cs="Tahoma"/>
          <w:color w:val="000000"/>
          <w:szCs w:val="18"/>
        </w:rPr>
        <w:t xml:space="preserve">human </w:t>
      </w:r>
      <w:proofErr w:type="gramStart"/>
      <w:r w:rsidRPr="009D3F1F">
        <w:rPr>
          <w:rFonts w:eastAsiaTheme="minorHAnsi" w:cs="Tahoma"/>
          <w:color w:val="000000"/>
          <w:szCs w:val="18"/>
        </w:rPr>
        <w:t>transmission;</w:t>
      </w:r>
      <w:proofErr w:type="gramEnd"/>
      <w:r w:rsidRPr="009D3F1F">
        <w:rPr>
          <w:rFonts w:eastAsiaTheme="minorHAnsi" w:cs="Tahoma"/>
          <w:color w:val="000000"/>
          <w:szCs w:val="18"/>
        </w:rPr>
        <w:t xml:space="preserve"> </w:t>
      </w:r>
    </w:p>
    <w:p w14:paraId="297D0C2C"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 Exposure to a common </w:t>
      </w:r>
      <w:proofErr w:type="gramStart"/>
      <w:r w:rsidRPr="009D3F1F">
        <w:rPr>
          <w:rFonts w:eastAsiaTheme="minorHAnsi" w:cs="Tahoma"/>
          <w:color w:val="000000"/>
          <w:szCs w:val="18"/>
        </w:rPr>
        <w:t>source;</w:t>
      </w:r>
      <w:proofErr w:type="gramEnd"/>
      <w:r w:rsidRPr="009D3F1F">
        <w:rPr>
          <w:rFonts w:eastAsiaTheme="minorHAnsi" w:cs="Tahoma"/>
          <w:color w:val="000000"/>
          <w:szCs w:val="18"/>
        </w:rPr>
        <w:t xml:space="preserve"> </w:t>
      </w:r>
    </w:p>
    <w:p w14:paraId="3D48BE9D"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 Exposure to contaminated food/drinking </w:t>
      </w:r>
      <w:proofErr w:type="gramStart"/>
      <w:r w:rsidRPr="009D3F1F">
        <w:rPr>
          <w:rFonts w:eastAsiaTheme="minorHAnsi" w:cs="Tahoma"/>
          <w:color w:val="000000"/>
          <w:szCs w:val="18"/>
        </w:rPr>
        <w:t>water;</w:t>
      </w:r>
      <w:proofErr w:type="gramEnd"/>
      <w:r w:rsidRPr="009D3F1F">
        <w:rPr>
          <w:rFonts w:eastAsiaTheme="minorHAnsi" w:cs="Tahoma"/>
          <w:color w:val="000000"/>
          <w:szCs w:val="18"/>
        </w:rPr>
        <w:t xml:space="preserve"> </w:t>
      </w:r>
    </w:p>
    <w:p w14:paraId="2AC56394" w14:textId="77777777" w:rsidR="00AC0043" w:rsidRPr="009D3F1F" w:rsidRDefault="00AC0043"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Environmental exposure.</w:t>
      </w:r>
    </w:p>
    <w:p w14:paraId="7189F6BC" w14:textId="77777777" w:rsidR="00AC0043" w:rsidRPr="009D3F1F" w:rsidRDefault="00AC0043" w:rsidP="00AC0043">
      <w:pPr>
        <w:autoSpaceDE w:val="0"/>
        <w:autoSpaceDN w:val="0"/>
        <w:adjustRightInd w:val="0"/>
        <w:spacing w:before="60" w:after="60"/>
        <w:rPr>
          <w:rFonts w:ascii="EUAlbertina" w:eastAsiaTheme="minorHAnsi" w:hAnsi="EUAlbertina" w:cs="EUAlbertina"/>
          <w:color w:val="000000"/>
          <w:sz w:val="24"/>
        </w:rPr>
      </w:pPr>
    </w:p>
    <w:p w14:paraId="54CB7F8F" w14:textId="732CFB6D" w:rsidR="00AC0043" w:rsidRPr="009D3F1F" w:rsidRDefault="00AC0043" w:rsidP="00AC0043">
      <w:pPr>
        <w:pStyle w:val="CM4"/>
        <w:spacing w:before="60" w:after="60"/>
        <w:rPr>
          <w:rFonts w:ascii="Tahoma" w:hAnsi="Tahoma" w:cs="Tahoma"/>
          <w:color w:val="000000"/>
          <w:sz w:val="18"/>
          <w:szCs w:val="18"/>
        </w:rPr>
      </w:pPr>
      <w:r w:rsidRPr="009D3F1F">
        <w:rPr>
          <w:rFonts w:ascii="Tahoma" w:hAnsi="Tahoma" w:cs="Tahoma"/>
          <w:b/>
          <w:sz w:val="18"/>
          <w:szCs w:val="18"/>
        </w:rPr>
        <w:t>Case classification</w:t>
      </w:r>
      <w:r w:rsidR="00270C38" w:rsidRPr="009D3F1F">
        <w:rPr>
          <w:rFonts w:ascii="Tahoma" w:hAnsi="Tahoma" w:cs="Tahoma"/>
          <w:b/>
          <w:sz w:val="18"/>
          <w:szCs w:val="18"/>
        </w:rPr>
        <w:br/>
      </w:r>
      <w:r w:rsidR="00270C38" w:rsidRPr="009D3F1F">
        <w:rPr>
          <w:rFonts w:ascii="Tahoma" w:hAnsi="Tahoma" w:cs="Tahoma"/>
          <w:sz w:val="18"/>
          <w:szCs w:val="18"/>
        </w:rPr>
        <w:t>A. Possible case: NA</w:t>
      </w:r>
    </w:p>
    <w:p w14:paraId="1DE97521" w14:textId="05D9169F" w:rsidR="00AC0043" w:rsidRPr="009D3F1F" w:rsidRDefault="00270C38"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B</w:t>
      </w:r>
      <w:r w:rsidR="00AC0043" w:rsidRPr="009D3F1F">
        <w:rPr>
          <w:rFonts w:eastAsiaTheme="minorHAnsi" w:cs="Tahoma"/>
          <w:color w:val="000000"/>
          <w:szCs w:val="18"/>
        </w:rPr>
        <w:t xml:space="preserve">. </w:t>
      </w:r>
      <w:r w:rsidR="00AC0043" w:rsidRPr="009D3F1F">
        <w:rPr>
          <w:rFonts w:eastAsiaTheme="minorHAnsi" w:cs="Tahoma"/>
          <w:bCs/>
          <w:color w:val="000000"/>
          <w:szCs w:val="18"/>
        </w:rPr>
        <w:t xml:space="preserve">Probable case: </w:t>
      </w:r>
      <w:r w:rsidR="00AC0043" w:rsidRPr="009D3F1F">
        <w:rPr>
          <w:rFonts w:eastAsiaTheme="minorHAnsi" w:cs="Tahoma"/>
          <w:color w:val="000000"/>
          <w:szCs w:val="18"/>
        </w:rPr>
        <w:t>Any person meeting the clinical criteria with an epidemiological link</w:t>
      </w:r>
    </w:p>
    <w:p w14:paraId="203F4736" w14:textId="744593C5" w:rsidR="00AC0043" w:rsidRPr="009D3F1F" w:rsidRDefault="00270C38" w:rsidP="00AC0043">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C</w:t>
      </w:r>
      <w:r w:rsidR="00AC0043" w:rsidRPr="009D3F1F">
        <w:rPr>
          <w:rFonts w:eastAsiaTheme="minorHAnsi" w:cs="Tahoma"/>
          <w:color w:val="000000"/>
          <w:szCs w:val="18"/>
        </w:rPr>
        <w:t xml:space="preserve">. </w:t>
      </w:r>
      <w:r w:rsidR="00AC0043" w:rsidRPr="009D3F1F">
        <w:rPr>
          <w:rFonts w:eastAsiaTheme="minorHAnsi" w:cs="Tahoma"/>
          <w:bCs/>
          <w:color w:val="000000"/>
          <w:szCs w:val="18"/>
        </w:rPr>
        <w:t xml:space="preserve">Confirmed case: </w:t>
      </w:r>
      <w:r w:rsidR="00AC0043" w:rsidRPr="009D3F1F">
        <w:rPr>
          <w:rFonts w:eastAsiaTheme="minorHAnsi" w:cs="Tahoma"/>
          <w:szCs w:val="18"/>
        </w:rPr>
        <w:t>Any person meeting the clinical and the laboratory criteria</w:t>
      </w:r>
    </w:p>
    <w:p w14:paraId="369B9C63" w14:textId="0DC03945" w:rsidR="00AC0043" w:rsidRPr="009D3F1F" w:rsidRDefault="00AC0043" w:rsidP="00AC0043">
      <w:pPr>
        <w:pStyle w:val="Default"/>
        <w:rPr>
          <w:rFonts w:ascii="Tahoma" w:eastAsiaTheme="minorHAnsi" w:hAnsi="Tahoma" w:cs="Tahoma"/>
          <w:sz w:val="18"/>
          <w:szCs w:val="18"/>
          <w:lang w:eastAsia="en-US"/>
        </w:rPr>
      </w:pPr>
    </w:p>
    <w:p w14:paraId="1C7AA584" w14:textId="77777777" w:rsidR="00F62749" w:rsidRPr="009D3F1F" w:rsidRDefault="00F62749" w:rsidP="00AC0043">
      <w:pPr>
        <w:pStyle w:val="Default"/>
        <w:rPr>
          <w:rFonts w:ascii="Tahoma" w:hAnsi="Tahoma" w:cs="Tahoma"/>
          <w:sz w:val="18"/>
          <w:szCs w:val="18"/>
        </w:rPr>
      </w:pPr>
      <w:r w:rsidRPr="009D3F1F">
        <w:rPr>
          <w:rFonts w:ascii="Tahoma" w:hAnsi="Tahoma" w:cs="Tahoma"/>
          <w:sz w:val="18"/>
          <w:szCs w:val="18"/>
        </w:rPr>
        <w:t xml:space="preserve">Note: If the national surveillance system is not capturing clinical symptoms, all laboratory-confirmed individuals should be reported as confirmed cases. </w:t>
      </w:r>
    </w:p>
    <w:p w14:paraId="4CACF999" w14:textId="77777777" w:rsidR="00F62749" w:rsidRPr="009D3F1F" w:rsidRDefault="00F62749" w:rsidP="00AC0043">
      <w:pPr>
        <w:pStyle w:val="Default"/>
        <w:rPr>
          <w:rFonts w:ascii="Tahoma" w:hAnsi="Tahoma" w:cs="Tahoma"/>
          <w:sz w:val="18"/>
          <w:szCs w:val="18"/>
        </w:rPr>
      </w:pPr>
    </w:p>
    <w:p w14:paraId="2261C7B6" w14:textId="1EA7718F" w:rsidR="00270C38" w:rsidRPr="00F62749" w:rsidRDefault="00F62749" w:rsidP="00C351F7">
      <w:pPr>
        <w:pStyle w:val="Default"/>
        <w:spacing w:line="259" w:lineRule="auto"/>
        <w:rPr>
          <w:rFonts w:ascii="Tahoma" w:eastAsiaTheme="minorHAnsi" w:hAnsi="Tahoma" w:cs="Tahoma"/>
          <w:sz w:val="18"/>
          <w:szCs w:val="18"/>
          <w:lang w:eastAsia="en-US"/>
        </w:rPr>
      </w:pPr>
      <w:r w:rsidRPr="009D3F1F">
        <w:rPr>
          <w:rFonts w:ascii="Tahoma" w:hAnsi="Tahoma" w:cs="Tahoma"/>
          <w:b/>
          <w:sz w:val="18"/>
          <w:szCs w:val="18"/>
        </w:rPr>
        <w:t>Antimicrobial resistance</w:t>
      </w:r>
      <w:r w:rsidRPr="009D3F1F">
        <w:rPr>
          <w:rFonts w:ascii="Tahoma" w:hAnsi="Tahoma" w:cs="Tahoma"/>
          <w:sz w:val="18"/>
          <w:szCs w:val="18"/>
        </w:rPr>
        <w:t xml:space="preserve"> </w:t>
      </w:r>
      <w:r w:rsidRPr="009D3F1F">
        <w:rPr>
          <w:rFonts w:ascii="Tahoma" w:hAnsi="Tahoma" w:cs="Tahoma"/>
          <w:sz w:val="18"/>
          <w:szCs w:val="18"/>
        </w:rPr>
        <w:br/>
      </w:r>
      <w:r w:rsidRPr="0034321A">
        <w:rPr>
          <w:rStyle w:val="EC-ParaCharChar"/>
        </w:rPr>
        <w:t xml:space="preserve">The results of antimicrobial susceptibility tests must be reported according to the methods and criteria agreed between ECDC and Member States as specified in the EU protocol for harmonised monitoring of antimicrobial resistance in human Salmonella and </w:t>
      </w:r>
      <w:r w:rsidRPr="00D2618A">
        <w:rPr>
          <w:rStyle w:val="EC-ParaCharChar"/>
          <w:i/>
          <w:iCs/>
        </w:rPr>
        <w:t>Campylobacte</w:t>
      </w:r>
      <w:r w:rsidRPr="0034321A">
        <w:rPr>
          <w:rStyle w:val="EC-ParaCharChar"/>
        </w:rPr>
        <w:t>r isolates</w:t>
      </w:r>
      <w:r w:rsidR="003B4E4E" w:rsidRPr="00C351F7">
        <w:rPr>
          <w:rStyle w:val="EC-ParaCharChar"/>
          <w:vertAlign w:val="superscript"/>
        </w:rPr>
        <w:footnoteReference w:id="8"/>
      </w:r>
    </w:p>
    <w:p w14:paraId="220C7DA8" w14:textId="07F0B185" w:rsidR="00270C38" w:rsidRDefault="00270C38" w:rsidP="00AC0043">
      <w:pPr>
        <w:pStyle w:val="Default"/>
        <w:rPr>
          <w:rFonts w:ascii="Tahoma" w:eastAsiaTheme="minorHAnsi" w:hAnsi="Tahoma" w:cs="Tahoma"/>
          <w:sz w:val="18"/>
          <w:szCs w:val="18"/>
          <w:lang w:eastAsia="en-US"/>
        </w:rPr>
      </w:pPr>
    </w:p>
    <w:p w14:paraId="37D70306" w14:textId="1B88ABAE" w:rsidR="00270C38" w:rsidRDefault="00270C38" w:rsidP="00AC0043">
      <w:pPr>
        <w:pStyle w:val="Default"/>
        <w:rPr>
          <w:rFonts w:ascii="Tahoma" w:eastAsiaTheme="minorHAnsi" w:hAnsi="Tahoma" w:cs="Tahoma"/>
          <w:sz w:val="18"/>
          <w:szCs w:val="18"/>
          <w:lang w:eastAsia="en-US"/>
        </w:rPr>
      </w:pPr>
    </w:p>
    <w:p w14:paraId="3E3B8FC7" w14:textId="77777777" w:rsidR="009D3F1F" w:rsidRDefault="009D3F1F" w:rsidP="009D3F1F">
      <w:pPr>
        <w:pStyle w:val="EC-Para"/>
        <w:spacing w:after="0" w:line="240" w:lineRule="auto"/>
        <w:jc w:val="both"/>
        <w:rPr>
          <w:rFonts w:cs="Tahoma"/>
        </w:rPr>
      </w:pPr>
      <w:r>
        <w:rPr>
          <w:rFonts w:cs="Tahoma"/>
        </w:rPr>
        <w:lastRenderedPageBreak/>
        <w:t>------------------------</w:t>
      </w:r>
    </w:p>
    <w:p w14:paraId="421A6B30" w14:textId="319AE27A" w:rsidR="003B4E4E" w:rsidRDefault="009D3F1F" w:rsidP="003B4E4E">
      <w:pPr>
        <w:pStyle w:val="EC-Para"/>
        <w:spacing w:after="0" w:line="240" w:lineRule="auto"/>
        <w:jc w:val="both"/>
        <w:rPr>
          <w:lang w:eastAsia="en-US"/>
        </w:rPr>
      </w:pPr>
      <w:r>
        <w:rPr>
          <w:rFonts w:cs="Tahoma"/>
        </w:rPr>
        <w:t>(</w:t>
      </w:r>
      <w:r w:rsidR="003B4E4E" w:rsidRPr="004B02D3">
        <w:rPr>
          <w:rFonts w:cs="Tahoma"/>
        </w:rPr>
        <w:t>C</w:t>
      </w:r>
      <w:r w:rsidR="003B4E4E" w:rsidRPr="004B02D3">
        <w:rPr>
          <w:lang w:eastAsia="en-US"/>
        </w:rPr>
        <w:t xml:space="preserve">ompared </w:t>
      </w:r>
      <w:r w:rsidR="009209CA">
        <w:rPr>
          <w:lang w:eastAsia="en-US"/>
        </w:rPr>
        <w:t>with</w:t>
      </w:r>
      <w:r w:rsidR="003B4E4E" w:rsidRPr="004B02D3">
        <w:rPr>
          <w:lang w:eastAsia="en-US"/>
        </w:rPr>
        <w:t xml:space="preserve"> the 2008 and 2012 EU case definition, the 2018 EU case definition allows genotypic tests for laboratory confirmation and </w:t>
      </w:r>
      <w:r w:rsidR="003B4E4E">
        <w:rPr>
          <w:lang w:eastAsia="en-US"/>
        </w:rPr>
        <w:t>includes a requirement for antimicrobial susceptibility testing and reporting of results.</w:t>
      </w:r>
      <w:r w:rsidR="003B4E4E" w:rsidRPr="004B02D3">
        <w:rPr>
          <w:lang w:eastAsia="en-US"/>
        </w:rPr>
        <w:t xml:space="preserve"> </w:t>
      </w:r>
      <w:r w:rsidR="003B4E4E" w:rsidRPr="003B4E4E">
        <w:rPr>
          <w:lang w:eastAsia="en-US"/>
        </w:rPr>
        <w:t>The</w:t>
      </w:r>
      <w:r w:rsidR="003B4E4E">
        <w:rPr>
          <w:lang w:eastAsia="en-US"/>
        </w:rPr>
        <w:t xml:space="preserve"> note is also a new addition.</w:t>
      </w:r>
      <w:r>
        <w:rPr>
          <w:lang w:eastAsia="en-US"/>
        </w:rPr>
        <w:t>)</w:t>
      </w:r>
    </w:p>
    <w:p w14:paraId="36CFDC89" w14:textId="77777777" w:rsidR="00AC0043" w:rsidRDefault="00AC0043" w:rsidP="00AC0043">
      <w:pPr>
        <w:pStyle w:val="EC-Para"/>
        <w:spacing w:after="0" w:line="240" w:lineRule="auto"/>
        <w:jc w:val="both"/>
        <w:rPr>
          <w:color w:val="FF0000"/>
          <w:lang w:eastAsia="en-US"/>
        </w:rPr>
      </w:pPr>
    </w:p>
    <w:p w14:paraId="5F4C3B1A" w14:textId="77777777" w:rsidR="00AC0043" w:rsidRPr="00452AF8" w:rsidRDefault="00AC0043" w:rsidP="00D2618A">
      <w:pPr>
        <w:pStyle w:val="EC-Title-6"/>
      </w:pPr>
      <w:r w:rsidRPr="00BD0ACE">
        <w:t xml:space="preserve">Data collection and </w:t>
      </w:r>
      <w:r w:rsidRPr="00D2618A">
        <w:t>analysis</w:t>
      </w:r>
      <w:r w:rsidRPr="00BD0ACE">
        <w:t xml:space="preserve"> </w:t>
      </w:r>
    </w:p>
    <w:p w14:paraId="0A842B4A" w14:textId="106FA303" w:rsidR="00AC0043" w:rsidRDefault="00AC0043" w:rsidP="00AC004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w:t>
      </w:r>
      <w:r w:rsidR="00A51BAC">
        <w:rPr>
          <w:rFonts w:cs="Tahoma"/>
        </w:rPr>
        <w:t xml:space="preserve"> EU/EEA countries</w:t>
      </w:r>
      <w:r>
        <w:rPr>
          <w:rFonts w:cs="Tahoma"/>
        </w:rPr>
        <w:t>. C</w:t>
      </w:r>
      <w:r>
        <w:t>ountry population denominators by age group for the calculation of notification rates were obtained from Eurostat</w:t>
      </w:r>
      <w:r>
        <w:rPr>
          <w:rStyle w:val="FootnoteReference"/>
        </w:rPr>
        <w:footnoteReference w:id="9"/>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0B7D7D5E" w14:textId="77777777" w:rsidR="00AC0043" w:rsidRDefault="00AC0043" w:rsidP="00AC0043">
      <w:pPr>
        <w:pStyle w:val="EC-Para"/>
        <w:jc w:val="both"/>
        <w:rPr>
          <w:rFonts w:cstheme="minorHAnsi"/>
        </w:rPr>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683F3D90" w14:textId="77777777" w:rsidR="00AC0043" w:rsidRDefault="00AC0043" w:rsidP="00AC0043">
      <w:pPr>
        <w:pStyle w:val="EC-Para"/>
        <w:jc w:val="both"/>
        <w:rPr>
          <w:rFonts w:cs="Tahoma"/>
        </w:rPr>
      </w:pPr>
      <w:r>
        <w:rPr>
          <w:rFonts w:cs="Tahoma"/>
        </w:rPr>
        <w:t>Surveillance systems across the EU/EEA countries are heterogeneous and a surveillance systems overview is displayed in Annex 1.</w:t>
      </w:r>
    </w:p>
    <w:p w14:paraId="5EF52E8F" w14:textId="77777777" w:rsidR="00276F3D" w:rsidRDefault="00276F3D" w:rsidP="00D2618A">
      <w:pPr>
        <w:pStyle w:val="EC-Title-6"/>
      </w:pPr>
    </w:p>
    <w:p w14:paraId="5D29A2EA" w14:textId="54B28069" w:rsidR="00AC0043" w:rsidRPr="0072746F" w:rsidRDefault="00AC0043" w:rsidP="00D2618A">
      <w:pPr>
        <w:pStyle w:val="EC-Title-6"/>
      </w:pPr>
      <w:r w:rsidRPr="0072746F">
        <w:t xml:space="preserve">Surveillance Atlas </w:t>
      </w:r>
      <w:r w:rsidRPr="00D2618A">
        <w:t>indicators</w:t>
      </w:r>
    </w:p>
    <w:p w14:paraId="215BD08A" w14:textId="77777777" w:rsidR="00AC0043" w:rsidRPr="007B34B1" w:rsidRDefault="00AC0043" w:rsidP="00AC0043">
      <w:pPr>
        <w:pStyle w:val="EC-Para"/>
        <w:rPr>
          <w:rFonts w:cs="Tahoma"/>
        </w:rPr>
      </w:pPr>
      <w:r w:rsidRPr="005E139C">
        <w:rPr>
          <w:rFonts w:cs="Tahoma"/>
        </w:rPr>
        <w:t xml:space="preserve">The Surveillance Atlas indicators for </w:t>
      </w:r>
      <w:r>
        <w:rPr>
          <w:rFonts w:cs="Tahoma"/>
        </w:rPr>
        <w:t>confirmed campylobacteriosis</w:t>
      </w:r>
      <w:r w:rsidRPr="005E139C">
        <w:rPr>
          <w:rFonts w:cs="Tahoma"/>
        </w:rPr>
        <w:t xml:space="preserve"> </w:t>
      </w:r>
      <w:r>
        <w:rPr>
          <w:rFonts w:cs="Tahoma"/>
        </w:rPr>
        <w:t>cases</w:t>
      </w:r>
      <w:r w:rsidRPr="005E139C">
        <w:rPr>
          <w:rFonts w:cs="Tahoma"/>
        </w:rPr>
        <w:t xml:space="preserve"> are:</w:t>
      </w:r>
    </w:p>
    <w:p w14:paraId="5A5BF654" w14:textId="77777777" w:rsidR="00AC0043" w:rsidRPr="007B34B1" w:rsidRDefault="00AC0043" w:rsidP="000617B1">
      <w:pPr>
        <w:numPr>
          <w:ilvl w:val="0"/>
          <w:numId w:val="1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1505D733" w14:textId="77777777" w:rsidR="00AC0043" w:rsidRDefault="00AC0043" w:rsidP="000617B1">
      <w:pPr>
        <w:numPr>
          <w:ilvl w:val="0"/>
          <w:numId w:val="1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1C1D7B79" w14:textId="77777777" w:rsidR="00AC0043" w:rsidRDefault="00AC0043" w:rsidP="000617B1">
      <w:pPr>
        <w:numPr>
          <w:ilvl w:val="0"/>
          <w:numId w:val="1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Age-standardised rate per 100 000 </w:t>
      </w:r>
      <w:proofErr w:type="gramStart"/>
      <w:r>
        <w:rPr>
          <w:rFonts w:eastAsia="Arial Unicode MS" w:cs="Tahoma"/>
          <w:kern w:val="22"/>
          <w:szCs w:val="18"/>
        </w:rPr>
        <w:t>population;</w:t>
      </w:r>
      <w:proofErr w:type="gramEnd"/>
    </w:p>
    <w:p w14:paraId="3216906C" w14:textId="77777777" w:rsidR="00AC0043" w:rsidRPr="007B34B1" w:rsidRDefault="00AC0043" w:rsidP="000617B1">
      <w:pPr>
        <w:numPr>
          <w:ilvl w:val="0"/>
          <w:numId w:val="1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26AF534E" w14:textId="77777777" w:rsidR="00AC0043" w:rsidRPr="00C31313" w:rsidRDefault="00AC0043" w:rsidP="000617B1">
      <w:pPr>
        <w:numPr>
          <w:ilvl w:val="0"/>
          <w:numId w:val="1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 xml:space="preserve">cases </w:t>
      </w:r>
      <w:r w:rsidRPr="002F58C3">
        <w:rPr>
          <w:rFonts w:eastAsia="Arial Unicode MS" w:cs="Tahoma"/>
          <w:kern w:val="22"/>
          <w:szCs w:val="18"/>
        </w:rPr>
        <w:t>with known history of hospitalisation</w:t>
      </w:r>
      <w:r w:rsidRPr="007B34B1">
        <w:rPr>
          <w:rFonts w:eastAsia="Arial Unicode MS" w:cs="Tahoma"/>
          <w:kern w:val="22"/>
          <w:szCs w:val="18"/>
        </w:rPr>
        <w:t xml:space="preserve"> (%</w:t>
      </w:r>
      <w:proofErr w:type="gramStart"/>
      <w:r w:rsidRPr="007B34B1">
        <w:rPr>
          <w:rFonts w:eastAsia="Arial Unicode MS" w:cs="Tahoma"/>
          <w:kern w:val="22"/>
          <w:szCs w:val="18"/>
        </w:rPr>
        <w:t>);</w:t>
      </w:r>
      <w:proofErr w:type="gramEnd"/>
    </w:p>
    <w:p w14:paraId="2F1BA989" w14:textId="77777777" w:rsidR="00AC0043" w:rsidRPr="007B34B1" w:rsidRDefault="00AC0043" w:rsidP="000617B1">
      <w:pPr>
        <w:numPr>
          <w:ilvl w:val="0"/>
          <w:numId w:val="1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5343AA36" w14:textId="77777777" w:rsidR="00AC0043" w:rsidRPr="007B34B1" w:rsidRDefault="00AC0043" w:rsidP="000617B1">
      <w:pPr>
        <w:numPr>
          <w:ilvl w:val="0"/>
          <w:numId w:val="1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Case fatality calculated as proportion of deaths among confirmed cases with known disease</w:t>
      </w:r>
      <w:r w:rsidDel="001A1949">
        <w:rPr>
          <w:rFonts w:eastAsia="Arial Unicode MS" w:cs="Tahoma"/>
          <w:kern w:val="22"/>
          <w:szCs w:val="18"/>
        </w:rPr>
        <w:t xml:space="preserv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65E5B15B" w14:textId="77777777" w:rsidR="00AC0043" w:rsidRPr="007B34B1" w:rsidRDefault="00AC0043" w:rsidP="000617B1">
      <w:pPr>
        <w:numPr>
          <w:ilvl w:val="0"/>
          <w:numId w:val="1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37D1E4CC" w14:textId="77777777" w:rsidR="00AC0043" w:rsidRPr="007B34B1" w:rsidRDefault="00AC0043" w:rsidP="000617B1">
      <w:pPr>
        <w:numPr>
          <w:ilvl w:val="0"/>
          <w:numId w:val="1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0A433FCD"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50F35F35"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239855E3"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2623B2F1"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42949A59"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59F21728"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376F36AB"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40910F7E" w14:textId="77777777"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180C38A8" w14:textId="77777777" w:rsidR="00AC0043" w:rsidRPr="00206DFA"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Pathogen species.</w:t>
      </w:r>
    </w:p>
    <w:p w14:paraId="27E63D61" w14:textId="77777777" w:rsidR="00AC0043" w:rsidRPr="00E8283A" w:rsidRDefault="00AC0043" w:rsidP="00AC0043">
      <w:pPr>
        <w:kinsoku w:val="0"/>
        <w:autoSpaceDE w:val="0"/>
        <w:autoSpaceDN w:val="0"/>
        <w:adjustRightInd w:val="0"/>
        <w:spacing w:line="200" w:lineRule="atLeast"/>
        <w:rPr>
          <w:rFonts w:eastAsia="Arial Unicode MS" w:cs="Tahoma"/>
          <w:color w:val="000000"/>
          <w:kern w:val="22"/>
          <w:szCs w:val="18"/>
        </w:rPr>
      </w:pPr>
    </w:p>
    <w:p w14:paraId="46CD7C7E" w14:textId="77777777" w:rsidR="00AC0043" w:rsidRDefault="00AC0043" w:rsidP="00AC004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AC0043" w14:paraId="041B6DD2"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542DC7D6" w14:textId="77777777" w:rsidR="00AC0043" w:rsidRDefault="00AC0043" w:rsidP="00AC0043">
            <w:pPr>
              <w:pStyle w:val="EC-Para"/>
              <w:rPr>
                <w:lang w:eastAsia="en-US"/>
              </w:rPr>
            </w:pPr>
            <w:r>
              <w:rPr>
                <w:lang w:eastAsia="en-US"/>
              </w:rPr>
              <w:lastRenderedPageBreak/>
              <w:t>Symbol</w:t>
            </w:r>
          </w:p>
        </w:tc>
        <w:tc>
          <w:tcPr>
            <w:tcW w:w="5103" w:type="dxa"/>
            <w:tcBorders>
              <w:top w:val="single" w:sz="4" w:space="0" w:color="000000"/>
              <w:left w:val="single" w:sz="4" w:space="0" w:color="000000"/>
              <w:bottom w:val="single" w:sz="4" w:space="0" w:color="000000"/>
              <w:right w:val="single" w:sz="4" w:space="0" w:color="000000"/>
            </w:tcBorders>
            <w:hideMark/>
          </w:tcPr>
          <w:p w14:paraId="7B584351" w14:textId="77777777" w:rsidR="00AC0043" w:rsidRDefault="00AC0043" w:rsidP="00AC0043">
            <w:pPr>
              <w:pStyle w:val="EC-Para"/>
              <w:rPr>
                <w:lang w:eastAsia="en-US"/>
              </w:rPr>
            </w:pPr>
            <w:r>
              <w:rPr>
                <w:lang w:eastAsia="en-US"/>
              </w:rPr>
              <w:t>Comment</w:t>
            </w:r>
          </w:p>
        </w:tc>
      </w:tr>
      <w:tr w:rsidR="00AC0043" w14:paraId="4D3DD612"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2B50BA47" w14:textId="77777777" w:rsidR="00AC0043" w:rsidRDefault="00AC0043" w:rsidP="00AC004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306F6FB" w14:textId="77777777" w:rsidR="00AC0043" w:rsidRDefault="00AC0043" w:rsidP="00AC004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AC0043" w14:paraId="30ED778F"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584A570A" w14:textId="77777777" w:rsidR="00AC0043" w:rsidRDefault="00AC0043" w:rsidP="00AC004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36FA070E" w14:textId="77777777" w:rsidR="00AC0043" w:rsidRDefault="00AC0043" w:rsidP="00AC004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211069C4" w14:textId="77777777" w:rsidR="00AC0043" w:rsidRDefault="00AC0043" w:rsidP="00AC0043">
      <w:pPr>
        <w:pStyle w:val="EC-Para"/>
        <w:rPr>
          <w:lang w:eastAsia="en-US"/>
        </w:rPr>
      </w:pPr>
    </w:p>
    <w:p w14:paraId="0DB63C41" w14:textId="52E75135" w:rsidR="00AC0043" w:rsidRPr="0072746F" w:rsidRDefault="00AC0043" w:rsidP="00D933CF">
      <w:pPr>
        <w:pStyle w:val="EC-Title-6"/>
      </w:pPr>
      <w:r w:rsidRPr="0072746F">
        <w:t xml:space="preserve">Data </w:t>
      </w:r>
      <w:r w:rsidRPr="00D933CF">
        <w:t>quality</w:t>
      </w:r>
    </w:p>
    <w:p w14:paraId="4BC3EBD9" w14:textId="0E585C41" w:rsidR="0097253D" w:rsidRDefault="0097253D" w:rsidP="0097253D">
      <w:pPr>
        <w:autoSpaceDE w:val="0"/>
        <w:autoSpaceDN w:val="0"/>
        <w:adjustRightInd w:val="0"/>
        <w:jc w:val="both"/>
        <w:rPr>
          <w:rFonts w:eastAsia="Arial Unicode MS" w:cs="Tahoma"/>
          <w:kern w:val="22"/>
          <w:szCs w:val="18"/>
        </w:rPr>
      </w:pPr>
      <w:bookmarkStart w:id="15" w:name="_Toc437442009"/>
      <w:r w:rsidRPr="009E3B9F">
        <w:rPr>
          <w:rFonts w:eastAsia="Arial Unicode MS" w:cs="Tahoma"/>
          <w:kern w:val="22"/>
          <w:szCs w:val="18"/>
        </w:rPr>
        <w:t>EU/EEA coun</w:t>
      </w:r>
      <w:r w:rsidR="00AD4539">
        <w:rPr>
          <w:rFonts w:eastAsia="Arial Unicode MS" w:cs="Tahoma"/>
          <w:kern w:val="22"/>
          <w:szCs w:val="18"/>
        </w:rPr>
        <w:t>tries reporting data on campylobacteriosis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2F32A6C6" w14:textId="7BDFC879"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Pr="00E95571">
        <w:rPr>
          <w:rFonts w:eastAsia="Arial Unicode MS" w:cs="Tahoma"/>
          <w:kern w:val="22"/>
          <w:szCs w:val="18"/>
        </w:rPr>
        <w:t xml:space="preserve">confirmed </w:t>
      </w:r>
      <w:r w:rsidR="00DA0E63">
        <w:rPr>
          <w:rFonts w:eastAsia="Arial Unicode MS" w:cs="Tahoma"/>
          <w:kern w:val="22"/>
          <w:szCs w:val="18"/>
        </w:rPr>
        <w:t>campylobacteriosis cases</w:t>
      </w:r>
      <w:r>
        <w:rPr>
          <w:rFonts w:eastAsia="Arial Unicode MS" w:cs="Tahoma"/>
          <w:kern w:val="22"/>
          <w:szCs w:val="18"/>
        </w:rPr>
        <w:t xml:space="preserve"> are:</w:t>
      </w:r>
    </w:p>
    <w:p w14:paraId="4534D69E" w14:textId="65CF1885"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171A3954" w14:textId="305A4449"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6415FB65" w14:textId="640178D2"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3A5A2E27" w14:textId="2745BAE1"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30A96D8E" w14:textId="5F4942A1"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6EDC9CD3" w14:textId="7E70321A"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pathogen species (%)</w:t>
      </w:r>
      <w:r w:rsidR="00D933CF">
        <w:rPr>
          <w:rFonts w:eastAsia="Arial Unicode MS" w:cs="Tahoma"/>
          <w:kern w:val="22"/>
          <w:szCs w:val="18"/>
        </w:rPr>
        <w:t>.</w:t>
      </w:r>
    </w:p>
    <w:p w14:paraId="36FC23E4" w14:textId="77777777" w:rsidR="00D933CF" w:rsidRDefault="00D933CF" w:rsidP="00D933CF">
      <w:pPr>
        <w:pStyle w:val="ListParagraph"/>
        <w:autoSpaceDE w:val="0"/>
        <w:autoSpaceDN w:val="0"/>
        <w:adjustRightInd w:val="0"/>
        <w:jc w:val="both"/>
        <w:rPr>
          <w:rFonts w:eastAsia="Arial Unicode MS" w:cs="Tahoma"/>
          <w:kern w:val="22"/>
          <w:szCs w:val="18"/>
        </w:rPr>
      </w:pPr>
    </w:p>
    <w:p w14:paraId="4C8BDA0E" w14:textId="77777777" w:rsidR="00AC0043" w:rsidRPr="008443B4" w:rsidRDefault="00AC0043" w:rsidP="00D933CF">
      <w:pPr>
        <w:pStyle w:val="EC-Title-6"/>
      </w:pPr>
      <w:r w:rsidRPr="008443B4">
        <w:t>Interpretation</w:t>
      </w:r>
      <w:bookmarkEnd w:id="15"/>
      <w:r w:rsidRPr="008443B4">
        <w:t xml:space="preserve"> </w:t>
      </w:r>
    </w:p>
    <w:p w14:paraId="2C3935F9" w14:textId="400530D3" w:rsidR="00AC0043" w:rsidRPr="00D45E3C" w:rsidRDefault="00AC0043" w:rsidP="00AC0043">
      <w:pPr>
        <w:pStyle w:val="EC-Para"/>
        <w:jc w:val="both"/>
        <w:rPr>
          <w:rFonts w:cs="Tahoma"/>
        </w:rPr>
      </w:pPr>
      <w:r w:rsidRPr="00D45E3C">
        <w:rPr>
          <w:rFonts w:eastAsiaTheme="minorHAnsi" w:cs="Tahoma"/>
          <w:lang w:eastAsia="en-US"/>
        </w:rPr>
        <w:t xml:space="preserve">The results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 and so does</w:t>
      </w:r>
      <w:r w:rsidRPr="00D45E3C">
        <w:rPr>
          <w:rFonts w:cs="Tahoma"/>
        </w:rPr>
        <w:t xml:space="preserve"> t</w:t>
      </w:r>
      <w:r>
        <w:rPr>
          <w:rFonts w:cs="Tahoma"/>
        </w:rPr>
        <w:t xml:space="preserve">he </w:t>
      </w:r>
      <w:r w:rsidR="00EF694D">
        <w:rPr>
          <w:rFonts w:cs="Tahoma"/>
        </w:rPr>
        <w:t>number</w:t>
      </w:r>
      <w:r>
        <w:rPr>
          <w:rFonts w:cs="Tahoma"/>
        </w:rPr>
        <w:t xml:space="preserve"> of samples tested</w:t>
      </w:r>
      <w:r w:rsidRPr="00D45E3C">
        <w:rPr>
          <w:rFonts w:cs="Tahoma"/>
        </w:rPr>
        <w:t xml:space="preserve">. </w:t>
      </w:r>
    </w:p>
    <w:p w14:paraId="2BDC30BB" w14:textId="1628CBAE" w:rsidR="004A0428" w:rsidRDefault="00AC0043" w:rsidP="00A26E20">
      <w:pPr>
        <w:pStyle w:val="EC-Para"/>
        <w:tabs>
          <w:tab w:val="left" w:pos="4536"/>
        </w:tabs>
        <w:jc w:val="both"/>
      </w:pPr>
      <w:r w:rsidRPr="00E23A35">
        <w:t xml:space="preserve">The notification of campylobacteriosis is mandatory in </w:t>
      </w:r>
      <w:r w:rsidR="009B2574">
        <w:t>2</w:t>
      </w:r>
      <w:r w:rsidR="009F2FB3">
        <w:t>6</w:t>
      </w:r>
      <w:r w:rsidRPr="00E23A35">
        <w:t xml:space="preserve"> </w:t>
      </w:r>
      <w:r w:rsidR="00795AB7" w:rsidRPr="00E23A35">
        <w:t>EU</w:t>
      </w:r>
      <w:r w:rsidR="008C213D">
        <w:t>/EEA</w:t>
      </w:r>
      <w:r w:rsidR="00795AB7" w:rsidRPr="00E23A35">
        <w:t xml:space="preserve"> </w:t>
      </w:r>
      <w:r w:rsidR="000D613C">
        <w:t>countries</w:t>
      </w:r>
      <w:r w:rsidR="008C213D">
        <w:t xml:space="preserve">. </w:t>
      </w:r>
      <w:r w:rsidR="009B2574">
        <w:t xml:space="preserve">In </w:t>
      </w:r>
      <w:r w:rsidR="00E23A35" w:rsidRPr="00E23A35">
        <w:t>f</w:t>
      </w:r>
      <w:r w:rsidR="008C213D">
        <w:t>our</w:t>
      </w:r>
      <w:r w:rsidRPr="00E23A35">
        <w:t xml:space="preserve"> </w:t>
      </w:r>
      <w:r w:rsidR="00795AB7" w:rsidRPr="00E23A35">
        <w:t xml:space="preserve">EU </w:t>
      </w:r>
      <w:r w:rsidRPr="00E23A35">
        <w:t>Member States</w:t>
      </w:r>
      <w:r w:rsidR="009B2574">
        <w:t xml:space="preserve"> </w:t>
      </w:r>
      <w:r w:rsidRPr="00E23A35">
        <w:t xml:space="preserve">(Belgium, </w:t>
      </w:r>
      <w:r w:rsidR="008052F4" w:rsidRPr="00E23A35">
        <w:t xml:space="preserve">France, </w:t>
      </w:r>
      <w:r w:rsidRPr="00E23A35">
        <w:t>Italy and the Netherlands)</w:t>
      </w:r>
      <w:r w:rsidR="009B2574">
        <w:t xml:space="preserve"> </w:t>
      </w:r>
      <w:r w:rsidR="009B2574" w:rsidRPr="00E23A35">
        <w:t>notification is voluntary</w:t>
      </w:r>
      <w:r w:rsidRPr="00E23A35">
        <w:t xml:space="preserve">. The surveillance systems for campylobacteriosis have full national coverage in all </w:t>
      </w:r>
      <w:r w:rsidR="00E75405" w:rsidRPr="00E23A35">
        <w:t xml:space="preserve">EU </w:t>
      </w:r>
      <w:r w:rsidRPr="00E23A35">
        <w:t>Member States except f</w:t>
      </w:r>
      <w:r w:rsidR="00EB64DA" w:rsidRPr="00E23A35">
        <w:t>our</w:t>
      </w:r>
      <w:r w:rsidRPr="00E23A35">
        <w:t xml:space="preserve"> (France, Italy, the Netherlands and Spain). The coverage of the surveillance system </w:t>
      </w:r>
      <w:r w:rsidR="004413D0" w:rsidRPr="00E23A35">
        <w:t>in</w:t>
      </w:r>
      <w:r w:rsidR="00BF2A0E" w:rsidRPr="00E23A35">
        <w:t xml:space="preserve"> </w:t>
      </w:r>
      <w:r w:rsidRPr="00E23A35">
        <w:t>is estimated to be 20% in France</w:t>
      </w:r>
      <w:r w:rsidR="00981313">
        <w:t>,</w:t>
      </w:r>
      <w:r w:rsidRPr="00E23A35">
        <w:t xml:space="preserve"> </w:t>
      </w:r>
      <w:r w:rsidR="00C9008D" w:rsidRPr="00E23A35">
        <w:t>64</w:t>
      </w:r>
      <w:r w:rsidRPr="00E23A35">
        <w:t xml:space="preserve">% in the </w:t>
      </w:r>
      <w:r w:rsidRPr="00034328">
        <w:t>Netherlands</w:t>
      </w:r>
      <w:r w:rsidR="00541132">
        <w:t xml:space="preserve"> in 2</w:t>
      </w:r>
      <w:r w:rsidR="009C6115">
        <w:t>021-2023</w:t>
      </w:r>
      <w:r w:rsidR="00165523">
        <w:t xml:space="preserve"> (</w:t>
      </w:r>
      <w:r w:rsidR="00EC7AF4" w:rsidRPr="00911E23">
        <w:t>58% in 2019-2020</w:t>
      </w:r>
      <w:r w:rsidR="00EC7AF4">
        <w:t xml:space="preserve"> and </w:t>
      </w:r>
      <w:r w:rsidR="00911E23" w:rsidRPr="00911E23">
        <w:t>52% in 2016-2018</w:t>
      </w:r>
      <w:r w:rsidR="00165523">
        <w:t>)</w:t>
      </w:r>
      <w:r w:rsidR="00981313" w:rsidRPr="00034328">
        <w:t xml:space="preserve"> and </w:t>
      </w:r>
      <w:r w:rsidR="00993255">
        <w:t>80</w:t>
      </w:r>
      <w:r w:rsidR="00165523">
        <w:t xml:space="preserve">% and </w:t>
      </w:r>
      <w:r w:rsidR="00981313" w:rsidRPr="00034328">
        <w:t xml:space="preserve">73% </w:t>
      </w:r>
      <w:r w:rsidR="00165523">
        <w:t xml:space="preserve">in 2023 and </w:t>
      </w:r>
      <w:r w:rsidR="005F3193">
        <w:t>2021-2022, respectively</w:t>
      </w:r>
      <w:r w:rsidR="00650131" w:rsidRPr="00650131">
        <w:t xml:space="preserve"> </w:t>
      </w:r>
      <w:r w:rsidR="00650131" w:rsidRPr="00034328">
        <w:t>in Spain</w:t>
      </w:r>
      <w:r w:rsidRPr="00034328">
        <w:t xml:space="preserve">. These proportions were used when calculating </w:t>
      </w:r>
      <w:r w:rsidR="005A7F17" w:rsidRPr="00034328">
        <w:t xml:space="preserve">the national </w:t>
      </w:r>
      <w:r w:rsidRPr="00034328">
        <w:t>notification rates for these Member States.</w:t>
      </w:r>
      <w:r w:rsidR="00635F6D" w:rsidRPr="00034328">
        <w:t xml:space="preserve"> </w:t>
      </w:r>
      <w:r w:rsidR="00650131" w:rsidRPr="00E23A35">
        <w:t xml:space="preserve">No estimate of population coverage in </w:t>
      </w:r>
      <w:r w:rsidR="00650131">
        <w:t>Spain</w:t>
      </w:r>
      <w:r w:rsidR="00650131" w:rsidRPr="00E23A35">
        <w:t xml:space="preserve"> was provided</w:t>
      </w:r>
      <w:r w:rsidR="00650131">
        <w:t xml:space="preserve"> prior 2021</w:t>
      </w:r>
      <w:r w:rsidR="00650131" w:rsidRPr="00E23A35">
        <w:t>, so notification rate</w:t>
      </w:r>
      <w:r w:rsidR="00650131">
        <w:t>s were</w:t>
      </w:r>
      <w:r w:rsidR="00650131" w:rsidRPr="00E23A35">
        <w:t xml:space="preserve"> not calculated</w:t>
      </w:r>
      <w:r w:rsidR="00650131">
        <w:t>.</w:t>
      </w:r>
      <w:r w:rsidR="00650131" w:rsidRPr="004C1587">
        <w:t xml:space="preserve"> </w:t>
      </w:r>
      <w:r w:rsidR="00AA267B" w:rsidRPr="00034328">
        <w:t>No estimate of</w:t>
      </w:r>
      <w:r w:rsidR="00AA267B" w:rsidRPr="00E23A35">
        <w:t xml:space="preserve"> population coverage in Italy was provided</w:t>
      </w:r>
      <w:r w:rsidR="00650131">
        <w:t xml:space="preserve"> for any year</w:t>
      </w:r>
      <w:r w:rsidR="00AA267B" w:rsidRPr="00E23A35">
        <w:t>, so notification rate</w:t>
      </w:r>
      <w:r w:rsidR="007623A9">
        <w:t xml:space="preserve"> w</w:t>
      </w:r>
      <w:r w:rsidR="00650131">
        <w:t xml:space="preserve">as </w:t>
      </w:r>
      <w:r w:rsidR="00AA267B" w:rsidRPr="00E23A35">
        <w:t>not calculated.</w:t>
      </w:r>
      <w:r w:rsidR="00EA6DBE">
        <w:rPr>
          <w:rFonts w:cs="Tahoma"/>
        </w:rPr>
        <w:t xml:space="preserve"> In Belgium, full national coverage was established in 2015 and rates before this date are not displayed</w:t>
      </w:r>
      <w:r w:rsidR="00EA6DBE" w:rsidRPr="00D903BB">
        <w:rPr>
          <w:rFonts w:cs="Tahoma"/>
        </w:rPr>
        <w:t>.</w:t>
      </w:r>
      <w:r w:rsidR="00AA267B" w:rsidRPr="00D903BB">
        <w:t xml:space="preserve"> </w:t>
      </w:r>
      <w:r w:rsidR="000C01D1" w:rsidRPr="00D903BB">
        <w:rPr>
          <w:rFonts w:cs="Tahoma"/>
        </w:rPr>
        <w:t>The drop in cases in Luxembourg in 2019 is a surveillance artefact caused by a change to non-</w:t>
      </w:r>
      <w:r w:rsidR="00EF3E30" w:rsidRPr="00D903BB">
        <w:rPr>
          <w:rFonts w:cs="Tahoma"/>
        </w:rPr>
        <w:t>culture-based</w:t>
      </w:r>
      <w:r w:rsidR="000C01D1" w:rsidRPr="00D903BB">
        <w:rPr>
          <w:rFonts w:cs="Tahoma"/>
        </w:rPr>
        <w:t xml:space="preserve"> methods</w:t>
      </w:r>
      <w:r w:rsidR="00923683" w:rsidRPr="00D903BB">
        <w:rPr>
          <w:rFonts w:cs="Tahoma"/>
        </w:rPr>
        <w:t xml:space="preserve"> (PCR)</w:t>
      </w:r>
      <w:r w:rsidR="000C01D1" w:rsidRPr="00D903BB">
        <w:rPr>
          <w:rFonts w:cs="Tahoma"/>
        </w:rPr>
        <w:t xml:space="preserve"> in private laboratories, resulting in reduced number of isolates sent to the national reference laboratory. From 2020, </w:t>
      </w:r>
      <w:r w:rsidR="00923683" w:rsidRPr="00D903BB">
        <w:rPr>
          <w:rFonts w:cs="Tahoma"/>
        </w:rPr>
        <w:t xml:space="preserve">laboratory confirmation with PCR is included in the notification system which along with </w:t>
      </w:r>
      <w:r w:rsidR="000C01D1" w:rsidRPr="00D903BB">
        <w:rPr>
          <w:rFonts w:cs="Tahoma"/>
        </w:rPr>
        <w:t>a</w:t>
      </w:r>
      <w:r w:rsidR="00923683" w:rsidRPr="00D903BB">
        <w:rPr>
          <w:rFonts w:cs="Tahoma"/>
        </w:rPr>
        <w:t xml:space="preserve"> new</w:t>
      </w:r>
      <w:r w:rsidR="000C01D1" w:rsidRPr="00D903BB">
        <w:rPr>
          <w:rFonts w:cs="Tahoma"/>
        </w:rPr>
        <w:t xml:space="preserve"> electronic laboratory notification system </w:t>
      </w:r>
      <w:r w:rsidR="00923683" w:rsidRPr="00D903BB">
        <w:rPr>
          <w:rFonts w:cs="Tahoma"/>
        </w:rPr>
        <w:t>result</w:t>
      </w:r>
      <w:r w:rsidR="000969A7">
        <w:rPr>
          <w:rFonts w:cs="Tahoma"/>
        </w:rPr>
        <w:t>ed</w:t>
      </w:r>
      <w:r w:rsidR="00923683" w:rsidRPr="00D903BB">
        <w:rPr>
          <w:rFonts w:cs="Tahoma"/>
        </w:rPr>
        <w:t xml:space="preserve"> in an increase in </w:t>
      </w:r>
      <w:r w:rsidR="000C01D1" w:rsidRPr="00605C63">
        <w:rPr>
          <w:rFonts w:cs="Tahoma"/>
          <w:i/>
          <w:iCs/>
        </w:rPr>
        <w:t>Campylobacter</w:t>
      </w:r>
      <w:r w:rsidR="000C01D1" w:rsidRPr="00D903BB">
        <w:rPr>
          <w:rFonts w:cs="Tahoma"/>
        </w:rPr>
        <w:t xml:space="preserve"> notifications</w:t>
      </w:r>
      <w:r w:rsidR="009B2574">
        <w:rPr>
          <w:rFonts w:cs="Tahoma"/>
        </w:rPr>
        <w:t>.</w:t>
      </w:r>
      <w:r w:rsidR="00B810E3" w:rsidRPr="00D903BB">
        <w:rPr>
          <w:rFonts w:cs="Tahoma"/>
        </w:rPr>
        <w:t xml:space="preserve"> </w:t>
      </w:r>
      <w:r w:rsidR="003C0CA2" w:rsidRPr="00D903BB">
        <w:t>Greece</w:t>
      </w:r>
      <w:r w:rsidR="003C0CA2">
        <w:t xml:space="preserve"> reports data on laboratory-confirmed cases collected from </w:t>
      </w:r>
      <w:r w:rsidR="003C0CA2" w:rsidRPr="008216C7">
        <w:t>public hospitals from 2018 onwards.</w:t>
      </w:r>
      <w:r w:rsidR="00EA6DBE" w:rsidRPr="004C1587">
        <w:rPr>
          <w:rFonts w:cs="Tahoma"/>
        </w:rPr>
        <w:t xml:space="preserve"> </w:t>
      </w:r>
      <w:r w:rsidR="00635F6D" w:rsidRPr="004C1587">
        <w:t xml:space="preserve">All countries </w:t>
      </w:r>
      <w:r w:rsidR="00635F6D" w:rsidRPr="004C1587">
        <w:rPr>
          <w:lang w:eastAsia="en-US"/>
        </w:rPr>
        <w:t>report</w:t>
      </w:r>
      <w:r w:rsidR="00AA267B" w:rsidRPr="004C1587">
        <w:rPr>
          <w:lang w:eastAsia="en-US"/>
        </w:rPr>
        <w:t>ed</w:t>
      </w:r>
      <w:r w:rsidR="00635F6D" w:rsidRPr="004C1587">
        <w:rPr>
          <w:lang w:eastAsia="en-US"/>
        </w:rPr>
        <w:t xml:space="preserve"> case-based data except Belgium</w:t>
      </w:r>
      <w:r w:rsidR="00615553">
        <w:rPr>
          <w:lang w:eastAsia="en-US"/>
        </w:rPr>
        <w:t xml:space="preserve"> and</w:t>
      </w:r>
      <w:r w:rsidR="00124851" w:rsidRPr="004C1587">
        <w:rPr>
          <w:lang w:eastAsia="en-US"/>
        </w:rPr>
        <w:t xml:space="preserve"> </w:t>
      </w:r>
      <w:r w:rsidR="004C1587" w:rsidRPr="004C1587">
        <w:rPr>
          <w:lang w:eastAsia="en-US"/>
        </w:rPr>
        <w:t xml:space="preserve">Bulgaria </w:t>
      </w:r>
      <w:r w:rsidR="00635F6D" w:rsidRPr="004C1587">
        <w:t>which report</w:t>
      </w:r>
      <w:r w:rsidR="00615553">
        <w:t>ed</w:t>
      </w:r>
      <w:r w:rsidR="00635F6D" w:rsidRPr="004C1587">
        <w:t xml:space="preserve"> aggregate</w:t>
      </w:r>
      <w:r w:rsidR="00AA267B" w:rsidRPr="004C1587">
        <w:t>d</w:t>
      </w:r>
      <w:r w:rsidR="00635F6D" w:rsidRPr="004C1587">
        <w:t xml:space="preserve"> data. </w:t>
      </w:r>
      <w:r w:rsidR="00F241C2">
        <w:t>Aggregated</w:t>
      </w:r>
      <w:r w:rsidR="00635F6D" w:rsidRPr="004C1587">
        <w:t xml:space="preserve"> reporting format</w:t>
      </w:r>
      <w:r w:rsidR="00C96C10">
        <w:t xml:space="preserve"> was</w:t>
      </w:r>
      <w:r w:rsidR="00635F6D" w:rsidRPr="004C1587">
        <w:t xml:space="preserve"> included to calculate numbers of cases</w:t>
      </w:r>
      <w:r w:rsidR="004D66A0">
        <w:t xml:space="preserve"> and </w:t>
      </w:r>
      <w:r w:rsidR="00635F6D" w:rsidRPr="004C1587">
        <w:t xml:space="preserve">notification rates, </w:t>
      </w:r>
      <w:r w:rsidR="004D66A0">
        <w:t>a</w:t>
      </w:r>
      <w:r w:rsidR="00CE7D40">
        <w:t xml:space="preserve">s well as </w:t>
      </w:r>
      <w:r w:rsidR="00635F6D" w:rsidRPr="004C1587">
        <w:t xml:space="preserve">disease trends, </w:t>
      </w:r>
      <w:r w:rsidR="00CE7D40">
        <w:t>a</w:t>
      </w:r>
      <w:r w:rsidR="00635F6D" w:rsidRPr="004C1587">
        <w:t>ge and gender distributions</w:t>
      </w:r>
      <w:r w:rsidR="00CE7D40">
        <w:t xml:space="preserve"> when </w:t>
      </w:r>
      <w:r w:rsidR="00C70B70">
        <w:t xml:space="preserve">this </w:t>
      </w:r>
      <w:r w:rsidR="00F241C2">
        <w:t>d</w:t>
      </w:r>
      <w:r w:rsidR="00CE7D40">
        <w:t>ata was available</w:t>
      </w:r>
      <w:r w:rsidR="00635F6D" w:rsidRPr="004C1587">
        <w:t>.</w:t>
      </w:r>
      <w:r w:rsidR="00923683">
        <w:t xml:space="preserve"> </w:t>
      </w:r>
    </w:p>
    <w:p w14:paraId="29D85C63" w14:textId="22F81FC4" w:rsidR="00AC0043" w:rsidRDefault="00923683" w:rsidP="00AC0043">
      <w:pPr>
        <w:pStyle w:val="EC-Para"/>
        <w:jc w:val="both"/>
        <w:rPr>
          <w:rFonts w:cs="Tahoma"/>
          <w:lang w:eastAsia="en-US"/>
        </w:rPr>
      </w:pPr>
      <w:r w:rsidRPr="002E0B1E">
        <w:rPr>
          <w:rFonts w:cs="Tahoma"/>
        </w:rPr>
        <w:t xml:space="preserve">The COVID-19 pandemic significantly impacted on </w:t>
      </w:r>
      <w:r w:rsidR="002B3D57">
        <w:rPr>
          <w:rFonts w:cs="Tahoma"/>
        </w:rPr>
        <w:t xml:space="preserve">campylobacteriosis </w:t>
      </w:r>
      <w:r w:rsidRPr="002E0B1E">
        <w:rPr>
          <w:rFonts w:cs="Tahoma"/>
        </w:rPr>
        <w:t xml:space="preserve">surveillance </w:t>
      </w:r>
      <w:r w:rsidR="002B3D57" w:rsidRPr="00B30F3C">
        <w:rPr>
          <w:rFonts w:cs="Tahoma"/>
        </w:rPr>
        <w:t xml:space="preserve">data </w:t>
      </w:r>
      <w:r w:rsidRPr="00B30F3C">
        <w:rPr>
          <w:rFonts w:cs="Tahoma"/>
        </w:rPr>
        <w:t>in 2020</w:t>
      </w:r>
      <w:r w:rsidR="00C9008D" w:rsidRPr="00B30F3C">
        <w:rPr>
          <w:rFonts w:cs="Tahoma"/>
        </w:rPr>
        <w:t>-202</w:t>
      </w:r>
      <w:r w:rsidR="000C456A" w:rsidRPr="00B30F3C">
        <w:rPr>
          <w:rFonts w:cs="Tahoma"/>
        </w:rPr>
        <w:t>2</w:t>
      </w:r>
      <w:r w:rsidRPr="00B30F3C">
        <w:rPr>
          <w:rFonts w:cs="Tahoma"/>
        </w:rPr>
        <w:t>.</w:t>
      </w:r>
      <w:r w:rsidRPr="002E0B1E">
        <w:rPr>
          <w:rFonts w:cs="Tahoma"/>
        </w:rPr>
        <w:t xml:space="preserve"> Factors mentioned by countries resulting in lower case numbers were e.g. people avoiding </w:t>
      </w:r>
      <w:r w:rsidR="00C70B70" w:rsidRPr="002E0B1E">
        <w:rPr>
          <w:rFonts w:cs="Tahoma"/>
        </w:rPr>
        <w:t>seeking</w:t>
      </w:r>
      <w:r w:rsidRPr="002E0B1E">
        <w:rPr>
          <w:rFonts w:cs="Tahoma"/>
        </w:rPr>
        <w:t xml:space="preserve"> medical care for mild symptoms </w:t>
      </w:r>
      <w:r w:rsidRPr="001C4E99">
        <w:rPr>
          <w:rFonts w:cs="Tahoma"/>
        </w:rPr>
        <w:t>due to risk of exposure to COVID-19 in health care facilities</w:t>
      </w:r>
      <w:r w:rsidRPr="002E0B1E">
        <w:rPr>
          <w:rFonts w:cs="Tahoma"/>
        </w:rPr>
        <w:t xml:space="preserve">, limited </w:t>
      </w:r>
      <w:r>
        <w:rPr>
          <w:rFonts w:cs="Tahoma"/>
        </w:rPr>
        <w:t>laboratory capacity due to reallocation of resources to SARS-CoV-2, fewer restaurant visits, increased hand washing</w:t>
      </w:r>
      <w:r w:rsidRPr="002E0B1E">
        <w:rPr>
          <w:rFonts w:cs="Tahoma"/>
        </w:rPr>
        <w:t>, less travel due to travel restriction etc.</w:t>
      </w:r>
    </w:p>
    <w:p w14:paraId="6C5D0E04" w14:textId="0A4B1C61" w:rsidR="00AC0043" w:rsidRDefault="00AC0043" w:rsidP="00AC0043">
      <w:pPr>
        <w:pStyle w:val="EC-Para"/>
        <w:jc w:val="both"/>
        <w:rPr>
          <w:rFonts w:cs="Tahoma"/>
          <w:lang w:eastAsia="en-US"/>
        </w:rPr>
      </w:pPr>
      <w:r w:rsidRPr="00EA31E5">
        <w:rPr>
          <w:rFonts w:cs="Tahoma"/>
          <w:lang w:eastAsia="en-US"/>
        </w:rPr>
        <w:t>The completeness of some variable</w:t>
      </w:r>
      <w:r w:rsidR="0098470A">
        <w:rPr>
          <w:rFonts w:cs="Tahoma"/>
          <w:lang w:eastAsia="en-US"/>
        </w:rPr>
        <w:t xml:space="preserve">s such as </w:t>
      </w:r>
      <w:r w:rsidRPr="00EA31E5">
        <w:rPr>
          <w:rFonts w:cs="Tahoma"/>
          <w:lang w:eastAsia="en-US"/>
        </w:rPr>
        <w:t xml:space="preserve">outcome or </w:t>
      </w:r>
      <w:r>
        <w:rPr>
          <w:rFonts w:cs="Tahoma"/>
          <w:lang w:eastAsia="en-US"/>
        </w:rPr>
        <w:t>travel history</w:t>
      </w:r>
      <w:r w:rsidRPr="00EA31E5">
        <w:rPr>
          <w:rFonts w:cs="Tahoma"/>
          <w:lang w:eastAsia="en-US"/>
        </w:rPr>
        <w:t xml:space="preserve"> var</w:t>
      </w:r>
      <w:r>
        <w:rPr>
          <w:rFonts w:cs="Tahoma"/>
          <w:lang w:eastAsia="en-US"/>
        </w:rPr>
        <w:t>ies</w:t>
      </w:r>
      <w:r w:rsidRPr="00EA31E5">
        <w:rPr>
          <w:rFonts w:cs="Tahoma"/>
          <w:lang w:eastAsia="en-US"/>
        </w:rPr>
        <w:t xml:space="preserve"> between countries and years; some countries </w:t>
      </w:r>
      <w:proofErr w:type="gramStart"/>
      <w:r w:rsidRPr="00EA31E5">
        <w:rPr>
          <w:rFonts w:cs="Tahoma"/>
          <w:lang w:eastAsia="en-US"/>
        </w:rPr>
        <w:t>are able to</w:t>
      </w:r>
      <w:proofErr w:type="gramEnd"/>
      <w:r w:rsidRPr="00EA31E5">
        <w:rPr>
          <w:rFonts w:cs="Tahoma"/>
          <w:lang w:eastAsia="en-US"/>
        </w:rPr>
        <w:t xml:space="preserve"> collect and integrate this type of information from different sources, other countries are </w:t>
      </w:r>
      <w:r w:rsidRPr="00EA31E5">
        <w:rPr>
          <w:rFonts w:cs="Tahoma"/>
          <w:lang w:eastAsia="en-US"/>
        </w:rPr>
        <w:t xml:space="preserve">not. </w:t>
      </w:r>
    </w:p>
    <w:p w14:paraId="325A9798" w14:textId="77777777" w:rsidR="00276F3D" w:rsidRPr="00EA31E5" w:rsidRDefault="00276F3D" w:rsidP="00AC0043">
      <w:pPr>
        <w:pStyle w:val="EC-Para"/>
        <w:jc w:val="both"/>
        <w:rPr>
          <w:rFonts w:cs="Tahoma"/>
          <w:lang w:eastAsia="en-US"/>
        </w:rPr>
      </w:pPr>
    </w:p>
    <w:p w14:paraId="48EF974E" w14:textId="77777777" w:rsidR="00AC0043" w:rsidRDefault="00AC0043" w:rsidP="009F5B73">
      <w:pPr>
        <w:pStyle w:val="EC-Title-6"/>
        <w:outlineLvl w:val="1"/>
        <w:rPr>
          <w:rFonts w:cs="Tahoma"/>
          <w:color w:val="FF0000"/>
          <w:sz w:val="20"/>
          <w:szCs w:val="20"/>
        </w:rPr>
      </w:pPr>
      <w:r>
        <w:t xml:space="preserve">Reports published by ECDC on campylobacteriosis </w:t>
      </w:r>
    </w:p>
    <w:p w14:paraId="2A8C5BE3" w14:textId="77777777" w:rsidR="00AC0043" w:rsidRDefault="00AC0043" w:rsidP="00AC0043">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7C02E18D" w14:textId="77777777" w:rsidR="00D1043F" w:rsidRDefault="00D1043F" w:rsidP="00AC0043">
      <w:pPr>
        <w:pStyle w:val="EC-Para"/>
      </w:pPr>
    </w:p>
    <w:p w14:paraId="7998167E" w14:textId="77777777" w:rsidR="00BA7327" w:rsidRPr="00D1043F" w:rsidRDefault="00BA7327" w:rsidP="00BA7327">
      <w:pPr>
        <w:pStyle w:val="EC-Para"/>
        <w:spacing w:after="0"/>
        <w:rPr>
          <w:rFonts w:eastAsiaTheme="minorHAnsi" w:cs="Tahoma"/>
          <w:b/>
          <w:lang w:eastAsia="en-US"/>
        </w:rPr>
      </w:pPr>
      <w:r w:rsidRPr="00D1043F">
        <w:rPr>
          <w:rFonts w:eastAsiaTheme="minorHAnsi" w:cs="Tahoma"/>
          <w:b/>
          <w:lang w:eastAsia="en-US"/>
        </w:rPr>
        <w:t>Annual epidemiological report for 202</w:t>
      </w:r>
      <w:r>
        <w:rPr>
          <w:rFonts w:eastAsiaTheme="minorHAnsi" w:cs="Tahoma"/>
          <w:b/>
          <w:lang w:eastAsia="en-US"/>
        </w:rPr>
        <w:t>2</w:t>
      </w:r>
      <w:r w:rsidRPr="00D1043F">
        <w:rPr>
          <w:rFonts w:eastAsiaTheme="minorHAnsi" w:cs="Tahoma"/>
          <w:b/>
          <w:lang w:eastAsia="en-US"/>
        </w:rPr>
        <w:t xml:space="preserve"> – Campylobacteriosis:</w:t>
      </w:r>
    </w:p>
    <w:p w14:paraId="4C6A2B81" w14:textId="77777777" w:rsidR="00A93D07" w:rsidRDefault="00000000" w:rsidP="00BA7327">
      <w:pPr>
        <w:pStyle w:val="EC-Para"/>
        <w:spacing w:after="0"/>
        <w:jc w:val="both"/>
      </w:pPr>
      <w:hyperlink r:id="rId22" w:history="1">
        <w:r w:rsidR="00BA7327" w:rsidRPr="00BA7327">
          <w:rPr>
            <w:rStyle w:val="Hyperlink"/>
            <w:sz w:val="18"/>
          </w:rPr>
          <w:t>Annual epidemiological report for 2022 - Campylobacteriosis (europa.eu)</w:t>
        </w:r>
      </w:hyperlink>
    </w:p>
    <w:p w14:paraId="4617EA3E" w14:textId="77777777" w:rsidR="00BC6485" w:rsidRDefault="00BC6485" w:rsidP="00BA7327">
      <w:pPr>
        <w:pStyle w:val="EC-Para"/>
        <w:spacing w:after="0"/>
        <w:jc w:val="both"/>
        <w:rPr>
          <w:b/>
        </w:rPr>
      </w:pPr>
    </w:p>
    <w:p w14:paraId="784606C1" w14:textId="28AB1380" w:rsidR="00A1421E" w:rsidRPr="00D1043F" w:rsidRDefault="00A1421E" w:rsidP="00BA7327">
      <w:pPr>
        <w:pStyle w:val="EC-Para"/>
        <w:spacing w:after="0"/>
        <w:jc w:val="both"/>
        <w:rPr>
          <w:b/>
        </w:rPr>
      </w:pPr>
      <w:r w:rsidRPr="00D1043F">
        <w:rPr>
          <w:b/>
        </w:rPr>
        <w:t>EFSA and ECDC (European Food Safety Authority and European Centre for Disease Prevention and Control), 202</w:t>
      </w:r>
      <w:r w:rsidR="00D34D77">
        <w:rPr>
          <w:b/>
        </w:rPr>
        <w:t>3</w:t>
      </w:r>
      <w:r w:rsidRPr="00D1043F">
        <w:rPr>
          <w:b/>
        </w:rPr>
        <w:t>. The European Union One Health 202</w:t>
      </w:r>
      <w:r w:rsidR="00D34D77">
        <w:rPr>
          <w:b/>
        </w:rPr>
        <w:t>2</w:t>
      </w:r>
      <w:r w:rsidRPr="00D1043F">
        <w:rPr>
          <w:b/>
        </w:rPr>
        <w:t xml:space="preserve"> Zoonoses Report</w:t>
      </w:r>
      <w:r w:rsidR="00BA7327">
        <w:rPr>
          <w:b/>
        </w:rPr>
        <w:t xml:space="preserve"> (December 2023)</w:t>
      </w:r>
      <w:r w:rsidRPr="00D1043F">
        <w:rPr>
          <w:b/>
        </w:rPr>
        <w:t>:</w:t>
      </w:r>
    </w:p>
    <w:p w14:paraId="706BA5BD" w14:textId="5877F1B1" w:rsidR="00250F31" w:rsidRDefault="00000000" w:rsidP="009D3F1F">
      <w:pPr>
        <w:pStyle w:val="EC-Para"/>
        <w:spacing w:after="0"/>
        <w:rPr>
          <w:color w:val="69AE23"/>
        </w:rPr>
      </w:pPr>
      <w:hyperlink r:id="rId23" w:history="1">
        <w:r w:rsidR="00B921B6" w:rsidRPr="008D42C9">
          <w:rPr>
            <w:rStyle w:val="Hyperlink"/>
            <w:sz w:val="18"/>
          </w:rPr>
          <w:t>https://efsa.onlinelibrary.wiley.com/doi/epdf/10.2903/j.efsa.2023.8442</w:t>
        </w:r>
      </w:hyperlink>
    </w:p>
    <w:p w14:paraId="4EF2639E" w14:textId="77777777" w:rsidR="00B921B6" w:rsidRDefault="00B921B6" w:rsidP="009D3F1F">
      <w:pPr>
        <w:pStyle w:val="EC-Para"/>
        <w:spacing w:after="0"/>
      </w:pPr>
    </w:p>
    <w:p w14:paraId="1D904DC1" w14:textId="453A80CA" w:rsidR="00AC0043" w:rsidRPr="00D1043F" w:rsidRDefault="00F8056D" w:rsidP="009D3F1F">
      <w:pPr>
        <w:pStyle w:val="EC-Para"/>
        <w:spacing w:after="0"/>
        <w:rPr>
          <w:b/>
        </w:rPr>
      </w:pPr>
      <w:r w:rsidRPr="00D1043F">
        <w:rPr>
          <w:b/>
        </w:rPr>
        <w:t>Fourth</w:t>
      </w:r>
      <w:r w:rsidR="004E66CA" w:rsidRPr="00D1043F">
        <w:rPr>
          <w:b/>
        </w:rPr>
        <w:t xml:space="preserve"> external quality assessment on species identification and antimicrobial susceptibility testing of </w:t>
      </w:r>
      <w:r w:rsidR="004E66CA" w:rsidRPr="00D1043F">
        <w:rPr>
          <w:b/>
          <w:i/>
        </w:rPr>
        <w:t>Campylobacter</w:t>
      </w:r>
      <w:r w:rsidR="004E66CA" w:rsidRPr="00D1043F">
        <w:rPr>
          <w:b/>
        </w:rPr>
        <w:t>, 201</w:t>
      </w:r>
      <w:r w:rsidRPr="00D1043F">
        <w:rPr>
          <w:b/>
        </w:rPr>
        <w:t>8</w:t>
      </w:r>
      <w:r w:rsidR="004E66CA" w:rsidRPr="00D1043F">
        <w:rPr>
          <w:b/>
        </w:rPr>
        <w:t>:</w:t>
      </w:r>
    </w:p>
    <w:p w14:paraId="42010274" w14:textId="09CC2686" w:rsidR="00CC3A60" w:rsidRDefault="00000000" w:rsidP="00AC0043">
      <w:pPr>
        <w:autoSpaceDE w:val="0"/>
        <w:autoSpaceDN w:val="0"/>
        <w:adjustRightInd w:val="0"/>
        <w:rPr>
          <w:rFonts w:eastAsia="Arial Unicode MS"/>
          <w:color w:val="69AE23"/>
          <w:kern w:val="22"/>
          <w:szCs w:val="18"/>
        </w:rPr>
      </w:pPr>
      <w:hyperlink r:id="rId24" w:history="1">
        <w:r w:rsidR="00F8056D" w:rsidRPr="00D1043F">
          <w:rPr>
            <w:rStyle w:val="Hyperlink"/>
            <w:rFonts w:eastAsia="Arial Unicode MS"/>
            <w:kern w:val="22"/>
            <w:sz w:val="18"/>
            <w:szCs w:val="18"/>
          </w:rPr>
          <w:t>https://www.ecdc.europa.eu/sites/default/files/documents/fourth-campylobacter-external-quality-assessment.pdf</w:t>
        </w:r>
      </w:hyperlink>
      <w:r w:rsidR="00F8056D">
        <w:rPr>
          <w:rFonts w:eastAsia="Arial Unicode MS"/>
          <w:color w:val="69AE23"/>
          <w:kern w:val="22"/>
          <w:szCs w:val="18"/>
        </w:rPr>
        <w:t xml:space="preserve"> </w:t>
      </w:r>
      <w:r w:rsidR="00F8056D" w:rsidRPr="004E66CA" w:rsidDel="00F8056D">
        <w:rPr>
          <w:rFonts w:eastAsia="Arial Unicode MS"/>
          <w:color w:val="69AE23"/>
          <w:kern w:val="22"/>
          <w:szCs w:val="18"/>
        </w:rPr>
        <w:t xml:space="preserve"> </w:t>
      </w:r>
    </w:p>
    <w:p w14:paraId="77EE9D1F" w14:textId="77777777" w:rsidR="00CC3A60" w:rsidRDefault="00CC3A60">
      <w:pPr>
        <w:rPr>
          <w:rFonts w:eastAsia="Arial Unicode MS"/>
          <w:color w:val="69AE23"/>
          <w:kern w:val="22"/>
          <w:szCs w:val="18"/>
        </w:rPr>
      </w:pPr>
      <w:r>
        <w:rPr>
          <w:rFonts w:eastAsia="Arial Unicode MS"/>
          <w:color w:val="69AE23"/>
          <w:kern w:val="22"/>
          <w:szCs w:val="18"/>
        </w:rPr>
        <w:br w:type="page"/>
      </w:r>
    </w:p>
    <w:p w14:paraId="5D62B817" w14:textId="361A920D" w:rsidR="00AC0043" w:rsidRDefault="00AC0043" w:rsidP="009F5B73">
      <w:pPr>
        <w:pStyle w:val="EC-Title-6"/>
        <w:outlineLvl w:val="1"/>
      </w:pPr>
      <w:r>
        <w:lastRenderedPageBreak/>
        <w:t xml:space="preserve">Annex1. Surveillance systems overview, </w:t>
      </w:r>
      <w:r w:rsidR="00A32FE1">
        <w:t>202</w:t>
      </w:r>
      <w:r w:rsidR="00B921B6">
        <w:t>3</w:t>
      </w:r>
    </w:p>
    <w:tbl>
      <w:tblPr>
        <w:tblW w:w="9587" w:type="dxa"/>
        <w:tblInd w:w="-5" w:type="dxa"/>
        <w:tblLook w:val="04A0" w:firstRow="1" w:lastRow="0" w:firstColumn="1" w:lastColumn="0" w:noHBand="0" w:noVBand="1"/>
      </w:tblPr>
      <w:tblGrid>
        <w:gridCol w:w="1062"/>
        <w:gridCol w:w="2606"/>
        <w:gridCol w:w="570"/>
        <w:gridCol w:w="570"/>
        <w:gridCol w:w="570"/>
        <w:gridCol w:w="570"/>
        <w:gridCol w:w="570"/>
        <w:gridCol w:w="570"/>
        <w:gridCol w:w="570"/>
        <w:gridCol w:w="570"/>
        <w:gridCol w:w="1645"/>
      </w:tblGrid>
      <w:tr w:rsidR="00D70C92" w:rsidRPr="00D933CF" w14:paraId="15B0A687" w14:textId="77777777" w:rsidTr="00034328">
        <w:trPr>
          <w:trHeight w:val="286"/>
        </w:trPr>
        <w:tc>
          <w:tcPr>
            <w:tcW w:w="1062"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2EDFA11E" w14:textId="77777777" w:rsidR="00D9624F" w:rsidRPr="00D933CF" w:rsidRDefault="00D9624F" w:rsidP="00D9624F">
            <w:pPr>
              <w:rPr>
                <w:rFonts w:eastAsia="Times New Roman" w:cs="Tahoma"/>
                <w:b/>
                <w:bCs/>
                <w:color w:val="FFFFFF"/>
                <w:sz w:val="14"/>
                <w:szCs w:val="14"/>
                <w:lang w:eastAsia="en-GB"/>
              </w:rPr>
            </w:pPr>
            <w:r w:rsidRPr="00D933CF">
              <w:rPr>
                <w:rFonts w:eastAsia="Times New Roman" w:cs="Tahoma"/>
                <w:b/>
                <w:bCs/>
                <w:color w:val="FFFFFF"/>
                <w:sz w:val="14"/>
                <w:szCs w:val="14"/>
                <w:lang w:eastAsia="en-GB"/>
              </w:rPr>
              <w:t>Country</w:t>
            </w:r>
          </w:p>
        </w:tc>
        <w:tc>
          <w:tcPr>
            <w:tcW w:w="2606"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434D822" w14:textId="77777777" w:rsidR="00D9624F" w:rsidRPr="00D933CF" w:rsidRDefault="00D9624F" w:rsidP="00D9624F">
            <w:pPr>
              <w:rPr>
                <w:rFonts w:eastAsia="Times New Roman" w:cs="Tahoma"/>
                <w:b/>
                <w:bCs/>
                <w:color w:val="FFFFFF"/>
                <w:sz w:val="14"/>
                <w:szCs w:val="14"/>
                <w:lang w:eastAsia="en-GB"/>
              </w:rPr>
            </w:pPr>
            <w:r w:rsidRPr="00D933CF">
              <w:rPr>
                <w:rFonts w:eastAsia="Times New Roman" w:cs="Tahoma"/>
                <w:b/>
                <w:bCs/>
                <w:color w:val="FFFFFF"/>
                <w:sz w:val="14"/>
                <w:szCs w:val="14"/>
                <w:lang w:eastAsia="en-GB"/>
              </w:rPr>
              <w:t>Data source</w:t>
            </w:r>
          </w:p>
        </w:tc>
        <w:tc>
          <w:tcPr>
            <w:tcW w:w="534"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0A548132" w14:textId="77777777" w:rsidR="00D9624F" w:rsidRPr="00D933CF" w:rsidRDefault="00D9624F" w:rsidP="00D9624F">
            <w:pPr>
              <w:jc w:val="center"/>
              <w:rPr>
                <w:rFonts w:eastAsia="Times New Roman" w:cs="Tahoma"/>
                <w:b/>
                <w:bCs/>
                <w:color w:val="FFFFFF"/>
                <w:sz w:val="14"/>
                <w:szCs w:val="14"/>
                <w:lang w:eastAsia="en-GB"/>
              </w:rPr>
            </w:pPr>
            <w:r w:rsidRPr="00D933CF">
              <w:rPr>
                <w:rFonts w:eastAsia="Times New Roman" w:cs="Tahoma"/>
                <w:b/>
                <w:bCs/>
                <w:color w:val="FFFFFF"/>
                <w:sz w:val="14"/>
                <w:szCs w:val="14"/>
                <w:lang w:eastAsia="en-GB"/>
              </w:rPr>
              <w:t>Compulsory (Cp), voluntary (V), other(O)</w:t>
            </w:r>
          </w:p>
        </w:tc>
        <w:tc>
          <w:tcPr>
            <w:tcW w:w="534"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6ED23C4" w14:textId="77777777" w:rsidR="00D9624F" w:rsidRPr="00D933CF" w:rsidRDefault="00D9624F" w:rsidP="00D9624F">
            <w:pPr>
              <w:jc w:val="center"/>
              <w:rPr>
                <w:rFonts w:eastAsia="Times New Roman" w:cs="Tahoma"/>
                <w:b/>
                <w:bCs/>
                <w:color w:val="FFFFFF"/>
                <w:sz w:val="14"/>
                <w:szCs w:val="14"/>
                <w:lang w:eastAsia="en-GB"/>
              </w:rPr>
            </w:pPr>
            <w:r w:rsidRPr="00D933CF">
              <w:rPr>
                <w:rFonts w:eastAsia="Times New Roman" w:cs="Tahoma"/>
                <w:b/>
                <w:bCs/>
                <w:color w:val="FFFFFF"/>
                <w:sz w:val="14"/>
                <w:szCs w:val="14"/>
                <w:lang w:eastAsia="en-GB"/>
              </w:rPr>
              <w:t>Comprehensive (Co), sentinel (Se), other(O)</w:t>
            </w:r>
          </w:p>
        </w:tc>
        <w:tc>
          <w:tcPr>
            <w:tcW w:w="534"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328216C8" w14:textId="77777777" w:rsidR="00D9624F" w:rsidRPr="00D933CF" w:rsidRDefault="00D9624F" w:rsidP="00D9624F">
            <w:pPr>
              <w:jc w:val="center"/>
              <w:rPr>
                <w:rFonts w:eastAsia="Times New Roman" w:cs="Tahoma"/>
                <w:b/>
                <w:bCs/>
                <w:color w:val="FFFFFF"/>
                <w:sz w:val="14"/>
                <w:szCs w:val="14"/>
                <w:lang w:eastAsia="en-GB"/>
              </w:rPr>
            </w:pPr>
            <w:r w:rsidRPr="00D933CF">
              <w:rPr>
                <w:rFonts w:eastAsia="Times New Roman" w:cs="Tahoma"/>
                <w:b/>
                <w:bCs/>
                <w:color w:val="FFFFFF"/>
                <w:sz w:val="14"/>
                <w:szCs w:val="14"/>
                <w:lang w:eastAsia="en-GB"/>
              </w:rPr>
              <w:t>Active (A), passive (P)</w:t>
            </w:r>
          </w:p>
        </w:tc>
        <w:tc>
          <w:tcPr>
            <w:tcW w:w="534"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3B0C4CE" w14:textId="77777777" w:rsidR="00D9624F" w:rsidRPr="00D933CF" w:rsidRDefault="00D9624F" w:rsidP="00D9624F">
            <w:pPr>
              <w:jc w:val="center"/>
              <w:rPr>
                <w:rFonts w:eastAsia="Times New Roman" w:cs="Tahoma"/>
                <w:b/>
                <w:bCs/>
                <w:color w:val="FFFFFF"/>
                <w:sz w:val="14"/>
                <w:szCs w:val="14"/>
                <w:lang w:eastAsia="en-GB"/>
              </w:rPr>
            </w:pPr>
            <w:r w:rsidRPr="00D933CF">
              <w:rPr>
                <w:rFonts w:eastAsia="Times New Roman" w:cs="Tahoma"/>
                <w:b/>
                <w:bCs/>
                <w:color w:val="FFFFFF"/>
                <w:sz w:val="14"/>
                <w:szCs w:val="14"/>
                <w:lang w:eastAsia="en-GB"/>
              </w:rPr>
              <w:t>Case-based (C), aggregated (A)</w:t>
            </w:r>
          </w:p>
        </w:tc>
        <w:tc>
          <w:tcPr>
            <w:tcW w:w="2138" w:type="dxa"/>
            <w:gridSpan w:val="4"/>
            <w:tcBorders>
              <w:top w:val="single" w:sz="4" w:space="0" w:color="auto"/>
              <w:left w:val="nil"/>
              <w:bottom w:val="single" w:sz="4" w:space="0" w:color="auto"/>
              <w:right w:val="single" w:sz="4" w:space="0" w:color="auto"/>
            </w:tcBorders>
            <w:shd w:val="clear" w:color="000000" w:fill="69AE23"/>
            <w:noWrap/>
            <w:hideMark/>
          </w:tcPr>
          <w:p w14:paraId="6F7AFDFB" w14:textId="77777777" w:rsidR="00D9624F" w:rsidRPr="00D933CF" w:rsidRDefault="00D9624F" w:rsidP="00D9624F">
            <w:pPr>
              <w:jc w:val="center"/>
              <w:rPr>
                <w:rFonts w:eastAsia="Times New Roman" w:cs="Tahoma"/>
                <w:b/>
                <w:bCs/>
                <w:color w:val="FFFFFF"/>
                <w:sz w:val="14"/>
                <w:szCs w:val="14"/>
                <w:lang w:eastAsia="en-GB"/>
              </w:rPr>
            </w:pPr>
            <w:r w:rsidRPr="00D933CF">
              <w:rPr>
                <w:rFonts w:eastAsia="Times New Roman" w:cs="Tahoma"/>
                <w:b/>
                <w:bCs/>
                <w:color w:val="FFFFFF"/>
                <w:sz w:val="14"/>
                <w:szCs w:val="14"/>
                <w:lang w:eastAsia="en-GB"/>
              </w:rPr>
              <w:t>Data reported by</w:t>
            </w:r>
          </w:p>
        </w:tc>
        <w:tc>
          <w:tcPr>
            <w:tcW w:w="1645"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C6E7CA5" w14:textId="77777777" w:rsidR="00D9624F" w:rsidRPr="00D933CF" w:rsidRDefault="00D9624F" w:rsidP="00D9624F">
            <w:pPr>
              <w:rPr>
                <w:rFonts w:eastAsia="Times New Roman" w:cs="Tahoma"/>
                <w:b/>
                <w:bCs/>
                <w:color w:val="FFFFFF"/>
                <w:sz w:val="14"/>
                <w:szCs w:val="14"/>
                <w:lang w:eastAsia="en-GB"/>
              </w:rPr>
            </w:pPr>
            <w:r w:rsidRPr="00D933CF">
              <w:rPr>
                <w:rFonts w:eastAsia="Times New Roman" w:cs="Tahoma"/>
                <w:b/>
                <w:bCs/>
                <w:color w:val="FFFFFF"/>
                <w:sz w:val="14"/>
                <w:szCs w:val="14"/>
                <w:lang w:eastAsia="en-GB"/>
              </w:rPr>
              <w:t>Case definition used</w:t>
            </w:r>
          </w:p>
        </w:tc>
      </w:tr>
      <w:tr w:rsidR="00D70C92" w:rsidRPr="00D933CF" w14:paraId="427DBB8B" w14:textId="77777777" w:rsidTr="00034328">
        <w:trPr>
          <w:trHeight w:val="2739"/>
        </w:trPr>
        <w:tc>
          <w:tcPr>
            <w:tcW w:w="1062" w:type="dxa"/>
            <w:vMerge/>
            <w:tcBorders>
              <w:top w:val="single" w:sz="4" w:space="0" w:color="auto"/>
              <w:left w:val="single" w:sz="4" w:space="0" w:color="auto"/>
              <w:bottom w:val="single" w:sz="4" w:space="0" w:color="auto"/>
              <w:right w:val="single" w:sz="4" w:space="0" w:color="auto"/>
            </w:tcBorders>
            <w:vAlign w:val="center"/>
            <w:hideMark/>
          </w:tcPr>
          <w:p w14:paraId="34F141B1" w14:textId="77777777" w:rsidR="00D9624F" w:rsidRPr="00D933CF" w:rsidRDefault="00D9624F" w:rsidP="00D9624F">
            <w:pPr>
              <w:rPr>
                <w:rFonts w:eastAsia="Times New Roman" w:cs="Tahoma"/>
                <w:b/>
                <w:bCs/>
                <w:color w:val="FFFFFF"/>
                <w:sz w:val="14"/>
                <w:szCs w:val="14"/>
                <w:lang w:eastAsia="en-GB"/>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2671E311" w14:textId="77777777" w:rsidR="00D9624F" w:rsidRPr="00D933CF" w:rsidRDefault="00D9624F" w:rsidP="00D9624F">
            <w:pPr>
              <w:rPr>
                <w:rFonts w:eastAsia="Times New Roman" w:cs="Tahoma"/>
                <w:b/>
                <w:bCs/>
                <w:color w:val="FFFFFF"/>
                <w:sz w:val="14"/>
                <w:szCs w:val="14"/>
                <w:lang w:eastAsia="en-GB"/>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A20CCC1" w14:textId="77777777" w:rsidR="00D9624F" w:rsidRPr="00D933CF" w:rsidRDefault="00D9624F" w:rsidP="00D9624F">
            <w:pPr>
              <w:rPr>
                <w:rFonts w:eastAsia="Times New Roman" w:cs="Tahoma"/>
                <w:b/>
                <w:bCs/>
                <w:color w:val="FFFFFF"/>
                <w:sz w:val="14"/>
                <w:szCs w:val="14"/>
                <w:lang w:eastAsia="en-GB"/>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75BF030" w14:textId="77777777" w:rsidR="00D9624F" w:rsidRPr="00D933CF" w:rsidRDefault="00D9624F" w:rsidP="00D9624F">
            <w:pPr>
              <w:rPr>
                <w:rFonts w:eastAsia="Times New Roman" w:cs="Tahoma"/>
                <w:b/>
                <w:bCs/>
                <w:color w:val="FFFFFF"/>
                <w:sz w:val="14"/>
                <w:szCs w:val="14"/>
                <w:lang w:eastAsia="en-GB"/>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D1A46D0" w14:textId="77777777" w:rsidR="00D9624F" w:rsidRPr="00D933CF" w:rsidRDefault="00D9624F" w:rsidP="00D9624F">
            <w:pPr>
              <w:rPr>
                <w:rFonts w:eastAsia="Times New Roman" w:cs="Tahoma"/>
                <w:b/>
                <w:bCs/>
                <w:color w:val="FFFFFF"/>
                <w:sz w:val="14"/>
                <w:szCs w:val="14"/>
                <w:lang w:eastAsia="en-GB"/>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41B908C" w14:textId="77777777" w:rsidR="00D9624F" w:rsidRPr="00D933CF" w:rsidRDefault="00D9624F" w:rsidP="00D9624F">
            <w:pPr>
              <w:rPr>
                <w:rFonts w:eastAsia="Times New Roman" w:cs="Tahoma"/>
                <w:b/>
                <w:bCs/>
                <w:color w:val="FFFFFF"/>
                <w:sz w:val="14"/>
                <w:szCs w:val="14"/>
                <w:lang w:eastAsia="en-GB"/>
              </w:rPr>
            </w:pPr>
          </w:p>
        </w:tc>
        <w:tc>
          <w:tcPr>
            <w:tcW w:w="534" w:type="dxa"/>
            <w:tcBorders>
              <w:top w:val="nil"/>
              <w:left w:val="nil"/>
              <w:bottom w:val="nil"/>
              <w:right w:val="single" w:sz="4" w:space="0" w:color="auto"/>
            </w:tcBorders>
            <w:shd w:val="clear" w:color="000000" w:fill="69AE23"/>
            <w:noWrap/>
            <w:textDirection w:val="btLr"/>
            <w:vAlign w:val="bottom"/>
            <w:hideMark/>
          </w:tcPr>
          <w:p w14:paraId="608535C8" w14:textId="77777777" w:rsidR="00D9624F" w:rsidRPr="00D933CF" w:rsidRDefault="00D9624F" w:rsidP="00D9624F">
            <w:pPr>
              <w:jc w:val="center"/>
              <w:rPr>
                <w:rFonts w:eastAsia="Times New Roman" w:cs="Tahoma"/>
                <w:b/>
                <w:bCs/>
                <w:color w:val="FFFFFF"/>
                <w:sz w:val="14"/>
                <w:szCs w:val="14"/>
                <w:lang w:eastAsia="en-GB"/>
              </w:rPr>
            </w:pPr>
            <w:r w:rsidRPr="00D933CF">
              <w:rPr>
                <w:rFonts w:eastAsia="Times New Roman" w:cs="Tahoma"/>
                <w:b/>
                <w:bCs/>
                <w:color w:val="FFFFFF"/>
                <w:sz w:val="14"/>
                <w:szCs w:val="14"/>
                <w:lang w:eastAsia="en-GB"/>
              </w:rPr>
              <w:t>Laboratories</w:t>
            </w:r>
          </w:p>
        </w:tc>
        <w:tc>
          <w:tcPr>
            <w:tcW w:w="534" w:type="dxa"/>
            <w:tcBorders>
              <w:top w:val="nil"/>
              <w:left w:val="nil"/>
              <w:bottom w:val="nil"/>
              <w:right w:val="single" w:sz="4" w:space="0" w:color="auto"/>
            </w:tcBorders>
            <w:shd w:val="clear" w:color="000000" w:fill="69AE23"/>
            <w:noWrap/>
            <w:textDirection w:val="btLr"/>
            <w:vAlign w:val="bottom"/>
            <w:hideMark/>
          </w:tcPr>
          <w:p w14:paraId="716D1B49" w14:textId="77777777" w:rsidR="00D9624F" w:rsidRPr="00D933CF" w:rsidRDefault="00D9624F" w:rsidP="00D9624F">
            <w:pPr>
              <w:jc w:val="center"/>
              <w:rPr>
                <w:rFonts w:eastAsia="Times New Roman" w:cs="Tahoma"/>
                <w:b/>
                <w:bCs/>
                <w:color w:val="FFFFFF"/>
                <w:sz w:val="14"/>
                <w:szCs w:val="14"/>
                <w:lang w:eastAsia="en-GB"/>
              </w:rPr>
            </w:pPr>
            <w:r w:rsidRPr="00D933CF">
              <w:rPr>
                <w:rFonts w:eastAsia="Times New Roman" w:cs="Tahoma"/>
                <w:b/>
                <w:bCs/>
                <w:color w:val="FFFFFF"/>
                <w:sz w:val="14"/>
                <w:szCs w:val="14"/>
                <w:lang w:eastAsia="en-GB"/>
              </w:rPr>
              <w:t>Physicians</w:t>
            </w:r>
          </w:p>
        </w:tc>
        <w:tc>
          <w:tcPr>
            <w:tcW w:w="534" w:type="dxa"/>
            <w:tcBorders>
              <w:top w:val="nil"/>
              <w:left w:val="nil"/>
              <w:bottom w:val="nil"/>
              <w:right w:val="single" w:sz="4" w:space="0" w:color="auto"/>
            </w:tcBorders>
            <w:shd w:val="clear" w:color="000000" w:fill="69AE23"/>
            <w:noWrap/>
            <w:textDirection w:val="btLr"/>
            <w:vAlign w:val="bottom"/>
            <w:hideMark/>
          </w:tcPr>
          <w:p w14:paraId="01BCB35D" w14:textId="77777777" w:rsidR="00D9624F" w:rsidRPr="00D933CF" w:rsidRDefault="00D9624F" w:rsidP="00D9624F">
            <w:pPr>
              <w:jc w:val="center"/>
              <w:rPr>
                <w:rFonts w:eastAsia="Times New Roman" w:cs="Tahoma"/>
                <w:b/>
                <w:bCs/>
                <w:color w:val="FFFFFF"/>
                <w:sz w:val="14"/>
                <w:szCs w:val="14"/>
                <w:lang w:eastAsia="en-GB"/>
              </w:rPr>
            </w:pPr>
            <w:r w:rsidRPr="00D933CF">
              <w:rPr>
                <w:rFonts w:eastAsia="Times New Roman" w:cs="Tahoma"/>
                <w:b/>
                <w:bCs/>
                <w:color w:val="FFFFFF"/>
                <w:sz w:val="14"/>
                <w:szCs w:val="14"/>
                <w:lang w:eastAsia="en-GB"/>
              </w:rPr>
              <w:t>Hospitals</w:t>
            </w:r>
          </w:p>
        </w:tc>
        <w:tc>
          <w:tcPr>
            <w:tcW w:w="534" w:type="dxa"/>
            <w:tcBorders>
              <w:top w:val="nil"/>
              <w:left w:val="nil"/>
              <w:bottom w:val="nil"/>
              <w:right w:val="single" w:sz="4" w:space="0" w:color="auto"/>
            </w:tcBorders>
            <w:shd w:val="clear" w:color="000000" w:fill="69AE23"/>
            <w:noWrap/>
            <w:textDirection w:val="btLr"/>
            <w:vAlign w:val="bottom"/>
            <w:hideMark/>
          </w:tcPr>
          <w:p w14:paraId="3F39A35E" w14:textId="77777777" w:rsidR="00D9624F" w:rsidRPr="00D933CF" w:rsidRDefault="00D9624F" w:rsidP="00D9624F">
            <w:pPr>
              <w:jc w:val="center"/>
              <w:rPr>
                <w:rFonts w:eastAsia="Times New Roman" w:cs="Tahoma"/>
                <w:b/>
                <w:bCs/>
                <w:color w:val="FFFFFF"/>
                <w:sz w:val="14"/>
                <w:szCs w:val="14"/>
                <w:lang w:eastAsia="en-GB"/>
              </w:rPr>
            </w:pPr>
            <w:r w:rsidRPr="00D933CF">
              <w:rPr>
                <w:rFonts w:eastAsia="Times New Roman" w:cs="Tahoma"/>
                <w:b/>
                <w:bCs/>
                <w:color w:val="FFFFFF"/>
                <w:sz w:val="14"/>
                <w:szCs w:val="14"/>
                <w:lang w:eastAsia="en-GB"/>
              </w:rPr>
              <w:t>Others</w:t>
            </w:r>
          </w:p>
        </w:tc>
        <w:tc>
          <w:tcPr>
            <w:tcW w:w="1645" w:type="dxa"/>
            <w:vMerge/>
            <w:tcBorders>
              <w:top w:val="single" w:sz="4" w:space="0" w:color="auto"/>
              <w:left w:val="single" w:sz="4" w:space="0" w:color="auto"/>
              <w:bottom w:val="single" w:sz="4" w:space="0" w:color="auto"/>
              <w:right w:val="single" w:sz="4" w:space="0" w:color="auto"/>
            </w:tcBorders>
            <w:vAlign w:val="center"/>
            <w:hideMark/>
          </w:tcPr>
          <w:p w14:paraId="213D29EA" w14:textId="77777777" w:rsidR="00D9624F" w:rsidRPr="00D933CF" w:rsidRDefault="00D9624F" w:rsidP="00D9624F">
            <w:pPr>
              <w:rPr>
                <w:rFonts w:eastAsia="Times New Roman" w:cs="Tahoma"/>
                <w:b/>
                <w:bCs/>
                <w:color w:val="FFFFFF"/>
                <w:sz w:val="14"/>
                <w:szCs w:val="14"/>
                <w:lang w:eastAsia="en-GB"/>
              </w:rPr>
            </w:pPr>
          </w:p>
        </w:tc>
      </w:tr>
      <w:tr w:rsidR="00D70C92" w:rsidRPr="00D933CF" w14:paraId="3951CA90" w14:textId="77777777" w:rsidTr="00034328">
        <w:trPr>
          <w:trHeight w:val="229"/>
        </w:trPr>
        <w:tc>
          <w:tcPr>
            <w:tcW w:w="1062" w:type="dxa"/>
            <w:tcBorders>
              <w:top w:val="single" w:sz="4" w:space="0" w:color="auto"/>
              <w:left w:val="single" w:sz="4" w:space="0" w:color="auto"/>
              <w:bottom w:val="nil"/>
              <w:right w:val="single" w:sz="4" w:space="0" w:color="auto"/>
            </w:tcBorders>
            <w:shd w:val="clear" w:color="000000" w:fill="D9D9D9"/>
            <w:noWrap/>
            <w:vAlign w:val="bottom"/>
            <w:hideMark/>
          </w:tcPr>
          <w:p w14:paraId="6C908C8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Austria</w:t>
            </w:r>
          </w:p>
        </w:tc>
        <w:tc>
          <w:tcPr>
            <w:tcW w:w="2606" w:type="dxa"/>
            <w:tcBorders>
              <w:top w:val="single" w:sz="4" w:space="0" w:color="auto"/>
              <w:left w:val="single" w:sz="4" w:space="0" w:color="auto"/>
              <w:bottom w:val="nil"/>
              <w:right w:val="single" w:sz="4" w:space="0" w:color="auto"/>
            </w:tcBorders>
            <w:shd w:val="clear" w:color="000000" w:fill="D9D9D9"/>
            <w:noWrap/>
            <w:vAlign w:val="bottom"/>
            <w:hideMark/>
          </w:tcPr>
          <w:p w14:paraId="006CDAE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AT-</w:t>
            </w:r>
            <w:proofErr w:type="spellStart"/>
            <w:r w:rsidRPr="00D933CF">
              <w:rPr>
                <w:rFonts w:eastAsia="Times New Roman" w:cs="Tahoma"/>
                <w:sz w:val="14"/>
                <w:szCs w:val="14"/>
                <w:lang w:eastAsia="en-GB"/>
              </w:rPr>
              <w:t>Epidemiegesetz</w:t>
            </w:r>
            <w:proofErr w:type="spellEnd"/>
          </w:p>
        </w:tc>
        <w:tc>
          <w:tcPr>
            <w:tcW w:w="534" w:type="dxa"/>
            <w:tcBorders>
              <w:top w:val="single" w:sz="4" w:space="0" w:color="auto"/>
              <w:left w:val="single" w:sz="4" w:space="0" w:color="auto"/>
              <w:bottom w:val="nil"/>
              <w:right w:val="single" w:sz="4" w:space="0" w:color="auto"/>
            </w:tcBorders>
            <w:shd w:val="clear" w:color="000000" w:fill="D9D9D9"/>
            <w:noWrap/>
            <w:vAlign w:val="bottom"/>
            <w:hideMark/>
          </w:tcPr>
          <w:p w14:paraId="6B15EC0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single" w:sz="4" w:space="0" w:color="auto"/>
              <w:left w:val="single" w:sz="4" w:space="0" w:color="auto"/>
              <w:bottom w:val="nil"/>
              <w:right w:val="single" w:sz="4" w:space="0" w:color="auto"/>
            </w:tcBorders>
            <w:shd w:val="clear" w:color="000000" w:fill="D9D9D9"/>
            <w:noWrap/>
            <w:vAlign w:val="bottom"/>
            <w:hideMark/>
          </w:tcPr>
          <w:p w14:paraId="430D109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single" w:sz="4" w:space="0" w:color="auto"/>
              <w:left w:val="single" w:sz="4" w:space="0" w:color="auto"/>
              <w:bottom w:val="nil"/>
              <w:right w:val="single" w:sz="4" w:space="0" w:color="auto"/>
            </w:tcBorders>
            <w:shd w:val="clear" w:color="000000" w:fill="D9D9D9"/>
            <w:noWrap/>
            <w:vAlign w:val="bottom"/>
            <w:hideMark/>
          </w:tcPr>
          <w:p w14:paraId="6742C89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single" w:sz="4" w:space="0" w:color="auto"/>
              <w:left w:val="single" w:sz="4" w:space="0" w:color="auto"/>
              <w:bottom w:val="nil"/>
              <w:right w:val="single" w:sz="4" w:space="0" w:color="auto"/>
            </w:tcBorders>
            <w:shd w:val="clear" w:color="000000" w:fill="D9D9D9"/>
            <w:noWrap/>
            <w:vAlign w:val="bottom"/>
            <w:hideMark/>
          </w:tcPr>
          <w:p w14:paraId="0815871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single" w:sz="4" w:space="0" w:color="auto"/>
              <w:left w:val="single" w:sz="4" w:space="0" w:color="auto"/>
              <w:bottom w:val="nil"/>
              <w:right w:val="single" w:sz="4" w:space="0" w:color="auto"/>
            </w:tcBorders>
            <w:shd w:val="clear" w:color="000000" w:fill="D9D9D9"/>
            <w:noWrap/>
            <w:vAlign w:val="bottom"/>
            <w:hideMark/>
          </w:tcPr>
          <w:p w14:paraId="3CEB84F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single" w:sz="4" w:space="0" w:color="auto"/>
              <w:left w:val="single" w:sz="4" w:space="0" w:color="auto"/>
              <w:bottom w:val="nil"/>
              <w:right w:val="single" w:sz="4" w:space="0" w:color="auto"/>
            </w:tcBorders>
            <w:shd w:val="clear" w:color="000000" w:fill="D9D9D9"/>
            <w:noWrap/>
            <w:vAlign w:val="bottom"/>
            <w:hideMark/>
          </w:tcPr>
          <w:p w14:paraId="325815B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single" w:sz="4" w:space="0" w:color="auto"/>
              <w:left w:val="single" w:sz="4" w:space="0" w:color="auto"/>
              <w:bottom w:val="nil"/>
              <w:right w:val="single" w:sz="4" w:space="0" w:color="auto"/>
            </w:tcBorders>
            <w:shd w:val="clear" w:color="000000" w:fill="D9D9D9"/>
            <w:noWrap/>
            <w:vAlign w:val="bottom"/>
            <w:hideMark/>
          </w:tcPr>
          <w:p w14:paraId="784643E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single" w:sz="4" w:space="0" w:color="auto"/>
              <w:left w:val="single" w:sz="4" w:space="0" w:color="auto"/>
              <w:bottom w:val="nil"/>
              <w:right w:val="single" w:sz="4" w:space="0" w:color="auto"/>
            </w:tcBorders>
            <w:shd w:val="clear" w:color="000000" w:fill="D9D9D9"/>
            <w:noWrap/>
            <w:vAlign w:val="bottom"/>
            <w:hideMark/>
          </w:tcPr>
          <w:p w14:paraId="3AA8E69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1645" w:type="dxa"/>
            <w:tcBorders>
              <w:top w:val="single" w:sz="4" w:space="0" w:color="auto"/>
              <w:left w:val="nil"/>
              <w:bottom w:val="nil"/>
              <w:right w:val="single" w:sz="4" w:space="0" w:color="auto"/>
            </w:tcBorders>
            <w:shd w:val="clear" w:color="000000" w:fill="D9D9D9"/>
            <w:noWrap/>
            <w:vAlign w:val="bottom"/>
            <w:hideMark/>
          </w:tcPr>
          <w:p w14:paraId="7CA3F74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EU-2008</w:t>
            </w:r>
          </w:p>
        </w:tc>
      </w:tr>
      <w:tr w:rsidR="00D9624F" w:rsidRPr="00D933CF" w14:paraId="03C26D89"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11D4CEA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Belgium</w:t>
            </w:r>
          </w:p>
        </w:tc>
        <w:tc>
          <w:tcPr>
            <w:tcW w:w="2606" w:type="dxa"/>
            <w:tcBorders>
              <w:top w:val="nil"/>
              <w:left w:val="nil"/>
              <w:bottom w:val="nil"/>
              <w:right w:val="single" w:sz="4" w:space="0" w:color="auto"/>
            </w:tcBorders>
            <w:shd w:val="clear" w:color="auto" w:fill="auto"/>
            <w:noWrap/>
            <w:vAlign w:val="bottom"/>
            <w:hideMark/>
          </w:tcPr>
          <w:p w14:paraId="2C08BC6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BE-LABNET</w:t>
            </w:r>
          </w:p>
        </w:tc>
        <w:tc>
          <w:tcPr>
            <w:tcW w:w="534" w:type="dxa"/>
            <w:tcBorders>
              <w:top w:val="nil"/>
              <w:left w:val="nil"/>
              <w:bottom w:val="nil"/>
              <w:right w:val="single" w:sz="4" w:space="0" w:color="auto"/>
            </w:tcBorders>
            <w:shd w:val="clear" w:color="auto" w:fill="auto"/>
            <w:noWrap/>
            <w:vAlign w:val="bottom"/>
            <w:hideMark/>
          </w:tcPr>
          <w:p w14:paraId="663180A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V</w:t>
            </w:r>
          </w:p>
        </w:tc>
        <w:tc>
          <w:tcPr>
            <w:tcW w:w="534" w:type="dxa"/>
            <w:tcBorders>
              <w:top w:val="nil"/>
              <w:left w:val="nil"/>
              <w:bottom w:val="nil"/>
              <w:right w:val="single" w:sz="4" w:space="0" w:color="auto"/>
            </w:tcBorders>
            <w:shd w:val="clear" w:color="auto" w:fill="auto"/>
            <w:noWrap/>
            <w:vAlign w:val="bottom"/>
            <w:hideMark/>
          </w:tcPr>
          <w:p w14:paraId="1422804F" w14:textId="3461CD46" w:rsidR="00D9624F" w:rsidRPr="00D933CF" w:rsidRDefault="002870C0" w:rsidP="00AF4AD6">
            <w:pPr>
              <w:spacing w:before="120" w:after="0"/>
              <w:rPr>
                <w:rFonts w:eastAsia="Times New Roman" w:cs="Tahoma"/>
                <w:sz w:val="14"/>
                <w:szCs w:val="14"/>
                <w:lang w:eastAsia="en-GB"/>
              </w:rPr>
            </w:pPr>
            <w:r>
              <w:rPr>
                <w:rFonts w:eastAsia="Times New Roman" w:cs="Tahoma"/>
                <w:sz w:val="14"/>
                <w:szCs w:val="14"/>
                <w:lang w:eastAsia="en-GB"/>
              </w:rPr>
              <w:t>Se</w:t>
            </w:r>
          </w:p>
        </w:tc>
        <w:tc>
          <w:tcPr>
            <w:tcW w:w="534" w:type="dxa"/>
            <w:tcBorders>
              <w:top w:val="nil"/>
              <w:left w:val="nil"/>
              <w:bottom w:val="nil"/>
              <w:right w:val="single" w:sz="4" w:space="0" w:color="auto"/>
            </w:tcBorders>
            <w:shd w:val="clear" w:color="auto" w:fill="auto"/>
            <w:noWrap/>
            <w:vAlign w:val="bottom"/>
            <w:hideMark/>
          </w:tcPr>
          <w:p w14:paraId="0AA11C2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61C212F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A</w:t>
            </w:r>
          </w:p>
        </w:tc>
        <w:tc>
          <w:tcPr>
            <w:tcW w:w="534" w:type="dxa"/>
            <w:tcBorders>
              <w:top w:val="nil"/>
              <w:left w:val="nil"/>
              <w:bottom w:val="nil"/>
              <w:right w:val="single" w:sz="4" w:space="0" w:color="auto"/>
            </w:tcBorders>
            <w:shd w:val="clear" w:color="auto" w:fill="auto"/>
            <w:noWrap/>
            <w:vAlign w:val="bottom"/>
            <w:hideMark/>
          </w:tcPr>
          <w:p w14:paraId="6D5F08F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71E7C72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63CFA0F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w:t>
            </w:r>
          </w:p>
        </w:tc>
        <w:tc>
          <w:tcPr>
            <w:tcW w:w="534" w:type="dxa"/>
            <w:tcBorders>
              <w:top w:val="nil"/>
              <w:left w:val="nil"/>
              <w:bottom w:val="nil"/>
              <w:right w:val="single" w:sz="4" w:space="0" w:color="auto"/>
            </w:tcBorders>
            <w:shd w:val="clear" w:color="auto" w:fill="auto"/>
            <w:noWrap/>
            <w:vAlign w:val="bottom"/>
            <w:hideMark/>
          </w:tcPr>
          <w:p w14:paraId="2F60264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w:t>
            </w:r>
          </w:p>
        </w:tc>
        <w:tc>
          <w:tcPr>
            <w:tcW w:w="1645" w:type="dxa"/>
            <w:tcBorders>
              <w:top w:val="nil"/>
              <w:left w:val="nil"/>
              <w:bottom w:val="nil"/>
              <w:right w:val="single" w:sz="4" w:space="0" w:color="auto"/>
            </w:tcBorders>
            <w:shd w:val="clear" w:color="auto" w:fill="auto"/>
            <w:noWrap/>
            <w:vAlign w:val="bottom"/>
            <w:hideMark/>
          </w:tcPr>
          <w:p w14:paraId="16A99B95" w14:textId="270CB406" w:rsidR="00D9624F" w:rsidRPr="00D933CF" w:rsidRDefault="0094125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70C92" w:rsidRPr="00D933CF" w14:paraId="5974D6B2"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54F0E26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Bulgaria</w:t>
            </w:r>
          </w:p>
        </w:tc>
        <w:tc>
          <w:tcPr>
            <w:tcW w:w="2606" w:type="dxa"/>
            <w:tcBorders>
              <w:top w:val="nil"/>
              <w:left w:val="single" w:sz="4" w:space="0" w:color="auto"/>
              <w:bottom w:val="nil"/>
              <w:right w:val="single" w:sz="4" w:space="0" w:color="auto"/>
            </w:tcBorders>
            <w:shd w:val="clear" w:color="000000" w:fill="D9D9D9"/>
            <w:noWrap/>
            <w:vAlign w:val="bottom"/>
            <w:hideMark/>
          </w:tcPr>
          <w:p w14:paraId="382A8E1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BG-NATIONAL_SURVEILLANCE</w:t>
            </w:r>
          </w:p>
        </w:tc>
        <w:tc>
          <w:tcPr>
            <w:tcW w:w="534" w:type="dxa"/>
            <w:tcBorders>
              <w:top w:val="nil"/>
              <w:left w:val="single" w:sz="4" w:space="0" w:color="auto"/>
              <w:bottom w:val="nil"/>
              <w:right w:val="single" w:sz="4" w:space="0" w:color="auto"/>
            </w:tcBorders>
            <w:shd w:val="clear" w:color="000000" w:fill="D9D9D9"/>
            <w:noWrap/>
            <w:vAlign w:val="bottom"/>
            <w:hideMark/>
          </w:tcPr>
          <w:p w14:paraId="539AE2A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77F6CF2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5275EFD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11801CA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A</w:t>
            </w:r>
          </w:p>
        </w:tc>
        <w:tc>
          <w:tcPr>
            <w:tcW w:w="534" w:type="dxa"/>
            <w:tcBorders>
              <w:top w:val="nil"/>
              <w:left w:val="single" w:sz="4" w:space="0" w:color="auto"/>
              <w:bottom w:val="nil"/>
              <w:right w:val="single" w:sz="4" w:space="0" w:color="auto"/>
            </w:tcBorders>
            <w:shd w:val="clear" w:color="000000" w:fill="D9D9D9"/>
            <w:noWrap/>
            <w:vAlign w:val="bottom"/>
            <w:hideMark/>
          </w:tcPr>
          <w:p w14:paraId="7AD7CF9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4443B20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74120FE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73F9352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1645" w:type="dxa"/>
            <w:tcBorders>
              <w:top w:val="nil"/>
              <w:left w:val="nil"/>
              <w:bottom w:val="nil"/>
              <w:right w:val="single" w:sz="4" w:space="0" w:color="auto"/>
            </w:tcBorders>
            <w:shd w:val="clear" w:color="000000" w:fill="D9D9D9"/>
            <w:noWrap/>
            <w:vAlign w:val="bottom"/>
            <w:hideMark/>
          </w:tcPr>
          <w:p w14:paraId="3A7945B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9624F" w:rsidRPr="00D933CF" w14:paraId="5419A76C"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725D5A9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Croatia</w:t>
            </w:r>
          </w:p>
        </w:tc>
        <w:tc>
          <w:tcPr>
            <w:tcW w:w="2606" w:type="dxa"/>
            <w:tcBorders>
              <w:top w:val="nil"/>
              <w:left w:val="nil"/>
              <w:bottom w:val="nil"/>
              <w:right w:val="single" w:sz="4" w:space="0" w:color="auto"/>
            </w:tcBorders>
            <w:shd w:val="clear" w:color="auto" w:fill="auto"/>
            <w:noWrap/>
            <w:vAlign w:val="bottom"/>
            <w:hideMark/>
          </w:tcPr>
          <w:p w14:paraId="0269D46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HR-CNIPH</w:t>
            </w:r>
          </w:p>
        </w:tc>
        <w:tc>
          <w:tcPr>
            <w:tcW w:w="534" w:type="dxa"/>
            <w:tcBorders>
              <w:top w:val="nil"/>
              <w:left w:val="nil"/>
              <w:bottom w:val="nil"/>
              <w:right w:val="single" w:sz="4" w:space="0" w:color="auto"/>
            </w:tcBorders>
            <w:shd w:val="clear" w:color="auto" w:fill="auto"/>
            <w:noWrap/>
            <w:vAlign w:val="bottom"/>
            <w:hideMark/>
          </w:tcPr>
          <w:p w14:paraId="310598F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3ECAA5C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7F47D1C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0146FE5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1B97CA4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2938305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6BA2FBB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66A0757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1645" w:type="dxa"/>
            <w:tcBorders>
              <w:top w:val="nil"/>
              <w:left w:val="nil"/>
              <w:bottom w:val="nil"/>
              <w:right w:val="single" w:sz="4" w:space="0" w:color="auto"/>
            </w:tcBorders>
            <w:shd w:val="clear" w:color="auto" w:fill="auto"/>
            <w:noWrap/>
            <w:vAlign w:val="bottom"/>
            <w:hideMark/>
          </w:tcPr>
          <w:p w14:paraId="34C7126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EU-2012</w:t>
            </w:r>
          </w:p>
        </w:tc>
      </w:tr>
      <w:tr w:rsidR="00D70C92" w:rsidRPr="00D933CF" w14:paraId="244F2E21"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7738C84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Cyprus</w:t>
            </w:r>
          </w:p>
        </w:tc>
        <w:tc>
          <w:tcPr>
            <w:tcW w:w="2606" w:type="dxa"/>
            <w:tcBorders>
              <w:top w:val="nil"/>
              <w:left w:val="single" w:sz="4" w:space="0" w:color="auto"/>
              <w:bottom w:val="nil"/>
              <w:right w:val="single" w:sz="4" w:space="0" w:color="auto"/>
            </w:tcBorders>
            <w:shd w:val="clear" w:color="000000" w:fill="D9D9D9"/>
            <w:noWrap/>
            <w:vAlign w:val="bottom"/>
            <w:hideMark/>
          </w:tcPr>
          <w:p w14:paraId="58692BA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CY-NOTIFIED_DISEASES</w:t>
            </w:r>
          </w:p>
        </w:tc>
        <w:tc>
          <w:tcPr>
            <w:tcW w:w="534" w:type="dxa"/>
            <w:tcBorders>
              <w:top w:val="nil"/>
              <w:left w:val="single" w:sz="4" w:space="0" w:color="auto"/>
              <w:bottom w:val="nil"/>
              <w:right w:val="single" w:sz="4" w:space="0" w:color="auto"/>
            </w:tcBorders>
            <w:shd w:val="clear" w:color="000000" w:fill="D9D9D9"/>
            <w:noWrap/>
            <w:vAlign w:val="bottom"/>
            <w:hideMark/>
          </w:tcPr>
          <w:p w14:paraId="55BCA54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411D2EB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17961CD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74DD2F5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646DB7C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6031314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5A3C49A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55E29C3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718F5F7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EU-2008</w:t>
            </w:r>
          </w:p>
        </w:tc>
      </w:tr>
      <w:tr w:rsidR="00D9624F" w:rsidRPr="00D933CF" w14:paraId="21BE1F13"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0CA97B3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Czechia</w:t>
            </w:r>
          </w:p>
        </w:tc>
        <w:tc>
          <w:tcPr>
            <w:tcW w:w="2606" w:type="dxa"/>
            <w:tcBorders>
              <w:top w:val="nil"/>
              <w:left w:val="nil"/>
              <w:bottom w:val="nil"/>
              <w:right w:val="single" w:sz="4" w:space="0" w:color="auto"/>
            </w:tcBorders>
            <w:shd w:val="clear" w:color="auto" w:fill="auto"/>
            <w:noWrap/>
            <w:vAlign w:val="bottom"/>
            <w:hideMark/>
          </w:tcPr>
          <w:p w14:paraId="5CE97F1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CZ-ISIN</w:t>
            </w:r>
          </w:p>
        </w:tc>
        <w:tc>
          <w:tcPr>
            <w:tcW w:w="534" w:type="dxa"/>
            <w:tcBorders>
              <w:top w:val="nil"/>
              <w:left w:val="nil"/>
              <w:bottom w:val="nil"/>
              <w:right w:val="single" w:sz="4" w:space="0" w:color="auto"/>
            </w:tcBorders>
            <w:shd w:val="clear" w:color="auto" w:fill="auto"/>
            <w:noWrap/>
            <w:vAlign w:val="bottom"/>
            <w:hideMark/>
          </w:tcPr>
          <w:p w14:paraId="04BC99F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526AD2E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6729904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A</w:t>
            </w:r>
          </w:p>
        </w:tc>
        <w:tc>
          <w:tcPr>
            <w:tcW w:w="534" w:type="dxa"/>
            <w:tcBorders>
              <w:top w:val="nil"/>
              <w:left w:val="nil"/>
              <w:bottom w:val="nil"/>
              <w:right w:val="single" w:sz="4" w:space="0" w:color="auto"/>
            </w:tcBorders>
            <w:shd w:val="clear" w:color="auto" w:fill="auto"/>
            <w:noWrap/>
            <w:vAlign w:val="bottom"/>
            <w:hideMark/>
          </w:tcPr>
          <w:p w14:paraId="4091D68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35DEE85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4384CE9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58F54C8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55864F5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auto" w:fill="auto"/>
            <w:noWrap/>
            <w:vAlign w:val="bottom"/>
            <w:hideMark/>
          </w:tcPr>
          <w:p w14:paraId="1C9F2E4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EU-2008</w:t>
            </w:r>
          </w:p>
        </w:tc>
      </w:tr>
      <w:tr w:rsidR="00D70C92" w:rsidRPr="00D933CF" w14:paraId="7239DCC8"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15BADCD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Denmark</w:t>
            </w:r>
          </w:p>
        </w:tc>
        <w:tc>
          <w:tcPr>
            <w:tcW w:w="2606" w:type="dxa"/>
            <w:tcBorders>
              <w:top w:val="nil"/>
              <w:left w:val="single" w:sz="4" w:space="0" w:color="auto"/>
              <w:bottom w:val="nil"/>
              <w:right w:val="single" w:sz="4" w:space="0" w:color="auto"/>
            </w:tcBorders>
            <w:shd w:val="clear" w:color="000000" w:fill="D9D9D9"/>
            <w:noWrap/>
            <w:vAlign w:val="bottom"/>
            <w:hideMark/>
          </w:tcPr>
          <w:p w14:paraId="3CB7F6A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DK-LAB</w:t>
            </w:r>
          </w:p>
        </w:tc>
        <w:tc>
          <w:tcPr>
            <w:tcW w:w="534" w:type="dxa"/>
            <w:tcBorders>
              <w:top w:val="nil"/>
              <w:left w:val="single" w:sz="4" w:space="0" w:color="auto"/>
              <w:bottom w:val="nil"/>
              <w:right w:val="single" w:sz="4" w:space="0" w:color="auto"/>
            </w:tcBorders>
            <w:shd w:val="clear" w:color="000000" w:fill="D9D9D9"/>
            <w:noWrap/>
            <w:vAlign w:val="bottom"/>
            <w:hideMark/>
          </w:tcPr>
          <w:p w14:paraId="787D715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7F7274F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64FF124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286E390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278F146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370E1F6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33D7EC3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7D8ECBF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6A3444A2" w14:textId="2F6A01F8" w:rsidR="00D9624F" w:rsidRPr="00D933CF" w:rsidRDefault="000B7484"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9624F" w:rsidRPr="00D933CF" w14:paraId="0D0E5B99"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30D7CE0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Estonia</w:t>
            </w:r>
          </w:p>
        </w:tc>
        <w:tc>
          <w:tcPr>
            <w:tcW w:w="2606" w:type="dxa"/>
            <w:tcBorders>
              <w:top w:val="nil"/>
              <w:left w:val="nil"/>
              <w:bottom w:val="nil"/>
              <w:right w:val="single" w:sz="4" w:space="0" w:color="auto"/>
            </w:tcBorders>
            <w:shd w:val="clear" w:color="auto" w:fill="auto"/>
            <w:noWrap/>
            <w:vAlign w:val="bottom"/>
            <w:hideMark/>
          </w:tcPr>
          <w:p w14:paraId="6206E53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EE-NAKIS</w:t>
            </w:r>
          </w:p>
        </w:tc>
        <w:tc>
          <w:tcPr>
            <w:tcW w:w="534" w:type="dxa"/>
            <w:tcBorders>
              <w:top w:val="nil"/>
              <w:left w:val="nil"/>
              <w:bottom w:val="nil"/>
              <w:right w:val="single" w:sz="4" w:space="0" w:color="auto"/>
            </w:tcBorders>
            <w:shd w:val="clear" w:color="auto" w:fill="auto"/>
            <w:noWrap/>
            <w:vAlign w:val="bottom"/>
            <w:hideMark/>
          </w:tcPr>
          <w:p w14:paraId="3D9340B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5525D9D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2822B32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56405CF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7E3AB86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2DC2523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12D8E45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25BDC29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auto" w:fill="auto"/>
            <w:noWrap/>
            <w:vAlign w:val="bottom"/>
            <w:hideMark/>
          </w:tcPr>
          <w:p w14:paraId="7BDDF50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70C92" w:rsidRPr="00D933CF" w14:paraId="4BE3267E"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7ADCC3D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Finland</w:t>
            </w:r>
          </w:p>
        </w:tc>
        <w:tc>
          <w:tcPr>
            <w:tcW w:w="2606" w:type="dxa"/>
            <w:tcBorders>
              <w:top w:val="nil"/>
              <w:left w:val="single" w:sz="4" w:space="0" w:color="auto"/>
              <w:bottom w:val="nil"/>
              <w:right w:val="single" w:sz="4" w:space="0" w:color="auto"/>
            </w:tcBorders>
            <w:shd w:val="clear" w:color="000000" w:fill="D9D9D9"/>
            <w:noWrap/>
            <w:vAlign w:val="bottom"/>
            <w:hideMark/>
          </w:tcPr>
          <w:p w14:paraId="0251DEF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FI-NIDR</w:t>
            </w:r>
          </w:p>
        </w:tc>
        <w:tc>
          <w:tcPr>
            <w:tcW w:w="534" w:type="dxa"/>
            <w:tcBorders>
              <w:top w:val="nil"/>
              <w:left w:val="single" w:sz="4" w:space="0" w:color="auto"/>
              <w:bottom w:val="nil"/>
              <w:right w:val="single" w:sz="4" w:space="0" w:color="auto"/>
            </w:tcBorders>
            <w:shd w:val="clear" w:color="000000" w:fill="D9D9D9"/>
            <w:noWrap/>
            <w:vAlign w:val="bottom"/>
            <w:hideMark/>
          </w:tcPr>
          <w:p w14:paraId="19E40EF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5D1DD92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5D21182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59A80EE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1F503DA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645A476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7671E71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0ABAA7A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35BDC2B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EU-2012</w:t>
            </w:r>
          </w:p>
        </w:tc>
      </w:tr>
      <w:tr w:rsidR="00D9624F" w:rsidRPr="00D933CF" w14:paraId="12291C87"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644884F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France</w:t>
            </w:r>
          </w:p>
        </w:tc>
        <w:tc>
          <w:tcPr>
            <w:tcW w:w="2606" w:type="dxa"/>
            <w:tcBorders>
              <w:top w:val="nil"/>
              <w:left w:val="nil"/>
              <w:bottom w:val="nil"/>
              <w:right w:val="single" w:sz="4" w:space="0" w:color="auto"/>
            </w:tcBorders>
            <w:shd w:val="clear" w:color="auto" w:fill="auto"/>
            <w:noWrap/>
            <w:vAlign w:val="bottom"/>
            <w:hideMark/>
          </w:tcPr>
          <w:p w14:paraId="4D21E5B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FR-NATIONAL_REFERENCE_CENTRES</w:t>
            </w:r>
          </w:p>
        </w:tc>
        <w:tc>
          <w:tcPr>
            <w:tcW w:w="534" w:type="dxa"/>
            <w:tcBorders>
              <w:top w:val="nil"/>
              <w:left w:val="nil"/>
              <w:bottom w:val="nil"/>
              <w:right w:val="single" w:sz="4" w:space="0" w:color="auto"/>
            </w:tcBorders>
            <w:shd w:val="clear" w:color="auto" w:fill="auto"/>
            <w:noWrap/>
            <w:vAlign w:val="bottom"/>
            <w:hideMark/>
          </w:tcPr>
          <w:p w14:paraId="2876DCE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V</w:t>
            </w:r>
          </w:p>
        </w:tc>
        <w:tc>
          <w:tcPr>
            <w:tcW w:w="534" w:type="dxa"/>
            <w:tcBorders>
              <w:top w:val="nil"/>
              <w:left w:val="nil"/>
              <w:bottom w:val="nil"/>
              <w:right w:val="single" w:sz="4" w:space="0" w:color="auto"/>
            </w:tcBorders>
            <w:shd w:val="clear" w:color="auto" w:fill="auto"/>
            <w:noWrap/>
            <w:vAlign w:val="bottom"/>
            <w:hideMark/>
          </w:tcPr>
          <w:p w14:paraId="7306271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4E16A9F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5684733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32455EE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2A5572F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2B2770E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2323103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auto" w:fill="auto"/>
            <w:noWrap/>
            <w:vAlign w:val="bottom"/>
            <w:hideMark/>
          </w:tcPr>
          <w:p w14:paraId="133277C3" w14:textId="40FF6599" w:rsidR="00D9624F" w:rsidRPr="00D933CF" w:rsidRDefault="006462A0" w:rsidP="00AF4AD6">
            <w:pPr>
              <w:spacing w:before="120" w:after="0"/>
              <w:rPr>
                <w:rFonts w:eastAsia="Times New Roman" w:cs="Tahoma"/>
                <w:sz w:val="14"/>
                <w:szCs w:val="14"/>
                <w:lang w:eastAsia="en-GB"/>
              </w:rPr>
            </w:pPr>
            <w:r>
              <w:rPr>
                <w:rFonts w:eastAsia="Times New Roman" w:cs="Tahoma"/>
                <w:sz w:val="14"/>
                <w:szCs w:val="14"/>
                <w:lang w:eastAsia="en-GB"/>
              </w:rPr>
              <w:t>Other</w:t>
            </w:r>
            <w:r w:rsidR="00DE134B">
              <w:rPr>
                <w:rFonts w:eastAsia="Times New Roman" w:cs="Tahoma"/>
                <w:sz w:val="14"/>
                <w:szCs w:val="14"/>
                <w:lang w:eastAsia="en-GB"/>
              </w:rPr>
              <w:t xml:space="preserve"> </w:t>
            </w:r>
          </w:p>
        </w:tc>
      </w:tr>
      <w:tr w:rsidR="00D70C92" w:rsidRPr="00D933CF" w14:paraId="551CB46A"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4E3832B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Germany</w:t>
            </w:r>
          </w:p>
        </w:tc>
        <w:tc>
          <w:tcPr>
            <w:tcW w:w="2606" w:type="dxa"/>
            <w:tcBorders>
              <w:top w:val="nil"/>
              <w:left w:val="single" w:sz="4" w:space="0" w:color="auto"/>
              <w:bottom w:val="nil"/>
              <w:right w:val="single" w:sz="4" w:space="0" w:color="auto"/>
            </w:tcBorders>
            <w:shd w:val="clear" w:color="000000" w:fill="D9D9D9"/>
            <w:noWrap/>
            <w:vAlign w:val="bottom"/>
            <w:hideMark/>
          </w:tcPr>
          <w:p w14:paraId="5CFEA83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DE-SURVNET@RKI-7.1</w:t>
            </w:r>
          </w:p>
        </w:tc>
        <w:tc>
          <w:tcPr>
            <w:tcW w:w="534" w:type="dxa"/>
            <w:tcBorders>
              <w:top w:val="nil"/>
              <w:left w:val="single" w:sz="4" w:space="0" w:color="auto"/>
              <w:bottom w:val="nil"/>
              <w:right w:val="single" w:sz="4" w:space="0" w:color="auto"/>
            </w:tcBorders>
            <w:shd w:val="clear" w:color="000000" w:fill="D9D9D9"/>
            <w:noWrap/>
            <w:vAlign w:val="bottom"/>
            <w:hideMark/>
          </w:tcPr>
          <w:p w14:paraId="30882AF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72E5D9B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76DD347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1F32991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7326E0F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3590472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7B05A53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229FFBD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6E8DE87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Other</w:t>
            </w:r>
          </w:p>
        </w:tc>
      </w:tr>
      <w:tr w:rsidR="00D9624F" w:rsidRPr="00D933CF" w14:paraId="1EA2D0FC"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4942188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Greece</w:t>
            </w:r>
          </w:p>
        </w:tc>
        <w:tc>
          <w:tcPr>
            <w:tcW w:w="2606" w:type="dxa"/>
            <w:tcBorders>
              <w:top w:val="nil"/>
              <w:left w:val="nil"/>
              <w:bottom w:val="nil"/>
              <w:right w:val="single" w:sz="4" w:space="0" w:color="auto"/>
            </w:tcBorders>
            <w:shd w:val="clear" w:color="auto" w:fill="auto"/>
            <w:noWrap/>
            <w:vAlign w:val="bottom"/>
            <w:hideMark/>
          </w:tcPr>
          <w:p w14:paraId="07B4D575" w14:textId="1E4AA17A" w:rsidR="00D9624F" w:rsidRPr="00D933CF" w:rsidRDefault="00601F34" w:rsidP="00AF4AD6">
            <w:pPr>
              <w:spacing w:before="120" w:after="0"/>
              <w:rPr>
                <w:rFonts w:eastAsia="Times New Roman" w:cs="Tahoma"/>
                <w:sz w:val="14"/>
                <w:szCs w:val="14"/>
                <w:lang w:eastAsia="en-GB"/>
              </w:rPr>
            </w:pPr>
            <w:r w:rsidRPr="009846E5">
              <w:rPr>
                <w:rFonts w:eastAsia="Times New Roman" w:cs="Tahoma"/>
                <w:sz w:val="14"/>
                <w:szCs w:val="14"/>
                <w:lang w:eastAsia="en-GB"/>
              </w:rPr>
              <w:t>EL-NOTIFIABLE_DISEASES</w:t>
            </w:r>
          </w:p>
        </w:tc>
        <w:tc>
          <w:tcPr>
            <w:tcW w:w="534" w:type="dxa"/>
            <w:tcBorders>
              <w:top w:val="nil"/>
              <w:left w:val="nil"/>
              <w:bottom w:val="nil"/>
              <w:right w:val="single" w:sz="4" w:space="0" w:color="auto"/>
            </w:tcBorders>
            <w:shd w:val="clear" w:color="auto" w:fill="auto"/>
            <w:noWrap/>
            <w:vAlign w:val="bottom"/>
            <w:hideMark/>
          </w:tcPr>
          <w:p w14:paraId="3F6DA320" w14:textId="0A3EA8A8" w:rsidR="00D9624F" w:rsidRPr="00D933CF" w:rsidRDefault="00994AA8"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6C17D040" w14:textId="20D8F878" w:rsidR="00D9624F" w:rsidRPr="00D933CF" w:rsidRDefault="00994AA8"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689D07FB" w14:textId="3EC0D95A" w:rsidR="00D9624F" w:rsidRPr="00D933CF" w:rsidRDefault="00994AA8"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6B481534" w14:textId="075F2FA9" w:rsidR="00D9624F" w:rsidRPr="00D933CF" w:rsidRDefault="00994AA8"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476250B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21C075BF" w14:textId="69B41154" w:rsidR="00D9624F" w:rsidRPr="00D933CF" w:rsidRDefault="00F216AE"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6F71E95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001291D8" w14:textId="3C09A06D" w:rsidR="00D9624F" w:rsidRPr="00D933CF" w:rsidRDefault="00F216AE" w:rsidP="00AF4AD6">
            <w:pPr>
              <w:spacing w:before="120" w:after="0"/>
              <w:rPr>
                <w:rFonts w:eastAsia="Times New Roman" w:cs="Tahoma"/>
                <w:sz w:val="14"/>
                <w:szCs w:val="14"/>
                <w:lang w:eastAsia="en-GB"/>
              </w:rPr>
            </w:pPr>
            <w:r w:rsidRPr="00D933CF">
              <w:rPr>
                <w:rFonts w:eastAsia="Times New Roman" w:cs="Tahoma"/>
                <w:sz w:val="14"/>
                <w:szCs w:val="14"/>
                <w:lang w:eastAsia="en-GB"/>
              </w:rPr>
              <w:t>.</w:t>
            </w:r>
          </w:p>
        </w:tc>
        <w:tc>
          <w:tcPr>
            <w:tcW w:w="1645" w:type="dxa"/>
            <w:tcBorders>
              <w:top w:val="nil"/>
              <w:left w:val="nil"/>
              <w:bottom w:val="nil"/>
              <w:right w:val="single" w:sz="4" w:space="0" w:color="auto"/>
            </w:tcBorders>
            <w:shd w:val="clear" w:color="auto" w:fill="auto"/>
            <w:noWrap/>
            <w:vAlign w:val="bottom"/>
            <w:hideMark/>
          </w:tcPr>
          <w:p w14:paraId="6371C516" w14:textId="585C586D" w:rsidR="00D9624F" w:rsidRPr="00D933CF" w:rsidRDefault="005223A1"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70C92" w:rsidRPr="00D933CF" w14:paraId="0D0404BF"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67381B8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Hungary</w:t>
            </w:r>
          </w:p>
        </w:tc>
        <w:tc>
          <w:tcPr>
            <w:tcW w:w="2606" w:type="dxa"/>
            <w:tcBorders>
              <w:top w:val="nil"/>
              <w:left w:val="single" w:sz="4" w:space="0" w:color="auto"/>
              <w:bottom w:val="nil"/>
              <w:right w:val="single" w:sz="4" w:space="0" w:color="auto"/>
            </w:tcBorders>
            <w:shd w:val="clear" w:color="000000" w:fill="D9D9D9"/>
            <w:noWrap/>
            <w:vAlign w:val="bottom"/>
            <w:hideMark/>
          </w:tcPr>
          <w:p w14:paraId="6E85DF6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HU-Zoonoses</w:t>
            </w:r>
          </w:p>
        </w:tc>
        <w:tc>
          <w:tcPr>
            <w:tcW w:w="534" w:type="dxa"/>
            <w:tcBorders>
              <w:top w:val="nil"/>
              <w:left w:val="single" w:sz="4" w:space="0" w:color="auto"/>
              <w:bottom w:val="nil"/>
              <w:right w:val="single" w:sz="4" w:space="0" w:color="auto"/>
            </w:tcBorders>
            <w:shd w:val="clear" w:color="000000" w:fill="D9D9D9"/>
            <w:noWrap/>
            <w:vAlign w:val="bottom"/>
            <w:hideMark/>
          </w:tcPr>
          <w:p w14:paraId="20D8D4A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3961E65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7BCED79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4930E3D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73A0926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721E671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1364E09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20093D4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1D81862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EU-2012</w:t>
            </w:r>
          </w:p>
        </w:tc>
      </w:tr>
      <w:tr w:rsidR="00D9624F" w:rsidRPr="00D933CF" w14:paraId="7F0D1752"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6E36DBE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Iceland</w:t>
            </w:r>
          </w:p>
        </w:tc>
        <w:tc>
          <w:tcPr>
            <w:tcW w:w="2606" w:type="dxa"/>
            <w:tcBorders>
              <w:top w:val="nil"/>
              <w:left w:val="nil"/>
              <w:bottom w:val="nil"/>
              <w:right w:val="single" w:sz="4" w:space="0" w:color="auto"/>
            </w:tcBorders>
            <w:shd w:val="clear" w:color="auto" w:fill="auto"/>
            <w:noWrap/>
            <w:vAlign w:val="bottom"/>
            <w:hideMark/>
          </w:tcPr>
          <w:p w14:paraId="499F999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IS-SUBJECT_TO_REGISTRATION</w:t>
            </w:r>
          </w:p>
        </w:tc>
        <w:tc>
          <w:tcPr>
            <w:tcW w:w="534" w:type="dxa"/>
            <w:tcBorders>
              <w:top w:val="nil"/>
              <w:left w:val="nil"/>
              <w:bottom w:val="nil"/>
              <w:right w:val="single" w:sz="4" w:space="0" w:color="auto"/>
            </w:tcBorders>
            <w:shd w:val="clear" w:color="auto" w:fill="auto"/>
            <w:noWrap/>
            <w:vAlign w:val="bottom"/>
            <w:hideMark/>
          </w:tcPr>
          <w:p w14:paraId="0AD514C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2B89AEC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5C0264B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62DE1C8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7DF8C69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4BE7C2D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152A4AE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w:t>
            </w:r>
          </w:p>
        </w:tc>
        <w:tc>
          <w:tcPr>
            <w:tcW w:w="534" w:type="dxa"/>
            <w:tcBorders>
              <w:top w:val="nil"/>
              <w:left w:val="nil"/>
              <w:bottom w:val="nil"/>
              <w:right w:val="single" w:sz="4" w:space="0" w:color="auto"/>
            </w:tcBorders>
            <w:shd w:val="clear" w:color="auto" w:fill="auto"/>
            <w:noWrap/>
            <w:vAlign w:val="bottom"/>
            <w:hideMark/>
          </w:tcPr>
          <w:p w14:paraId="128884D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w:t>
            </w:r>
          </w:p>
        </w:tc>
        <w:tc>
          <w:tcPr>
            <w:tcW w:w="1645" w:type="dxa"/>
            <w:tcBorders>
              <w:top w:val="nil"/>
              <w:left w:val="nil"/>
              <w:bottom w:val="nil"/>
              <w:right w:val="single" w:sz="4" w:space="0" w:color="auto"/>
            </w:tcBorders>
            <w:shd w:val="clear" w:color="auto" w:fill="auto"/>
            <w:noWrap/>
            <w:vAlign w:val="bottom"/>
            <w:hideMark/>
          </w:tcPr>
          <w:p w14:paraId="1A5D0ECA" w14:textId="128F80C4"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w:t>
            </w:r>
            <w:r w:rsidR="003A12EB" w:rsidRPr="00D933CF">
              <w:rPr>
                <w:rFonts w:eastAsia="Times New Roman" w:cs="Tahoma"/>
                <w:sz w:val="14"/>
                <w:szCs w:val="14"/>
                <w:lang w:eastAsia="en-GB"/>
              </w:rPr>
              <w:t>8</w:t>
            </w:r>
          </w:p>
        </w:tc>
      </w:tr>
      <w:tr w:rsidR="00D70C92" w:rsidRPr="00D933CF" w14:paraId="34B71D39"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3444B0F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Ireland</w:t>
            </w:r>
          </w:p>
        </w:tc>
        <w:tc>
          <w:tcPr>
            <w:tcW w:w="2606" w:type="dxa"/>
            <w:tcBorders>
              <w:top w:val="nil"/>
              <w:left w:val="single" w:sz="4" w:space="0" w:color="auto"/>
              <w:bottom w:val="nil"/>
              <w:right w:val="single" w:sz="4" w:space="0" w:color="auto"/>
            </w:tcBorders>
            <w:shd w:val="clear" w:color="000000" w:fill="D9D9D9"/>
            <w:noWrap/>
            <w:vAlign w:val="bottom"/>
            <w:hideMark/>
          </w:tcPr>
          <w:p w14:paraId="4A46615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IE-CIDR</w:t>
            </w:r>
          </w:p>
        </w:tc>
        <w:tc>
          <w:tcPr>
            <w:tcW w:w="534" w:type="dxa"/>
            <w:tcBorders>
              <w:top w:val="nil"/>
              <w:left w:val="single" w:sz="4" w:space="0" w:color="auto"/>
              <w:bottom w:val="nil"/>
              <w:right w:val="single" w:sz="4" w:space="0" w:color="auto"/>
            </w:tcBorders>
            <w:shd w:val="clear" w:color="000000" w:fill="D9D9D9"/>
            <w:noWrap/>
            <w:vAlign w:val="bottom"/>
            <w:hideMark/>
          </w:tcPr>
          <w:p w14:paraId="0910ACA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5FBD6EE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01541F5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1341E48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61E9E0A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645CF79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5D9360E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79FA54B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1390CA8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EU-2008</w:t>
            </w:r>
          </w:p>
        </w:tc>
      </w:tr>
      <w:tr w:rsidR="00D9624F" w:rsidRPr="00D933CF" w14:paraId="6F1D1CD1"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6FE8EEA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Italy</w:t>
            </w:r>
          </w:p>
        </w:tc>
        <w:tc>
          <w:tcPr>
            <w:tcW w:w="2606" w:type="dxa"/>
            <w:tcBorders>
              <w:top w:val="nil"/>
              <w:left w:val="nil"/>
              <w:bottom w:val="nil"/>
              <w:right w:val="single" w:sz="4" w:space="0" w:color="auto"/>
            </w:tcBorders>
            <w:shd w:val="clear" w:color="auto" w:fill="auto"/>
            <w:noWrap/>
            <w:vAlign w:val="bottom"/>
            <w:hideMark/>
          </w:tcPr>
          <w:p w14:paraId="5619039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IT-ENTERNET</w:t>
            </w:r>
          </w:p>
        </w:tc>
        <w:tc>
          <w:tcPr>
            <w:tcW w:w="534" w:type="dxa"/>
            <w:tcBorders>
              <w:top w:val="nil"/>
              <w:left w:val="nil"/>
              <w:bottom w:val="nil"/>
              <w:right w:val="single" w:sz="4" w:space="0" w:color="auto"/>
            </w:tcBorders>
            <w:shd w:val="clear" w:color="auto" w:fill="auto"/>
            <w:noWrap/>
            <w:vAlign w:val="bottom"/>
            <w:hideMark/>
          </w:tcPr>
          <w:p w14:paraId="18ABA03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V</w:t>
            </w:r>
          </w:p>
        </w:tc>
        <w:tc>
          <w:tcPr>
            <w:tcW w:w="534" w:type="dxa"/>
            <w:tcBorders>
              <w:top w:val="nil"/>
              <w:left w:val="nil"/>
              <w:bottom w:val="nil"/>
              <w:right w:val="single" w:sz="4" w:space="0" w:color="auto"/>
            </w:tcBorders>
            <w:shd w:val="clear" w:color="auto" w:fill="auto"/>
            <w:noWrap/>
            <w:vAlign w:val="bottom"/>
            <w:hideMark/>
          </w:tcPr>
          <w:p w14:paraId="0B2ED24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Se</w:t>
            </w:r>
          </w:p>
        </w:tc>
        <w:tc>
          <w:tcPr>
            <w:tcW w:w="534" w:type="dxa"/>
            <w:tcBorders>
              <w:top w:val="nil"/>
              <w:left w:val="nil"/>
              <w:bottom w:val="nil"/>
              <w:right w:val="single" w:sz="4" w:space="0" w:color="auto"/>
            </w:tcBorders>
            <w:shd w:val="clear" w:color="auto" w:fill="auto"/>
            <w:noWrap/>
            <w:vAlign w:val="bottom"/>
            <w:hideMark/>
          </w:tcPr>
          <w:p w14:paraId="1E449A6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48E4EB6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1128149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49AB42A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4A28809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0EDA1A1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auto" w:fill="auto"/>
            <w:noWrap/>
            <w:vAlign w:val="bottom"/>
            <w:hideMark/>
          </w:tcPr>
          <w:p w14:paraId="6027BA2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Other</w:t>
            </w:r>
          </w:p>
        </w:tc>
      </w:tr>
      <w:tr w:rsidR="00D70C92" w:rsidRPr="00D933CF" w14:paraId="5C167BDC"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4AE7760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Latvia</w:t>
            </w:r>
          </w:p>
        </w:tc>
        <w:tc>
          <w:tcPr>
            <w:tcW w:w="2606" w:type="dxa"/>
            <w:tcBorders>
              <w:top w:val="nil"/>
              <w:left w:val="single" w:sz="4" w:space="0" w:color="auto"/>
              <w:bottom w:val="nil"/>
              <w:right w:val="single" w:sz="4" w:space="0" w:color="auto"/>
            </w:tcBorders>
            <w:shd w:val="clear" w:color="000000" w:fill="D9D9D9"/>
            <w:noWrap/>
            <w:vAlign w:val="bottom"/>
            <w:hideMark/>
          </w:tcPr>
          <w:p w14:paraId="2CA817B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LV-BSN</w:t>
            </w:r>
          </w:p>
        </w:tc>
        <w:tc>
          <w:tcPr>
            <w:tcW w:w="534" w:type="dxa"/>
            <w:tcBorders>
              <w:top w:val="nil"/>
              <w:left w:val="single" w:sz="4" w:space="0" w:color="auto"/>
              <w:bottom w:val="nil"/>
              <w:right w:val="single" w:sz="4" w:space="0" w:color="auto"/>
            </w:tcBorders>
            <w:shd w:val="clear" w:color="000000" w:fill="D9D9D9"/>
            <w:noWrap/>
            <w:vAlign w:val="bottom"/>
            <w:hideMark/>
          </w:tcPr>
          <w:p w14:paraId="47A2257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32840E3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0F2302F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4D36930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41B35BB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18D1819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3864A9F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08D8253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6719992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EU-2012</w:t>
            </w:r>
          </w:p>
        </w:tc>
      </w:tr>
      <w:tr w:rsidR="00D9624F" w:rsidRPr="00D933CF" w14:paraId="619C189A"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659A945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Liechtenstein</w:t>
            </w:r>
          </w:p>
        </w:tc>
        <w:tc>
          <w:tcPr>
            <w:tcW w:w="2606" w:type="dxa"/>
            <w:tcBorders>
              <w:top w:val="nil"/>
              <w:left w:val="nil"/>
              <w:bottom w:val="nil"/>
              <w:right w:val="single" w:sz="4" w:space="0" w:color="auto"/>
            </w:tcBorders>
            <w:shd w:val="clear" w:color="auto" w:fill="auto"/>
            <w:noWrap/>
            <w:vAlign w:val="bottom"/>
            <w:hideMark/>
          </w:tcPr>
          <w:p w14:paraId="7638C8C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LI-SEPI</w:t>
            </w:r>
          </w:p>
        </w:tc>
        <w:tc>
          <w:tcPr>
            <w:tcW w:w="534" w:type="dxa"/>
            <w:tcBorders>
              <w:top w:val="nil"/>
              <w:left w:val="nil"/>
              <w:bottom w:val="nil"/>
              <w:right w:val="single" w:sz="4" w:space="0" w:color="auto"/>
            </w:tcBorders>
            <w:shd w:val="clear" w:color="auto" w:fill="auto"/>
            <w:noWrap/>
            <w:vAlign w:val="bottom"/>
            <w:hideMark/>
          </w:tcPr>
          <w:p w14:paraId="7B7A927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2850DC7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4127360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185047C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5ADDFDE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1162364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7FC8ED7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5A4B373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w:t>
            </w:r>
          </w:p>
        </w:tc>
        <w:tc>
          <w:tcPr>
            <w:tcW w:w="1645" w:type="dxa"/>
            <w:tcBorders>
              <w:top w:val="nil"/>
              <w:left w:val="nil"/>
              <w:bottom w:val="nil"/>
              <w:right w:val="single" w:sz="4" w:space="0" w:color="auto"/>
            </w:tcBorders>
            <w:shd w:val="clear" w:color="auto" w:fill="auto"/>
            <w:noWrap/>
            <w:vAlign w:val="bottom"/>
            <w:hideMark/>
          </w:tcPr>
          <w:p w14:paraId="12910C93" w14:textId="2D63097F" w:rsidR="00D9624F" w:rsidRPr="00D933CF" w:rsidRDefault="00FD6D78"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70C92" w:rsidRPr="00D933CF" w14:paraId="48B9ECB1"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3C68A47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Lithuania</w:t>
            </w:r>
          </w:p>
        </w:tc>
        <w:tc>
          <w:tcPr>
            <w:tcW w:w="2606" w:type="dxa"/>
            <w:tcBorders>
              <w:top w:val="nil"/>
              <w:left w:val="single" w:sz="4" w:space="0" w:color="auto"/>
              <w:bottom w:val="nil"/>
              <w:right w:val="single" w:sz="4" w:space="0" w:color="auto"/>
            </w:tcBorders>
            <w:shd w:val="clear" w:color="000000" w:fill="D9D9D9"/>
            <w:noWrap/>
            <w:vAlign w:val="bottom"/>
            <w:hideMark/>
          </w:tcPr>
          <w:p w14:paraId="1579240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LT-COMMUNICABLE_DISEASES</w:t>
            </w:r>
          </w:p>
        </w:tc>
        <w:tc>
          <w:tcPr>
            <w:tcW w:w="534" w:type="dxa"/>
            <w:tcBorders>
              <w:top w:val="nil"/>
              <w:left w:val="single" w:sz="4" w:space="0" w:color="auto"/>
              <w:bottom w:val="nil"/>
              <w:right w:val="single" w:sz="4" w:space="0" w:color="auto"/>
            </w:tcBorders>
            <w:shd w:val="clear" w:color="000000" w:fill="D9D9D9"/>
            <w:noWrap/>
            <w:vAlign w:val="bottom"/>
            <w:hideMark/>
          </w:tcPr>
          <w:p w14:paraId="6367AAA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1B0ADCE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0AC8622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446A57C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3EB6061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6814A54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7B15777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01953F4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55A8D32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9624F" w:rsidRPr="00D933CF" w14:paraId="2CE143BC"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1FBA1FF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Luxembourg</w:t>
            </w:r>
          </w:p>
        </w:tc>
        <w:tc>
          <w:tcPr>
            <w:tcW w:w="2606" w:type="dxa"/>
            <w:tcBorders>
              <w:top w:val="nil"/>
              <w:left w:val="nil"/>
              <w:bottom w:val="nil"/>
              <w:right w:val="single" w:sz="4" w:space="0" w:color="auto"/>
            </w:tcBorders>
            <w:shd w:val="clear" w:color="auto" w:fill="auto"/>
            <w:noWrap/>
            <w:vAlign w:val="bottom"/>
            <w:hideMark/>
          </w:tcPr>
          <w:p w14:paraId="4268FC2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LU-SYSTEM1</w:t>
            </w:r>
          </w:p>
        </w:tc>
        <w:tc>
          <w:tcPr>
            <w:tcW w:w="534" w:type="dxa"/>
            <w:tcBorders>
              <w:top w:val="nil"/>
              <w:left w:val="nil"/>
              <w:bottom w:val="nil"/>
              <w:right w:val="single" w:sz="4" w:space="0" w:color="auto"/>
            </w:tcBorders>
            <w:shd w:val="clear" w:color="auto" w:fill="auto"/>
            <w:noWrap/>
            <w:vAlign w:val="bottom"/>
            <w:hideMark/>
          </w:tcPr>
          <w:p w14:paraId="509E519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64ABE2A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3122ABE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1A29C69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4FB34FA3" w14:textId="4A574A0A" w:rsidR="00D9624F" w:rsidRPr="00D933CF" w:rsidRDefault="00B1708B"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2D030B70" w14:textId="195CC41C" w:rsidR="00D9624F" w:rsidRPr="00D933CF" w:rsidRDefault="00B1708B"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68DA9EC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26092E8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auto" w:fill="auto"/>
            <w:noWrap/>
            <w:vAlign w:val="bottom"/>
            <w:hideMark/>
          </w:tcPr>
          <w:p w14:paraId="4949BCEA" w14:textId="78F1B20A"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w:t>
            </w:r>
            <w:r w:rsidR="00B1708B" w:rsidRPr="00D933CF">
              <w:rPr>
                <w:rFonts w:eastAsia="Times New Roman" w:cs="Tahoma"/>
                <w:sz w:val="14"/>
                <w:szCs w:val="14"/>
                <w:lang w:eastAsia="en-GB"/>
              </w:rPr>
              <w:t>18</w:t>
            </w:r>
          </w:p>
        </w:tc>
      </w:tr>
      <w:tr w:rsidR="00D70C92" w:rsidRPr="00D933CF" w14:paraId="46CAB67A"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58F05E4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Malta</w:t>
            </w:r>
          </w:p>
        </w:tc>
        <w:tc>
          <w:tcPr>
            <w:tcW w:w="2606" w:type="dxa"/>
            <w:tcBorders>
              <w:top w:val="nil"/>
              <w:left w:val="single" w:sz="4" w:space="0" w:color="auto"/>
              <w:bottom w:val="nil"/>
              <w:right w:val="single" w:sz="4" w:space="0" w:color="auto"/>
            </w:tcBorders>
            <w:shd w:val="clear" w:color="000000" w:fill="D9D9D9"/>
            <w:noWrap/>
            <w:vAlign w:val="bottom"/>
            <w:hideMark/>
          </w:tcPr>
          <w:p w14:paraId="185CF77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MT-DISEASE_SURVEILLANCE</w:t>
            </w:r>
          </w:p>
        </w:tc>
        <w:tc>
          <w:tcPr>
            <w:tcW w:w="534" w:type="dxa"/>
            <w:tcBorders>
              <w:top w:val="nil"/>
              <w:left w:val="single" w:sz="4" w:space="0" w:color="auto"/>
              <w:bottom w:val="nil"/>
              <w:right w:val="single" w:sz="4" w:space="0" w:color="auto"/>
            </w:tcBorders>
            <w:shd w:val="clear" w:color="000000" w:fill="D9D9D9"/>
            <w:noWrap/>
            <w:vAlign w:val="bottom"/>
            <w:hideMark/>
          </w:tcPr>
          <w:p w14:paraId="418DB8B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74F4185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53560BC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270FCE2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246492B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415D93E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3DFFF6C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1FAC40A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1645" w:type="dxa"/>
            <w:tcBorders>
              <w:top w:val="nil"/>
              <w:left w:val="nil"/>
              <w:bottom w:val="nil"/>
              <w:right w:val="single" w:sz="4" w:space="0" w:color="auto"/>
            </w:tcBorders>
            <w:shd w:val="clear" w:color="000000" w:fill="D9D9D9"/>
            <w:noWrap/>
            <w:vAlign w:val="bottom"/>
            <w:hideMark/>
          </w:tcPr>
          <w:p w14:paraId="2E38741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9624F" w:rsidRPr="00D933CF" w14:paraId="671DB41D"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69C7468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Netherlands</w:t>
            </w:r>
          </w:p>
        </w:tc>
        <w:tc>
          <w:tcPr>
            <w:tcW w:w="2606" w:type="dxa"/>
            <w:tcBorders>
              <w:top w:val="nil"/>
              <w:left w:val="nil"/>
              <w:bottom w:val="nil"/>
              <w:right w:val="single" w:sz="4" w:space="0" w:color="auto"/>
            </w:tcBorders>
            <w:shd w:val="clear" w:color="auto" w:fill="auto"/>
            <w:noWrap/>
            <w:vAlign w:val="bottom"/>
            <w:hideMark/>
          </w:tcPr>
          <w:p w14:paraId="1CE98B9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NL-AMR</w:t>
            </w:r>
          </w:p>
        </w:tc>
        <w:tc>
          <w:tcPr>
            <w:tcW w:w="534" w:type="dxa"/>
            <w:tcBorders>
              <w:top w:val="nil"/>
              <w:left w:val="nil"/>
              <w:bottom w:val="nil"/>
              <w:right w:val="single" w:sz="4" w:space="0" w:color="auto"/>
            </w:tcBorders>
            <w:shd w:val="clear" w:color="auto" w:fill="auto"/>
            <w:noWrap/>
            <w:vAlign w:val="bottom"/>
            <w:hideMark/>
          </w:tcPr>
          <w:p w14:paraId="469C5AC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V</w:t>
            </w:r>
          </w:p>
        </w:tc>
        <w:tc>
          <w:tcPr>
            <w:tcW w:w="534" w:type="dxa"/>
            <w:tcBorders>
              <w:top w:val="nil"/>
              <w:left w:val="nil"/>
              <w:bottom w:val="nil"/>
              <w:right w:val="single" w:sz="4" w:space="0" w:color="auto"/>
            </w:tcBorders>
            <w:shd w:val="clear" w:color="auto" w:fill="auto"/>
            <w:noWrap/>
            <w:vAlign w:val="bottom"/>
            <w:hideMark/>
          </w:tcPr>
          <w:p w14:paraId="775325A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Se</w:t>
            </w:r>
          </w:p>
        </w:tc>
        <w:tc>
          <w:tcPr>
            <w:tcW w:w="534" w:type="dxa"/>
            <w:tcBorders>
              <w:top w:val="nil"/>
              <w:left w:val="nil"/>
              <w:bottom w:val="nil"/>
              <w:right w:val="single" w:sz="4" w:space="0" w:color="auto"/>
            </w:tcBorders>
            <w:shd w:val="clear" w:color="auto" w:fill="auto"/>
            <w:noWrap/>
            <w:vAlign w:val="bottom"/>
            <w:hideMark/>
          </w:tcPr>
          <w:p w14:paraId="4BD7B18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2CC2AE0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439A696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15C9823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6E96030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0BFEE51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auto" w:fill="auto"/>
            <w:noWrap/>
            <w:vAlign w:val="bottom"/>
            <w:hideMark/>
          </w:tcPr>
          <w:p w14:paraId="4CA8144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Not specified/unknown</w:t>
            </w:r>
          </w:p>
        </w:tc>
      </w:tr>
      <w:tr w:rsidR="00D70C92" w:rsidRPr="00D933CF" w14:paraId="30006E64"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7993A6B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Norway</w:t>
            </w:r>
          </w:p>
        </w:tc>
        <w:tc>
          <w:tcPr>
            <w:tcW w:w="2606" w:type="dxa"/>
            <w:tcBorders>
              <w:top w:val="nil"/>
              <w:left w:val="single" w:sz="4" w:space="0" w:color="auto"/>
              <w:bottom w:val="nil"/>
              <w:right w:val="single" w:sz="4" w:space="0" w:color="auto"/>
            </w:tcBorders>
            <w:shd w:val="clear" w:color="000000" w:fill="D9D9D9"/>
            <w:noWrap/>
            <w:vAlign w:val="bottom"/>
            <w:hideMark/>
          </w:tcPr>
          <w:p w14:paraId="306F565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NO-MSIS_A</w:t>
            </w:r>
          </w:p>
        </w:tc>
        <w:tc>
          <w:tcPr>
            <w:tcW w:w="534" w:type="dxa"/>
            <w:tcBorders>
              <w:top w:val="nil"/>
              <w:left w:val="single" w:sz="4" w:space="0" w:color="auto"/>
              <w:bottom w:val="nil"/>
              <w:right w:val="single" w:sz="4" w:space="0" w:color="auto"/>
            </w:tcBorders>
            <w:shd w:val="clear" w:color="000000" w:fill="D9D9D9"/>
            <w:noWrap/>
            <w:vAlign w:val="bottom"/>
            <w:hideMark/>
          </w:tcPr>
          <w:p w14:paraId="3A50AA6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43A677A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644A198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09C1A57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64F6594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59CC648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113906B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53C3E13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1CA2E38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9624F" w:rsidRPr="00D933CF" w14:paraId="3FC9540E"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1B97C7D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Poland</w:t>
            </w:r>
          </w:p>
        </w:tc>
        <w:tc>
          <w:tcPr>
            <w:tcW w:w="2606" w:type="dxa"/>
            <w:tcBorders>
              <w:top w:val="nil"/>
              <w:left w:val="nil"/>
              <w:bottom w:val="nil"/>
              <w:right w:val="single" w:sz="4" w:space="0" w:color="auto"/>
            </w:tcBorders>
            <w:shd w:val="clear" w:color="auto" w:fill="auto"/>
            <w:noWrap/>
            <w:vAlign w:val="bottom"/>
            <w:hideMark/>
          </w:tcPr>
          <w:p w14:paraId="28D9A6C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PL-NATIONAL_SURVEILLANCE</w:t>
            </w:r>
          </w:p>
        </w:tc>
        <w:tc>
          <w:tcPr>
            <w:tcW w:w="534" w:type="dxa"/>
            <w:tcBorders>
              <w:top w:val="nil"/>
              <w:left w:val="nil"/>
              <w:bottom w:val="nil"/>
              <w:right w:val="single" w:sz="4" w:space="0" w:color="auto"/>
            </w:tcBorders>
            <w:shd w:val="clear" w:color="auto" w:fill="auto"/>
            <w:noWrap/>
            <w:vAlign w:val="bottom"/>
            <w:hideMark/>
          </w:tcPr>
          <w:p w14:paraId="40E09BF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03CCA4A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5CD67F6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2BE2643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272C5F7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6C58046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07AD633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21C33A2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auto" w:fill="auto"/>
            <w:noWrap/>
            <w:vAlign w:val="bottom"/>
            <w:hideMark/>
          </w:tcPr>
          <w:p w14:paraId="599B8EF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70C92" w:rsidRPr="00D933CF" w14:paraId="5F82AEBF"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29AA764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Portugal</w:t>
            </w:r>
          </w:p>
        </w:tc>
        <w:tc>
          <w:tcPr>
            <w:tcW w:w="2606" w:type="dxa"/>
            <w:tcBorders>
              <w:top w:val="nil"/>
              <w:left w:val="single" w:sz="4" w:space="0" w:color="auto"/>
              <w:bottom w:val="nil"/>
              <w:right w:val="single" w:sz="4" w:space="0" w:color="auto"/>
            </w:tcBorders>
            <w:shd w:val="clear" w:color="000000" w:fill="D9D9D9"/>
            <w:noWrap/>
            <w:vAlign w:val="bottom"/>
            <w:hideMark/>
          </w:tcPr>
          <w:p w14:paraId="0B8754F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PT-CAMP</w:t>
            </w:r>
          </w:p>
        </w:tc>
        <w:tc>
          <w:tcPr>
            <w:tcW w:w="534" w:type="dxa"/>
            <w:tcBorders>
              <w:top w:val="nil"/>
              <w:left w:val="single" w:sz="4" w:space="0" w:color="auto"/>
              <w:bottom w:val="nil"/>
              <w:right w:val="single" w:sz="4" w:space="0" w:color="auto"/>
            </w:tcBorders>
            <w:shd w:val="clear" w:color="000000" w:fill="D9D9D9"/>
            <w:noWrap/>
            <w:vAlign w:val="bottom"/>
            <w:hideMark/>
          </w:tcPr>
          <w:p w14:paraId="61D22CF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5712E46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0AD12EDE" w14:textId="245B8C7C" w:rsidR="00D9624F" w:rsidRPr="00D933CF" w:rsidRDefault="004749DC" w:rsidP="00AF4AD6">
            <w:pPr>
              <w:spacing w:before="120" w:after="0"/>
              <w:rPr>
                <w:rFonts w:eastAsia="Times New Roman" w:cs="Tahoma"/>
                <w:sz w:val="14"/>
                <w:szCs w:val="14"/>
                <w:lang w:eastAsia="en-GB"/>
              </w:rPr>
            </w:pPr>
            <w:r>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15FFC04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0F7F740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2791FD8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26B8734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nil"/>
              <w:right w:val="single" w:sz="4" w:space="0" w:color="auto"/>
            </w:tcBorders>
            <w:shd w:val="clear" w:color="000000" w:fill="D9D9D9"/>
            <w:noWrap/>
            <w:vAlign w:val="bottom"/>
            <w:hideMark/>
          </w:tcPr>
          <w:p w14:paraId="0D2BEE2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695AE7FC" w14:textId="75995069"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w:t>
            </w:r>
            <w:r w:rsidR="00E02C3B" w:rsidRPr="00D933CF">
              <w:rPr>
                <w:rFonts w:eastAsia="Times New Roman" w:cs="Tahoma"/>
                <w:sz w:val="14"/>
                <w:szCs w:val="14"/>
                <w:lang w:eastAsia="en-GB"/>
              </w:rPr>
              <w:t>8</w:t>
            </w:r>
          </w:p>
        </w:tc>
      </w:tr>
      <w:tr w:rsidR="00D9624F" w:rsidRPr="00D933CF" w14:paraId="76CF9797"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3376CD6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Romania</w:t>
            </w:r>
          </w:p>
        </w:tc>
        <w:tc>
          <w:tcPr>
            <w:tcW w:w="2606" w:type="dxa"/>
            <w:tcBorders>
              <w:top w:val="nil"/>
              <w:left w:val="nil"/>
              <w:bottom w:val="nil"/>
              <w:right w:val="single" w:sz="4" w:space="0" w:color="auto"/>
            </w:tcBorders>
            <w:shd w:val="clear" w:color="auto" w:fill="auto"/>
            <w:noWrap/>
            <w:vAlign w:val="bottom"/>
            <w:hideMark/>
          </w:tcPr>
          <w:p w14:paraId="6FB3819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RO-</w:t>
            </w:r>
            <w:proofErr w:type="spellStart"/>
            <w:r w:rsidRPr="00D933CF">
              <w:rPr>
                <w:rFonts w:eastAsia="Times New Roman" w:cs="Tahoma"/>
                <w:sz w:val="14"/>
                <w:szCs w:val="14"/>
                <w:lang w:eastAsia="en-GB"/>
              </w:rPr>
              <w:t>RNSSy</w:t>
            </w:r>
            <w:proofErr w:type="spellEnd"/>
          </w:p>
        </w:tc>
        <w:tc>
          <w:tcPr>
            <w:tcW w:w="534" w:type="dxa"/>
            <w:tcBorders>
              <w:top w:val="nil"/>
              <w:left w:val="nil"/>
              <w:bottom w:val="nil"/>
              <w:right w:val="single" w:sz="4" w:space="0" w:color="auto"/>
            </w:tcBorders>
            <w:shd w:val="clear" w:color="auto" w:fill="auto"/>
            <w:noWrap/>
            <w:vAlign w:val="bottom"/>
            <w:hideMark/>
          </w:tcPr>
          <w:p w14:paraId="5480A55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6654397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482CBCC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775218F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2395C32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436CAB2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nil"/>
              <w:bottom w:val="nil"/>
              <w:right w:val="single" w:sz="4" w:space="0" w:color="auto"/>
            </w:tcBorders>
            <w:shd w:val="clear" w:color="auto" w:fill="auto"/>
            <w:noWrap/>
            <w:vAlign w:val="bottom"/>
            <w:hideMark/>
          </w:tcPr>
          <w:p w14:paraId="3AEFA86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171D379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auto" w:fill="auto"/>
            <w:noWrap/>
            <w:vAlign w:val="bottom"/>
            <w:hideMark/>
          </w:tcPr>
          <w:p w14:paraId="56EA551A"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70C92" w:rsidRPr="00D933CF" w14:paraId="0FC31D20"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14F7713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Slovakia</w:t>
            </w:r>
          </w:p>
        </w:tc>
        <w:tc>
          <w:tcPr>
            <w:tcW w:w="2606" w:type="dxa"/>
            <w:tcBorders>
              <w:top w:val="nil"/>
              <w:left w:val="single" w:sz="4" w:space="0" w:color="auto"/>
              <w:bottom w:val="nil"/>
              <w:right w:val="single" w:sz="4" w:space="0" w:color="auto"/>
            </w:tcBorders>
            <w:shd w:val="clear" w:color="000000" w:fill="D9D9D9"/>
            <w:noWrap/>
            <w:vAlign w:val="bottom"/>
            <w:hideMark/>
          </w:tcPr>
          <w:p w14:paraId="73BE500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SK-EPIS</w:t>
            </w:r>
          </w:p>
        </w:tc>
        <w:tc>
          <w:tcPr>
            <w:tcW w:w="534" w:type="dxa"/>
            <w:tcBorders>
              <w:top w:val="nil"/>
              <w:left w:val="single" w:sz="4" w:space="0" w:color="auto"/>
              <w:bottom w:val="nil"/>
              <w:right w:val="single" w:sz="4" w:space="0" w:color="auto"/>
            </w:tcBorders>
            <w:shd w:val="clear" w:color="000000" w:fill="D9D9D9"/>
            <w:noWrap/>
            <w:vAlign w:val="bottom"/>
            <w:hideMark/>
          </w:tcPr>
          <w:p w14:paraId="6710CD3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0A9EC66D"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082F039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A</w:t>
            </w:r>
          </w:p>
        </w:tc>
        <w:tc>
          <w:tcPr>
            <w:tcW w:w="534" w:type="dxa"/>
            <w:tcBorders>
              <w:top w:val="nil"/>
              <w:left w:val="single" w:sz="4" w:space="0" w:color="auto"/>
              <w:bottom w:val="nil"/>
              <w:right w:val="single" w:sz="4" w:space="0" w:color="auto"/>
            </w:tcBorders>
            <w:shd w:val="clear" w:color="000000" w:fill="D9D9D9"/>
            <w:noWrap/>
            <w:vAlign w:val="bottom"/>
            <w:hideMark/>
          </w:tcPr>
          <w:p w14:paraId="0EA96FF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1539A58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5F9038D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3AE128D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6AE84AF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1645" w:type="dxa"/>
            <w:tcBorders>
              <w:top w:val="nil"/>
              <w:left w:val="nil"/>
              <w:bottom w:val="nil"/>
              <w:right w:val="single" w:sz="4" w:space="0" w:color="auto"/>
            </w:tcBorders>
            <w:shd w:val="clear" w:color="000000" w:fill="D9D9D9"/>
            <w:noWrap/>
            <w:vAlign w:val="bottom"/>
            <w:hideMark/>
          </w:tcPr>
          <w:p w14:paraId="6C90F2E5" w14:textId="69B93DD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w:t>
            </w:r>
            <w:r w:rsidR="00DB36B8" w:rsidRPr="00D933CF">
              <w:rPr>
                <w:rFonts w:eastAsia="Times New Roman" w:cs="Tahoma"/>
                <w:sz w:val="14"/>
                <w:szCs w:val="14"/>
                <w:lang w:eastAsia="en-GB"/>
              </w:rPr>
              <w:t>8</w:t>
            </w:r>
          </w:p>
        </w:tc>
      </w:tr>
      <w:tr w:rsidR="00D9624F" w:rsidRPr="00D933CF" w14:paraId="15135F1A" w14:textId="77777777" w:rsidTr="00034328">
        <w:trPr>
          <w:trHeight w:val="229"/>
        </w:trPr>
        <w:tc>
          <w:tcPr>
            <w:tcW w:w="1062" w:type="dxa"/>
            <w:tcBorders>
              <w:top w:val="nil"/>
              <w:left w:val="single" w:sz="4" w:space="0" w:color="auto"/>
              <w:bottom w:val="nil"/>
              <w:right w:val="single" w:sz="4" w:space="0" w:color="auto"/>
            </w:tcBorders>
            <w:shd w:val="clear" w:color="auto" w:fill="auto"/>
            <w:noWrap/>
            <w:vAlign w:val="bottom"/>
            <w:hideMark/>
          </w:tcPr>
          <w:p w14:paraId="4B4117A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Slovenia</w:t>
            </w:r>
          </w:p>
        </w:tc>
        <w:tc>
          <w:tcPr>
            <w:tcW w:w="2606" w:type="dxa"/>
            <w:tcBorders>
              <w:top w:val="nil"/>
              <w:left w:val="nil"/>
              <w:bottom w:val="nil"/>
              <w:right w:val="single" w:sz="4" w:space="0" w:color="auto"/>
            </w:tcBorders>
            <w:shd w:val="clear" w:color="auto" w:fill="auto"/>
            <w:noWrap/>
            <w:vAlign w:val="bottom"/>
            <w:hideMark/>
          </w:tcPr>
          <w:p w14:paraId="1B368438"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SI-SURVIVAL</w:t>
            </w:r>
          </w:p>
        </w:tc>
        <w:tc>
          <w:tcPr>
            <w:tcW w:w="534" w:type="dxa"/>
            <w:tcBorders>
              <w:top w:val="nil"/>
              <w:left w:val="nil"/>
              <w:bottom w:val="nil"/>
              <w:right w:val="single" w:sz="4" w:space="0" w:color="auto"/>
            </w:tcBorders>
            <w:shd w:val="clear" w:color="auto" w:fill="auto"/>
            <w:noWrap/>
            <w:vAlign w:val="bottom"/>
            <w:hideMark/>
          </w:tcPr>
          <w:p w14:paraId="157B248C"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nil"/>
              <w:bottom w:val="nil"/>
              <w:right w:val="single" w:sz="4" w:space="0" w:color="auto"/>
            </w:tcBorders>
            <w:shd w:val="clear" w:color="auto" w:fill="auto"/>
            <w:noWrap/>
            <w:vAlign w:val="bottom"/>
            <w:hideMark/>
          </w:tcPr>
          <w:p w14:paraId="3035DE4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nil"/>
              <w:bottom w:val="nil"/>
              <w:right w:val="single" w:sz="4" w:space="0" w:color="auto"/>
            </w:tcBorders>
            <w:shd w:val="clear" w:color="auto" w:fill="auto"/>
            <w:noWrap/>
            <w:vAlign w:val="bottom"/>
            <w:hideMark/>
          </w:tcPr>
          <w:p w14:paraId="1D9D5EA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nil"/>
              <w:bottom w:val="nil"/>
              <w:right w:val="single" w:sz="4" w:space="0" w:color="auto"/>
            </w:tcBorders>
            <w:shd w:val="clear" w:color="auto" w:fill="auto"/>
            <w:noWrap/>
            <w:vAlign w:val="bottom"/>
            <w:hideMark/>
          </w:tcPr>
          <w:p w14:paraId="3945E99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nil"/>
              <w:bottom w:val="nil"/>
              <w:right w:val="single" w:sz="4" w:space="0" w:color="auto"/>
            </w:tcBorders>
            <w:shd w:val="clear" w:color="auto" w:fill="auto"/>
            <w:noWrap/>
            <w:vAlign w:val="bottom"/>
            <w:hideMark/>
          </w:tcPr>
          <w:p w14:paraId="4A2012E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4B825D8B"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634B82B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nil"/>
              <w:bottom w:val="nil"/>
              <w:right w:val="single" w:sz="4" w:space="0" w:color="auto"/>
            </w:tcBorders>
            <w:shd w:val="clear" w:color="auto" w:fill="auto"/>
            <w:noWrap/>
            <w:vAlign w:val="bottom"/>
            <w:hideMark/>
          </w:tcPr>
          <w:p w14:paraId="62E2DC4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auto" w:fill="auto"/>
            <w:noWrap/>
            <w:vAlign w:val="bottom"/>
            <w:hideMark/>
          </w:tcPr>
          <w:p w14:paraId="34289CC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EU-2008</w:t>
            </w:r>
          </w:p>
        </w:tc>
      </w:tr>
      <w:tr w:rsidR="00D70C92" w:rsidRPr="00D933CF" w14:paraId="726CB0AE" w14:textId="77777777" w:rsidTr="00034328">
        <w:trPr>
          <w:trHeight w:val="229"/>
        </w:trPr>
        <w:tc>
          <w:tcPr>
            <w:tcW w:w="1062" w:type="dxa"/>
            <w:tcBorders>
              <w:top w:val="nil"/>
              <w:left w:val="single" w:sz="4" w:space="0" w:color="auto"/>
              <w:bottom w:val="nil"/>
              <w:right w:val="single" w:sz="4" w:space="0" w:color="auto"/>
            </w:tcBorders>
            <w:shd w:val="clear" w:color="000000" w:fill="D9D9D9"/>
            <w:noWrap/>
            <w:vAlign w:val="bottom"/>
            <w:hideMark/>
          </w:tcPr>
          <w:p w14:paraId="2334360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Spain</w:t>
            </w:r>
          </w:p>
        </w:tc>
        <w:tc>
          <w:tcPr>
            <w:tcW w:w="2606" w:type="dxa"/>
            <w:tcBorders>
              <w:top w:val="nil"/>
              <w:left w:val="single" w:sz="4" w:space="0" w:color="auto"/>
              <w:bottom w:val="nil"/>
              <w:right w:val="single" w:sz="4" w:space="0" w:color="auto"/>
            </w:tcBorders>
            <w:shd w:val="clear" w:color="000000" w:fill="D9D9D9"/>
            <w:noWrap/>
            <w:vAlign w:val="bottom"/>
            <w:hideMark/>
          </w:tcPr>
          <w:p w14:paraId="2508516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ES-STATUTORY_DISEASES</w:t>
            </w:r>
          </w:p>
        </w:tc>
        <w:tc>
          <w:tcPr>
            <w:tcW w:w="534" w:type="dxa"/>
            <w:tcBorders>
              <w:top w:val="nil"/>
              <w:left w:val="single" w:sz="4" w:space="0" w:color="auto"/>
              <w:bottom w:val="nil"/>
              <w:right w:val="single" w:sz="4" w:space="0" w:color="auto"/>
            </w:tcBorders>
            <w:shd w:val="clear" w:color="000000" w:fill="D9D9D9"/>
            <w:noWrap/>
            <w:vAlign w:val="bottom"/>
            <w:hideMark/>
          </w:tcPr>
          <w:p w14:paraId="4B27A71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nil"/>
              <w:right w:val="single" w:sz="4" w:space="0" w:color="auto"/>
            </w:tcBorders>
            <w:shd w:val="clear" w:color="000000" w:fill="D9D9D9"/>
            <w:noWrap/>
            <w:vAlign w:val="bottom"/>
            <w:hideMark/>
          </w:tcPr>
          <w:p w14:paraId="4B432DC6"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nil"/>
              <w:right w:val="single" w:sz="4" w:space="0" w:color="auto"/>
            </w:tcBorders>
            <w:shd w:val="clear" w:color="000000" w:fill="D9D9D9"/>
            <w:noWrap/>
            <w:vAlign w:val="bottom"/>
            <w:hideMark/>
          </w:tcPr>
          <w:p w14:paraId="6B3FD2C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nil"/>
              <w:right w:val="single" w:sz="4" w:space="0" w:color="auto"/>
            </w:tcBorders>
            <w:shd w:val="clear" w:color="000000" w:fill="D9D9D9"/>
            <w:noWrap/>
            <w:vAlign w:val="bottom"/>
            <w:hideMark/>
          </w:tcPr>
          <w:p w14:paraId="0A8611E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nil"/>
              <w:right w:val="single" w:sz="4" w:space="0" w:color="auto"/>
            </w:tcBorders>
            <w:shd w:val="clear" w:color="000000" w:fill="D9D9D9"/>
            <w:noWrap/>
            <w:vAlign w:val="bottom"/>
            <w:hideMark/>
          </w:tcPr>
          <w:p w14:paraId="546AB831"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1D291CC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4D40A945"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nil"/>
              <w:right w:val="single" w:sz="4" w:space="0" w:color="auto"/>
            </w:tcBorders>
            <w:shd w:val="clear" w:color="000000" w:fill="D9D9D9"/>
            <w:noWrap/>
            <w:vAlign w:val="bottom"/>
            <w:hideMark/>
          </w:tcPr>
          <w:p w14:paraId="44AAACC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nil"/>
              <w:right w:val="single" w:sz="4" w:space="0" w:color="auto"/>
            </w:tcBorders>
            <w:shd w:val="clear" w:color="000000" w:fill="D9D9D9"/>
            <w:noWrap/>
            <w:vAlign w:val="bottom"/>
            <w:hideMark/>
          </w:tcPr>
          <w:p w14:paraId="62B26F82"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r w:rsidR="00D9624F" w:rsidRPr="00D933CF" w14:paraId="127C81CC" w14:textId="77777777" w:rsidTr="00034328">
        <w:trPr>
          <w:trHeight w:val="229"/>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4EC2F6F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Sweden</w:t>
            </w:r>
          </w:p>
        </w:tc>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2889A0B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SE-SMINET</w:t>
            </w:r>
          </w:p>
        </w:tc>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42E7B31F"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Cp</w:t>
            </w:r>
          </w:p>
        </w:tc>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4DCF84E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Co</w:t>
            </w:r>
          </w:p>
        </w:tc>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2D2A6730"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P</w:t>
            </w:r>
          </w:p>
        </w:tc>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4EC56B09"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C</w:t>
            </w:r>
          </w:p>
        </w:tc>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06A826DE"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7BE7CA04"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Y</w:t>
            </w:r>
          </w:p>
        </w:tc>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063E049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14423E77"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N</w:t>
            </w:r>
          </w:p>
        </w:tc>
        <w:tc>
          <w:tcPr>
            <w:tcW w:w="1645" w:type="dxa"/>
            <w:tcBorders>
              <w:top w:val="nil"/>
              <w:left w:val="nil"/>
              <w:bottom w:val="single" w:sz="4" w:space="0" w:color="auto"/>
              <w:right w:val="single" w:sz="4" w:space="0" w:color="auto"/>
            </w:tcBorders>
            <w:shd w:val="clear" w:color="auto" w:fill="auto"/>
            <w:noWrap/>
            <w:vAlign w:val="bottom"/>
            <w:hideMark/>
          </w:tcPr>
          <w:p w14:paraId="4C632483" w14:textId="77777777" w:rsidR="00D9624F" w:rsidRPr="00D933CF" w:rsidRDefault="00D9624F" w:rsidP="00AF4AD6">
            <w:pPr>
              <w:spacing w:before="120" w:after="0"/>
              <w:rPr>
                <w:rFonts w:eastAsia="Times New Roman" w:cs="Tahoma"/>
                <w:sz w:val="14"/>
                <w:szCs w:val="14"/>
                <w:lang w:eastAsia="en-GB"/>
              </w:rPr>
            </w:pPr>
            <w:r w:rsidRPr="00D933CF">
              <w:rPr>
                <w:rFonts w:eastAsia="Times New Roman" w:cs="Tahoma"/>
                <w:sz w:val="14"/>
                <w:szCs w:val="14"/>
                <w:lang w:eastAsia="en-GB"/>
              </w:rPr>
              <w:t>EU-2018</w:t>
            </w:r>
          </w:p>
        </w:tc>
      </w:tr>
    </w:tbl>
    <w:p w14:paraId="197734D0" w14:textId="6312918F" w:rsidR="00D9624F" w:rsidRDefault="00D9624F" w:rsidP="00D9624F">
      <w:pPr>
        <w:pStyle w:val="EC-Para"/>
        <w:rPr>
          <w:lang w:eastAsia="en-US"/>
        </w:rPr>
      </w:pPr>
    </w:p>
    <w:p w14:paraId="5A66FD8E" w14:textId="6C798010" w:rsidR="00D9624F" w:rsidRDefault="00D9624F" w:rsidP="00D9624F">
      <w:pPr>
        <w:pStyle w:val="EC-Para"/>
        <w:rPr>
          <w:lang w:eastAsia="en-US"/>
        </w:rPr>
      </w:pPr>
    </w:p>
    <w:p w14:paraId="0C32E20C" w14:textId="77777777" w:rsidR="00D9624F" w:rsidRPr="00D9624F" w:rsidRDefault="00D9624F" w:rsidP="00D9624F">
      <w:pPr>
        <w:pStyle w:val="EC-Para"/>
        <w:rPr>
          <w:lang w:eastAsia="en-US"/>
        </w:rPr>
      </w:pPr>
    </w:p>
    <w:p w14:paraId="13FAE61B" w14:textId="77777777" w:rsidR="00034328" w:rsidRDefault="00034328">
      <w:pPr>
        <w:rPr>
          <w:rFonts w:eastAsia="Batang" w:cs="Tahoma"/>
          <w:b/>
          <w:bCs/>
          <w:color w:val="69AE23"/>
          <w:sz w:val="30"/>
          <w:szCs w:val="30"/>
        </w:rPr>
      </w:pPr>
      <w:bookmarkStart w:id="16" w:name="_Toc68600617"/>
      <w:bookmarkStart w:id="17" w:name="_Toc68600695"/>
      <w:bookmarkStart w:id="18" w:name="_Toc69140690"/>
      <w:bookmarkStart w:id="19" w:name="_Toc99029012"/>
      <w:bookmarkStart w:id="20" w:name="_Toc127531819"/>
      <w:r>
        <w:rPr>
          <w:sz w:val="30"/>
          <w:szCs w:val="30"/>
        </w:rPr>
        <w:br w:type="page"/>
      </w:r>
    </w:p>
    <w:p w14:paraId="6B763216" w14:textId="53F909D4" w:rsidR="000C1690" w:rsidRPr="00BC6EF0" w:rsidRDefault="000C1690" w:rsidP="000C1690">
      <w:pPr>
        <w:pStyle w:val="EC-Title-4"/>
        <w:rPr>
          <w:sz w:val="30"/>
          <w:szCs w:val="30"/>
        </w:rPr>
      </w:pPr>
      <w:r w:rsidRPr="00BC6EF0">
        <w:rPr>
          <w:sz w:val="30"/>
          <w:szCs w:val="30"/>
        </w:rPr>
        <w:lastRenderedPageBreak/>
        <w:t xml:space="preserve">Antimicrobial resistance in </w:t>
      </w:r>
      <w:r w:rsidRPr="00BC6EF0">
        <w:rPr>
          <w:i/>
          <w:iCs/>
          <w:sz w:val="30"/>
          <w:szCs w:val="30"/>
        </w:rPr>
        <w:t xml:space="preserve">Campylobacter </w:t>
      </w:r>
      <w:proofErr w:type="spellStart"/>
      <w:r w:rsidRPr="00BC6EF0">
        <w:rPr>
          <w:i/>
          <w:iCs/>
          <w:sz w:val="30"/>
          <w:szCs w:val="30"/>
        </w:rPr>
        <w:t>jejuni</w:t>
      </w:r>
      <w:proofErr w:type="spellEnd"/>
      <w:r w:rsidRPr="00BC6EF0">
        <w:rPr>
          <w:sz w:val="30"/>
          <w:szCs w:val="30"/>
        </w:rPr>
        <w:t xml:space="preserve"> and </w:t>
      </w:r>
      <w:r w:rsidRPr="00BC6EF0">
        <w:rPr>
          <w:i/>
          <w:iCs/>
          <w:sz w:val="30"/>
          <w:szCs w:val="30"/>
        </w:rPr>
        <w:t>C. coli</w:t>
      </w:r>
      <w:bookmarkEnd w:id="16"/>
      <w:bookmarkEnd w:id="17"/>
      <w:bookmarkEnd w:id="18"/>
      <w:bookmarkEnd w:id="19"/>
      <w:bookmarkEnd w:id="20"/>
    </w:p>
    <w:p w14:paraId="306C7153" w14:textId="19E5CBC9" w:rsidR="000C1690" w:rsidRDefault="000C1690" w:rsidP="000C1690">
      <w:pPr>
        <w:pStyle w:val="EC-Para"/>
        <w:jc w:val="right"/>
        <w:rPr>
          <w:b/>
          <w:lang w:eastAsia="en-US"/>
        </w:rPr>
      </w:pPr>
      <w:r>
        <w:rPr>
          <w:b/>
          <w:lang w:eastAsia="en-US"/>
        </w:rPr>
        <w:t xml:space="preserve">Last updated:  </w:t>
      </w:r>
      <w:r w:rsidR="000E5152">
        <w:rPr>
          <w:b/>
          <w:lang w:eastAsia="en-US"/>
        </w:rPr>
        <w:t xml:space="preserve">20 </w:t>
      </w:r>
      <w:r w:rsidR="00D316DE">
        <w:rPr>
          <w:b/>
          <w:lang w:eastAsia="en-US"/>
        </w:rPr>
        <w:t>February 202</w:t>
      </w:r>
      <w:r w:rsidR="000E5152">
        <w:rPr>
          <w:b/>
          <w:lang w:eastAsia="en-US"/>
        </w:rPr>
        <w:t>4</w:t>
      </w:r>
    </w:p>
    <w:p w14:paraId="4B445664" w14:textId="11F7A9F3" w:rsidR="000C1690" w:rsidRDefault="000C1690" w:rsidP="000C1690">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xml:space="preserve">: </w:t>
      </w:r>
      <w:r w:rsidR="000E5152">
        <w:rPr>
          <w:b/>
          <w:lang w:eastAsia="en-US"/>
        </w:rPr>
        <w:t xml:space="preserve">26 </w:t>
      </w:r>
      <w:r w:rsidR="00431E89">
        <w:rPr>
          <w:b/>
          <w:lang w:eastAsia="en-US"/>
        </w:rPr>
        <w:t>September 202</w:t>
      </w:r>
      <w:r w:rsidR="000E5152">
        <w:rPr>
          <w:b/>
          <w:lang w:eastAsia="en-US"/>
        </w:rPr>
        <w:t>3</w:t>
      </w:r>
    </w:p>
    <w:p w14:paraId="17B320FC" w14:textId="77777777" w:rsidR="000C1690" w:rsidRPr="00C604FE" w:rsidRDefault="000C1690" w:rsidP="000C1690">
      <w:pPr>
        <w:rPr>
          <w:szCs w:val="40"/>
        </w:rPr>
      </w:pPr>
    </w:p>
    <w:p w14:paraId="4E05112D" w14:textId="77777777" w:rsidR="000C1690" w:rsidRPr="00D77939" w:rsidRDefault="000C1690" w:rsidP="000C1690">
      <w:pPr>
        <w:autoSpaceDE w:val="0"/>
        <w:autoSpaceDN w:val="0"/>
        <w:adjustRightInd w:val="0"/>
        <w:spacing w:after="120"/>
        <w:jc w:val="both"/>
        <w:rPr>
          <w:rFonts w:cs="Tahoma"/>
          <w:szCs w:val="18"/>
        </w:rPr>
      </w:pPr>
      <w:r w:rsidRPr="00D77939">
        <w:rPr>
          <w:rFonts w:cs="Tahoma"/>
          <w:szCs w:val="18"/>
          <w:shd w:val="clear" w:color="auto" w:fill="FFFFFF"/>
        </w:rPr>
        <w:t xml:space="preserve">Campylobacteriosis is an infection caused by </w:t>
      </w:r>
      <w:r w:rsidRPr="00D77939">
        <w:rPr>
          <w:rFonts w:cs="Tahoma"/>
          <w:i/>
          <w:szCs w:val="18"/>
          <w:shd w:val="clear" w:color="auto" w:fill="FFFFFF"/>
        </w:rPr>
        <w:t>Campylobacter</w:t>
      </w:r>
      <w:r w:rsidRPr="00D77939">
        <w:rPr>
          <w:rFonts w:cs="Tahoma"/>
          <w:szCs w:val="18"/>
          <w:shd w:val="clear" w:color="auto" w:fill="FFFFFF"/>
        </w:rPr>
        <w:t xml:space="preserve"> bacteria, with the most common species being </w:t>
      </w:r>
      <w:r w:rsidRPr="00D77939">
        <w:rPr>
          <w:rFonts w:cs="Tahoma"/>
          <w:i/>
          <w:szCs w:val="18"/>
          <w:shd w:val="clear" w:color="auto" w:fill="FFFFFF"/>
        </w:rPr>
        <w:t>C. </w:t>
      </w:r>
      <w:proofErr w:type="spellStart"/>
      <w:r w:rsidRPr="00D77939">
        <w:rPr>
          <w:rFonts w:cs="Tahoma"/>
          <w:i/>
          <w:szCs w:val="18"/>
          <w:shd w:val="clear" w:color="auto" w:fill="FFFFFF"/>
        </w:rPr>
        <w:t>jejuni</w:t>
      </w:r>
      <w:proofErr w:type="spellEnd"/>
      <w:r w:rsidRPr="00D77939">
        <w:rPr>
          <w:rFonts w:cs="Tahoma"/>
          <w:szCs w:val="18"/>
          <w:shd w:val="clear" w:color="auto" w:fill="FFFFFF"/>
        </w:rPr>
        <w:t xml:space="preserve"> and </w:t>
      </w:r>
      <w:r w:rsidRPr="00D77939">
        <w:rPr>
          <w:rFonts w:cs="Tahoma"/>
          <w:i/>
          <w:szCs w:val="18"/>
          <w:shd w:val="clear" w:color="auto" w:fill="FFFFFF"/>
        </w:rPr>
        <w:t>C. coli</w:t>
      </w:r>
      <w:r w:rsidRPr="00D77939">
        <w:rPr>
          <w:rFonts w:cs="Tahoma"/>
          <w:szCs w:val="18"/>
          <w:shd w:val="clear" w:color="auto" w:fill="FFFFFF"/>
        </w:rPr>
        <w:t xml:space="preserve">. Campylobacteriosis usually causes self-limiting </w:t>
      </w:r>
      <w:proofErr w:type="gramStart"/>
      <w:r w:rsidRPr="00D77939">
        <w:rPr>
          <w:rFonts w:cs="Tahoma"/>
          <w:szCs w:val="18"/>
          <w:shd w:val="clear" w:color="auto" w:fill="FFFFFF"/>
        </w:rPr>
        <w:t>gastroenteritis</w:t>
      </w:r>
      <w:proofErr w:type="gramEnd"/>
      <w:r w:rsidRPr="00D77939">
        <w:rPr>
          <w:rFonts w:cs="Tahoma"/>
          <w:szCs w:val="18"/>
          <w:shd w:val="clear" w:color="auto" w:fill="FFFFFF"/>
        </w:rPr>
        <w:t xml:space="preserve"> but antimicrobial treatment may be needed in case of </w:t>
      </w:r>
      <w:r w:rsidRPr="00D77939">
        <w:rPr>
          <w:rFonts w:cs="Tahoma"/>
          <w:szCs w:val="18"/>
        </w:rPr>
        <w:t xml:space="preserve">severe illness. For a more detailed description of the disease and its epidemiology, please </w:t>
      </w:r>
      <w:r w:rsidRPr="00452CE3">
        <w:rPr>
          <w:rFonts w:cs="Tahoma"/>
          <w:szCs w:val="18"/>
        </w:rPr>
        <w:t xml:space="preserve">click </w:t>
      </w:r>
      <w:hyperlink r:id="rId25" w:history="1">
        <w:r w:rsidRPr="00452CE3">
          <w:rPr>
            <w:rStyle w:val="Hyperlink"/>
            <w:rFonts w:cs="Tahoma"/>
            <w:sz w:val="18"/>
            <w:szCs w:val="18"/>
          </w:rPr>
          <w:t>here</w:t>
        </w:r>
      </w:hyperlink>
      <w:r w:rsidRPr="00452CE3">
        <w:rPr>
          <w:rFonts w:cs="Tahoma"/>
          <w:szCs w:val="18"/>
        </w:rPr>
        <w:t>.</w:t>
      </w:r>
      <w:r w:rsidRPr="00D77939">
        <w:rPr>
          <w:rFonts w:cs="Tahoma"/>
          <w:szCs w:val="18"/>
        </w:rPr>
        <w:t xml:space="preserve">  </w:t>
      </w:r>
    </w:p>
    <w:p w14:paraId="3370DCF1" w14:textId="77777777" w:rsidR="000C1690" w:rsidRPr="008F577B" w:rsidRDefault="000C1690" w:rsidP="000C1690">
      <w:pPr>
        <w:pStyle w:val="EC-Title-6"/>
      </w:pPr>
      <w:bookmarkStart w:id="21" w:name="_Toc99028486"/>
      <w:r w:rsidRPr="008F577B">
        <w:t>Data</w:t>
      </w:r>
      <w:bookmarkEnd w:id="21"/>
    </w:p>
    <w:p w14:paraId="0BD8CB1E" w14:textId="77777777" w:rsidR="000C1690" w:rsidRPr="008F577B" w:rsidRDefault="000C1690" w:rsidP="000C1690">
      <w:pPr>
        <w:pStyle w:val="EC-Para"/>
        <w:rPr>
          <w:rFonts w:eastAsiaTheme="minorHAnsi" w:cs="Tahoma"/>
          <w:lang w:eastAsia="en-US"/>
        </w:rPr>
      </w:pPr>
      <w:r w:rsidRPr="008F577B">
        <w:rPr>
          <w:rFonts w:cs="Tahoma"/>
        </w:rPr>
        <w:t xml:space="preserve">The Surveillance Atlas of Infectious Diseases displays data on antimicrobial resistance (AMR) in </w:t>
      </w:r>
      <w:r>
        <w:rPr>
          <w:rFonts w:cs="Tahoma"/>
          <w:i/>
          <w:iCs/>
        </w:rPr>
        <w:t xml:space="preserve">Campylobacter </w:t>
      </w:r>
      <w:proofErr w:type="spellStart"/>
      <w:r>
        <w:rPr>
          <w:rFonts w:cs="Tahoma"/>
          <w:i/>
          <w:iCs/>
        </w:rPr>
        <w:t>jejuni</w:t>
      </w:r>
      <w:proofErr w:type="spellEnd"/>
      <w:r>
        <w:rPr>
          <w:rFonts w:cs="Tahoma"/>
          <w:i/>
          <w:iCs/>
        </w:rPr>
        <w:t xml:space="preserve"> </w:t>
      </w:r>
      <w:r w:rsidRPr="005B0641">
        <w:rPr>
          <w:rFonts w:cs="Tahoma"/>
        </w:rPr>
        <w:t>and</w:t>
      </w:r>
      <w:r>
        <w:rPr>
          <w:rFonts w:cs="Tahoma"/>
          <w:i/>
          <w:iCs/>
        </w:rPr>
        <w:t xml:space="preserve"> C. coli</w:t>
      </w:r>
      <w:r w:rsidRPr="008F577B">
        <w:rPr>
          <w:rFonts w:cs="Tahoma"/>
        </w:rPr>
        <w:t xml:space="preserve"> reported by the EU/EEA countries. According to the 2018 EU case definition for </w:t>
      </w:r>
      <w:r w:rsidRPr="005B0641">
        <w:rPr>
          <w:rFonts w:cs="Tahoma"/>
          <w:i/>
          <w:iCs/>
        </w:rPr>
        <w:t>Campylobacter</w:t>
      </w:r>
      <w:r w:rsidRPr="008F577B">
        <w:rPr>
          <w:rFonts w:cs="Tahoma"/>
        </w:rPr>
        <w:t xml:space="preserve"> enteritis</w:t>
      </w:r>
      <w:r w:rsidRPr="008F577B">
        <w:rPr>
          <w:rStyle w:val="FootnoteReference"/>
          <w:rFonts w:eastAsiaTheme="minorHAnsi" w:cs="Tahoma"/>
          <w:szCs w:val="20"/>
          <w:lang w:eastAsia="en-US"/>
        </w:rPr>
        <w:footnoteReference w:id="10"/>
      </w:r>
      <w:r w:rsidRPr="008F577B">
        <w:rPr>
          <w:rFonts w:cs="Tahoma"/>
        </w:rPr>
        <w:t xml:space="preserve">, antimicrobial susceptibility testing of </w:t>
      </w:r>
      <w:r>
        <w:rPr>
          <w:rFonts w:cs="Tahoma"/>
          <w:i/>
        </w:rPr>
        <w:t>Campylobacter</w:t>
      </w:r>
      <w:r w:rsidRPr="008F577B">
        <w:rPr>
          <w:rFonts w:cs="Tahoma"/>
        </w:rPr>
        <w:t xml:space="preserve"> spp. should be performed on a representative subset of isolates. The results of antimicrobial susceptibility tests must be reported according to the methods and criteria agreed between ECDC and Member States as specified in the EU protocol for harmonised monitoring of antimicrobial resistance in human </w:t>
      </w:r>
      <w:r w:rsidRPr="008F577B">
        <w:rPr>
          <w:rFonts w:cs="Tahoma"/>
          <w:i/>
          <w:iCs/>
        </w:rPr>
        <w:t>Salmonella</w:t>
      </w:r>
      <w:r w:rsidRPr="008F577B">
        <w:rPr>
          <w:rFonts w:cs="Tahoma"/>
        </w:rPr>
        <w:t xml:space="preserve"> and </w:t>
      </w:r>
      <w:r w:rsidRPr="008F577B">
        <w:rPr>
          <w:rFonts w:cs="Tahoma"/>
          <w:i/>
          <w:iCs/>
        </w:rPr>
        <w:t>Campylobacter</w:t>
      </w:r>
      <w:r w:rsidRPr="008F577B">
        <w:rPr>
          <w:rFonts w:cs="Tahoma"/>
        </w:rPr>
        <w:t xml:space="preserve"> isolates</w:t>
      </w:r>
      <w:r w:rsidRPr="008F577B">
        <w:rPr>
          <w:rStyle w:val="FootnoteReference"/>
          <w:rFonts w:cs="Tahoma"/>
        </w:rPr>
        <w:footnoteReference w:id="11"/>
      </w:r>
      <w:r w:rsidRPr="008F577B">
        <w:rPr>
          <w:rFonts w:cs="Tahoma"/>
        </w:rPr>
        <w:t xml:space="preserve">. The panel of antimicrobial agents to test is also defined in the EU protocol. </w:t>
      </w:r>
    </w:p>
    <w:p w14:paraId="16F4EEE8" w14:textId="7DCDD144" w:rsidR="000C1690" w:rsidRDefault="000C1690" w:rsidP="000C1690">
      <w:pPr>
        <w:pStyle w:val="EC-Para"/>
      </w:pPr>
      <w:r w:rsidRPr="008F577B">
        <w:t xml:space="preserve">AMR data are collected as part of the case-based datasets for salmonellosis and, since the 2013 data collection, as part of the molecular surveillance of </w:t>
      </w:r>
      <w:r>
        <w:rPr>
          <w:i/>
        </w:rPr>
        <w:t>Campylobacter</w:t>
      </w:r>
      <w:r w:rsidRPr="008F577B">
        <w:t xml:space="preserve"> isolates. The case-based dataset contains data from clinical treatment of patients and the results are therefore by default interpreted using clinical breakpoints for assessing treatment options. Most countries apply clinical </w:t>
      </w:r>
      <w:r>
        <w:t xml:space="preserve">breakpoints from the </w:t>
      </w:r>
      <w:r w:rsidRPr="0097075C">
        <w:t>European Committee on Antimicrobial Susceptibility Testing</w:t>
      </w:r>
      <w:r>
        <w:t xml:space="preserve"> (EUCAST</w:t>
      </w:r>
      <w:proofErr w:type="gramStart"/>
      <w:r>
        <w:t>)</w:t>
      </w:r>
      <w:proofErr w:type="gramEnd"/>
      <w:r>
        <w:t xml:space="preserve"> but some also use national breakpoints or breakpoints from the French Society of Microbiology (CA-SFM) when no EUCAST criteria are available. </w:t>
      </w:r>
      <w:r w:rsidRPr="004315FF">
        <w:t>The isolate-based data are submitted by the National Public Health Reference Laboratories (NPHRLs) who do reference testing of isolates and can report the actual results of the antimicrobial susceptibility testing (AST) as minimum inhibitory concentration (MIC) or inhibition zone diameter.</w:t>
      </w:r>
      <w:r>
        <w:t xml:space="preserve"> Such data are interpreted both with EUCAST clinical breakpoints, where available, but also with EUCAST epidemiological cut-off values where possible, to detect acquired resistance. </w:t>
      </w:r>
      <w:r w:rsidR="00471AC2">
        <w:t xml:space="preserve">Since </w:t>
      </w:r>
      <w:r w:rsidRPr="004546DF">
        <w:t>2019</w:t>
      </w:r>
      <w:r w:rsidR="00471AC2">
        <w:t xml:space="preserve">, </w:t>
      </w:r>
      <w:r w:rsidRPr="004546DF">
        <w:t xml:space="preserve">data can also be </w:t>
      </w:r>
      <w:r>
        <w:t>reported</w:t>
      </w:r>
      <w:r w:rsidRPr="004546DF">
        <w:t xml:space="preserve"> as phenotypes predicted from sequencing of the bacterial genome</w:t>
      </w:r>
      <w:r w:rsidR="00471AC2">
        <w:t xml:space="preserve"> and since 2023</w:t>
      </w:r>
      <w:r w:rsidRPr="004546DF">
        <w:t>,</w:t>
      </w:r>
      <w:r w:rsidR="004D7757">
        <w:t xml:space="preserve"> </w:t>
      </w:r>
      <w:r w:rsidR="00471AC2" w:rsidRPr="004D7757">
        <w:rPr>
          <w:i/>
          <w:iCs/>
        </w:rPr>
        <w:t>Campylobacter</w:t>
      </w:r>
      <w:r w:rsidR="00471AC2" w:rsidRPr="00471AC2">
        <w:t xml:space="preserve"> sequences </w:t>
      </w:r>
      <w:r w:rsidR="00471AC2">
        <w:t xml:space="preserve">can be reported </w:t>
      </w:r>
      <w:r w:rsidR="00471AC2" w:rsidRPr="00471AC2">
        <w:t xml:space="preserve">which </w:t>
      </w:r>
      <w:r w:rsidR="004D7757">
        <w:t>are ana</w:t>
      </w:r>
      <w:r w:rsidR="00471AC2" w:rsidRPr="00471AC2">
        <w:t xml:space="preserve">lysed for both genes/mutations and predicted resistance with </w:t>
      </w:r>
      <w:proofErr w:type="spellStart"/>
      <w:r w:rsidR="00471AC2" w:rsidRPr="00471AC2">
        <w:t>ResFinder</w:t>
      </w:r>
      <w:proofErr w:type="spellEnd"/>
      <w:r w:rsidR="00471AC2" w:rsidRPr="00471AC2">
        <w:t xml:space="preserve"> at ECDC. </w:t>
      </w:r>
      <w:r w:rsidR="00471AC2">
        <w:t xml:space="preserve">Data from genetic typing </w:t>
      </w:r>
      <w:r>
        <w:t xml:space="preserve">are </w:t>
      </w:r>
      <w:r w:rsidR="00471AC2">
        <w:t xml:space="preserve">categorised </w:t>
      </w:r>
      <w:r>
        <w:t>as predicted wild type or predicted non-wild type and presented in the Atlas with the data interpreted with epidemiological cut-off values.</w:t>
      </w:r>
      <w:r w:rsidRPr="004315FF">
        <w:t xml:space="preserve"> </w:t>
      </w:r>
    </w:p>
    <w:p w14:paraId="4D7DE5D0" w14:textId="77777777" w:rsidR="000C1690" w:rsidRPr="00C82DDE" w:rsidRDefault="000C1690" w:rsidP="00660148">
      <w:pPr>
        <w:pStyle w:val="EC-Title-6"/>
      </w:pPr>
      <w:bookmarkStart w:id="22" w:name="_Toc99028487"/>
      <w:r w:rsidRPr="00BD0ACE">
        <w:t>Data collection and analysis</w:t>
      </w:r>
      <w:bookmarkEnd w:id="22"/>
      <w:r w:rsidRPr="00BD0ACE">
        <w:t xml:space="preserve"> </w:t>
      </w:r>
    </w:p>
    <w:p w14:paraId="71E64ADB" w14:textId="77777777" w:rsidR="000C1690" w:rsidRDefault="000C1690" w:rsidP="000C1690">
      <w:pPr>
        <w:pStyle w:val="EC-Para"/>
        <w:jc w:val="both"/>
        <w:rPr>
          <w:rFonts w:cs="Tahoma"/>
        </w:rPr>
      </w:pPr>
      <w:r>
        <w:rPr>
          <w:rFonts w:cs="Tahoma"/>
        </w:rPr>
        <w:t xml:space="preserve">Data are collected on an annual basis for the previous year. Before analysis, data are validated with nominated data providers in EU/EEA countries. </w:t>
      </w:r>
      <w:r>
        <w:rPr>
          <w:rFonts w:cstheme="minorHAnsi"/>
        </w:rPr>
        <w:t>Note that data published in the Surveillance Atlas might differ from figures in national reports due to different times of reporting, application of other interpretive criteria/breakpoints and use of different denominators. For quantitative data reported as MIC values or zone diameters, t</w:t>
      </w:r>
      <w:r>
        <w:rPr>
          <w:rFonts w:cs="Tahoma"/>
        </w:rPr>
        <w:t>he criteria applied to categorise the data are listed in table 1.</w:t>
      </w:r>
    </w:p>
    <w:p w14:paraId="2AD29BC9" w14:textId="77777777" w:rsidR="000C1690" w:rsidRDefault="000C1690" w:rsidP="000C1690">
      <w:pPr>
        <w:pStyle w:val="EC-Para"/>
        <w:jc w:val="both"/>
        <w:rPr>
          <w:rFonts w:cs="Tahoma"/>
        </w:rPr>
      </w:pPr>
      <w:r>
        <w:rPr>
          <w:rFonts w:cs="Tahoma"/>
        </w:rPr>
        <w:t xml:space="preserve">Surveillance systems across the EU/EEA countries are heterogeneous and a surveillance systems overview is displayed in Annex 1. </w:t>
      </w:r>
    </w:p>
    <w:p w14:paraId="7B1F0C1B" w14:textId="77777777" w:rsidR="00452CE3" w:rsidRDefault="00452CE3" w:rsidP="000C1690">
      <w:pPr>
        <w:pStyle w:val="EC-Para"/>
        <w:jc w:val="both"/>
        <w:rPr>
          <w:rFonts w:cs="Tahoma"/>
        </w:rPr>
      </w:pPr>
    </w:p>
    <w:p w14:paraId="6CAF3AF8" w14:textId="28C17EC1" w:rsidR="000C1690" w:rsidRPr="00452CE3" w:rsidRDefault="000C1690" w:rsidP="000C1690">
      <w:pPr>
        <w:pStyle w:val="EC-Para"/>
        <w:rPr>
          <w:lang w:eastAsia="en-US"/>
        </w:rPr>
      </w:pPr>
      <w:r w:rsidRPr="00452CE3">
        <w:rPr>
          <w:lang w:eastAsia="en-US"/>
        </w:rPr>
        <w:t>Criteria used to interpret quantitative data</w:t>
      </w:r>
      <w:r w:rsidR="00452CE3" w:rsidRPr="00452CE3">
        <w:rPr>
          <w:lang w:eastAsia="en-US"/>
        </w:rPr>
        <w:t>:</w:t>
      </w:r>
    </w:p>
    <w:tbl>
      <w:tblPr>
        <w:tblStyle w:val="TableGrid"/>
        <w:tblW w:w="0" w:type="auto"/>
        <w:tblLook w:val="04A0" w:firstRow="1" w:lastRow="0" w:firstColumn="1" w:lastColumn="0" w:noHBand="0" w:noVBand="1"/>
      </w:tblPr>
      <w:tblGrid>
        <w:gridCol w:w="2401"/>
        <w:gridCol w:w="3220"/>
        <w:gridCol w:w="3561"/>
      </w:tblGrid>
      <w:tr w:rsidR="000C1690" w:rsidRPr="00172CF3" w14:paraId="53539D9F" w14:textId="77777777" w:rsidTr="00034EC0">
        <w:tc>
          <w:tcPr>
            <w:tcW w:w="0" w:type="auto"/>
            <w:tcBorders>
              <w:top w:val="single" w:sz="4" w:space="0" w:color="000000"/>
              <w:left w:val="single" w:sz="4" w:space="0" w:color="000000"/>
              <w:bottom w:val="single" w:sz="4" w:space="0" w:color="000000"/>
              <w:right w:val="single" w:sz="4" w:space="0" w:color="000000"/>
            </w:tcBorders>
            <w:shd w:val="clear" w:color="auto" w:fill="69AE23"/>
            <w:vAlign w:val="center"/>
            <w:hideMark/>
          </w:tcPr>
          <w:p w14:paraId="19762AD7" w14:textId="77777777" w:rsidR="000C1690" w:rsidRPr="00947826" w:rsidRDefault="000C1690" w:rsidP="00034EC0">
            <w:pPr>
              <w:pStyle w:val="EC-Para"/>
              <w:rPr>
                <w:b/>
                <w:bCs/>
                <w:color w:val="FFFFFF" w:themeColor="background1"/>
                <w:lang w:eastAsia="en-US"/>
              </w:rPr>
            </w:pPr>
            <w:r w:rsidRPr="00947826">
              <w:rPr>
                <w:b/>
                <w:bCs/>
                <w:color w:val="FFFFFF" w:themeColor="background1"/>
                <w:lang w:eastAsia="en-US"/>
              </w:rPr>
              <w:t>Antimicrobial</w:t>
            </w:r>
          </w:p>
        </w:tc>
        <w:tc>
          <w:tcPr>
            <w:tcW w:w="0" w:type="auto"/>
            <w:tcBorders>
              <w:top w:val="single" w:sz="4" w:space="0" w:color="000000"/>
              <w:left w:val="single" w:sz="4" w:space="0" w:color="000000"/>
              <w:bottom w:val="single" w:sz="4" w:space="0" w:color="000000"/>
              <w:right w:val="single" w:sz="4" w:space="0" w:color="000000"/>
            </w:tcBorders>
            <w:shd w:val="clear" w:color="auto" w:fill="69AE23"/>
            <w:vAlign w:val="center"/>
          </w:tcPr>
          <w:p w14:paraId="65563F90" w14:textId="77777777" w:rsidR="000C1690" w:rsidRPr="00947826" w:rsidRDefault="000C1690" w:rsidP="00034EC0">
            <w:pPr>
              <w:pStyle w:val="EC-Para"/>
              <w:rPr>
                <w:b/>
                <w:bCs/>
                <w:color w:val="FFFFFF" w:themeColor="background1"/>
                <w:lang w:eastAsia="en-US"/>
              </w:rPr>
            </w:pPr>
            <w:r w:rsidRPr="00947826">
              <w:rPr>
                <w:b/>
                <w:bCs/>
                <w:color w:val="FFFFFF" w:themeColor="background1"/>
                <w:lang w:eastAsia="en-US"/>
              </w:rPr>
              <w:t>Clinical breakpoint applied</w:t>
            </w:r>
          </w:p>
        </w:tc>
        <w:tc>
          <w:tcPr>
            <w:tcW w:w="0" w:type="auto"/>
            <w:tcBorders>
              <w:top w:val="single" w:sz="4" w:space="0" w:color="000000"/>
              <w:left w:val="single" w:sz="4" w:space="0" w:color="000000"/>
              <w:bottom w:val="single" w:sz="4" w:space="0" w:color="000000"/>
              <w:right w:val="single" w:sz="4" w:space="0" w:color="000000"/>
            </w:tcBorders>
            <w:shd w:val="clear" w:color="auto" w:fill="69AE23"/>
            <w:vAlign w:val="center"/>
          </w:tcPr>
          <w:p w14:paraId="38D15FC3" w14:textId="77777777" w:rsidR="000C1690" w:rsidRPr="00947826" w:rsidRDefault="000C1690" w:rsidP="00034EC0">
            <w:pPr>
              <w:pStyle w:val="EC-Para"/>
              <w:rPr>
                <w:b/>
                <w:bCs/>
                <w:color w:val="FFFFFF" w:themeColor="background1"/>
                <w:lang w:eastAsia="en-US"/>
              </w:rPr>
            </w:pPr>
            <w:r w:rsidRPr="00947826">
              <w:rPr>
                <w:b/>
                <w:bCs/>
                <w:color w:val="FFFFFF" w:themeColor="background1"/>
                <w:lang w:eastAsia="en-US"/>
              </w:rPr>
              <w:t>Epidemiological cut-off applied</w:t>
            </w:r>
          </w:p>
        </w:tc>
      </w:tr>
      <w:tr w:rsidR="000C1690" w:rsidRPr="00172CF3" w14:paraId="6423B0DD"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49D2B82D" w14:textId="77777777" w:rsidR="000C1690" w:rsidRPr="00947826" w:rsidRDefault="000C1690" w:rsidP="00034EC0">
            <w:pPr>
              <w:pStyle w:val="EC-Para"/>
              <w:rPr>
                <w:lang w:eastAsia="en-US"/>
              </w:rPr>
            </w:pPr>
            <w:r w:rsidRPr="00947826">
              <w:rPr>
                <w:lang w:eastAsia="en-US"/>
              </w:rPr>
              <w:t>Gentamicin</w:t>
            </w:r>
          </w:p>
        </w:tc>
        <w:tc>
          <w:tcPr>
            <w:tcW w:w="0" w:type="auto"/>
            <w:tcBorders>
              <w:top w:val="single" w:sz="4" w:space="0" w:color="000000"/>
              <w:left w:val="single" w:sz="4" w:space="0" w:color="000000"/>
              <w:bottom w:val="single" w:sz="4" w:space="0" w:color="000000"/>
              <w:right w:val="single" w:sz="4" w:space="0" w:color="000000"/>
            </w:tcBorders>
            <w:vAlign w:val="center"/>
          </w:tcPr>
          <w:p w14:paraId="33F060E7" w14:textId="08DAD745" w:rsidR="000C1690" w:rsidRPr="00947826" w:rsidRDefault="000C1690" w:rsidP="00034EC0">
            <w:pPr>
              <w:pStyle w:val="EC-Para"/>
              <w:rPr>
                <w:lang w:eastAsia="en-US"/>
              </w:rPr>
            </w:pPr>
            <w:r w:rsidRPr="00947826">
              <w:rPr>
                <w:lang w:eastAsia="en-US"/>
              </w:rPr>
              <w:t>CA-SFM 20</w:t>
            </w:r>
            <w:r>
              <w:rPr>
                <w:lang w:eastAsia="en-US"/>
              </w:rPr>
              <w:t>2</w:t>
            </w:r>
            <w:r w:rsidR="000E5152">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7C24D7E" w14:textId="2ABE4575" w:rsidR="000C1690" w:rsidRPr="00947826" w:rsidRDefault="000C1690" w:rsidP="00034EC0">
            <w:pPr>
              <w:pStyle w:val="EC-Para"/>
              <w:rPr>
                <w:lang w:eastAsia="en-US"/>
              </w:rPr>
            </w:pPr>
            <w:r w:rsidRPr="00947826">
              <w:rPr>
                <w:lang w:eastAsia="en-US"/>
              </w:rPr>
              <w:t>EUCAST</w:t>
            </w:r>
            <w:r>
              <w:rPr>
                <w:lang w:eastAsia="en-US"/>
              </w:rPr>
              <w:t xml:space="preserve"> Aug 202</w:t>
            </w:r>
            <w:r w:rsidR="000E5152">
              <w:rPr>
                <w:lang w:eastAsia="en-US"/>
              </w:rPr>
              <w:t>3</w:t>
            </w:r>
          </w:p>
        </w:tc>
      </w:tr>
      <w:tr w:rsidR="000C1690" w:rsidRPr="00172CF3" w14:paraId="0DDBDD6D"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hideMark/>
          </w:tcPr>
          <w:p w14:paraId="4845032C" w14:textId="77777777" w:rsidR="000C1690" w:rsidRPr="00947826" w:rsidRDefault="000C1690" w:rsidP="00034EC0">
            <w:pPr>
              <w:pStyle w:val="EC-Para"/>
              <w:rPr>
                <w:lang w:eastAsia="en-US"/>
              </w:rPr>
            </w:pPr>
            <w:r w:rsidRPr="00947826">
              <w:rPr>
                <w:lang w:eastAsia="en-US"/>
              </w:rPr>
              <w:t>Erythromycin</w:t>
            </w:r>
          </w:p>
        </w:tc>
        <w:tc>
          <w:tcPr>
            <w:tcW w:w="0" w:type="auto"/>
            <w:tcBorders>
              <w:top w:val="single" w:sz="4" w:space="0" w:color="000000"/>
              <w:left w:val="single" w:sz="4" w:space="0" w:color="000000"/>
              <w:bottom w:val="single" w:sz="4" w:space="0" w:color="000000"/>
              <w:right w:val="single" w:sz="4" w:space="0" w:color="000000"/>
            </w:tcBorders>
            <w:vAlign w:val="center"/>
          </w:tcPr>
          <w:p w14:paraId="1A97969D" w14:textId="4ACF3F93" w:rsidR="000C1690" w:rsidRPr="00947826" w:rsidRDefault="000C1690" w:rsidP="00034EC0">
            <w:pPr>
              <w:pStyle w:val="EC-Para"/>
              <w:rPr>
                <w:lang w:eastAsia="en-US"/>
              </w:rPr>
            </w:pPr>
            <w:r w:rsidRPr="00947826">
              <w:rPr>
                <w:lang w:eastAsia="en-US"/>
              </w:rPr>
              <w:t>EUCAST 20</w:t>
            </w:r>
            <w:r>
              <w:rPr>
                <w:lang w:eastAsia="en-US"/>
              </w:rPr>
              <w:t>2</w:t>
            </w:r>
            <w:r w:rsidR="000E5152">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479C087" w14:textId="7A1ED2FC" w:rsidR="000C1690" w:rsidRPr="00947826" w:rsidRDefault="000C1690" w:rsidP="00034EC0">
            <w:pPr>
              <w:pStyle w:val="EC-Para"/>
              <w:rPr>
                <w:lang w:eastAsia="en-US"/>
              </w:rPr>
            </w:pPr>
            <w:r w:rsidRPr="00947826">
              <w:rPr>
                <w:lang w:eastAsia="en-US"/>
              </w:rPr>
              <w:t xml:space="preserve">EUCAST </w:t>
            </w:r>
            <w:r>
              <w:rPr>
                <w:lang w:eastAsia="en-US"/>
              </w:rPr>
              <w:t>Aug 202</w:t>
            </w:r>
            <w:r w:rsidR="000E5152">
              <w:rPr>
                <w:lang w:eastAsia="en-US"/>
              </w:rPr>
              <w:t>3</w:t>
            </w:r>
          </w:p>
        </w:tc>
      </w:tr>
      <w:tr w:rsidR="000C1690" w:rsidRPr="00172CF3" w14:paraId="1453F146"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46CA6508" w14:textId="77777777" w:rsidR="000C1690" w:rsidRPr="00947826" w:rsidRDefault="000C1690" w:rsidP="00034EC0">
            <w:pPr>
              <w:pStyle w:val="EC-Para"/>
              <w:rPr>
                <w:lang w:eastAsia="en-US"/>
              </w:rPr>
            </w:pPr>
            <w:r w:rsidRPr="00947826">
              <w:rPr>
                <w:lang w:eastAsia="en-US"/>
              </w:rPr>
              <w:t>Ciprofloxacin</w:t>
            </w:r>
          </w:p>
        </w:tc>
        <w:tc>
          <w:tcPr>
            <w:tcW w:w="0" w:type="auto"/>
            <w:tcBorders>
              <w:top w:val="single" w:sz="4" w:space="0" w:color="000000"/>
              <w:left w:val="single" w:sz="4" w:space="0" w:color="000000"/>
              <w:bottom w:val="single" w:sz="4" w:space="0" w:color="000000"/>
              <w:right w:val="single" w:sz="4" w:space="0" w:color="000000"/>
            </w:tcBorders>
            <w:vAlign w:val="center"/>
          </w:tcPr>
          <w:p w14:paraId="5D92B3DA" w14:textId="63383222" w:rsidR="000C1690" w:rsidRPr="00947826" w:rsidRDefault="000C1690" w:rsidP="00034EC0">
            <w:pPr>
              <w:pStyle w:val="EC-Para"/>
              <w:rPr>
                <w:lang w:eastAsia="en-US"/>
              </w:rPr>
            </w:pPr>
            <w:r w:rsidRPr="00947826">
              <w:rPr>
                <w:lang w:eastAsia="en-US"/>
              </w:rPr>
              <w:t>EUCAST 20</w:t>
            </w:r>
            <w:r>
              <w:rPr>
                <w:lang w:eastAsia="en-US"/>
              </w:rPr>
              <w:t>2</w:t>
            </w:r>
            <w:r w:rsidR="000E5152">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00AAB21" w14:textId="54622C2C" w:rsidR="000C1690" w:rsidRPr="00947826" w:rsidRDefault="000C1690" w:rsidP="00034EC0">
            <w:pPr>
              <w:pStyle w:val="EC-Para"/>
              <w:rPr>
                <w:lang w:eastAsia="en-US"/>
              </w:rPr>
            </w:pPr>
            <w:r w:rsidRPr="00947826">
              <w:rPr>
                <w:lang w:eastAsia="en-US"/>
              </w:rPr>
              <w:t xml:space="preserve">EUCAST </w:t>
            </w:r>
            <w:r>
              <w:rPr>
                <w:lang w:eastAsia="en-US"/>
              </w:rPr>
              <w:t>Aug 202</w:t>
            </w:r>
            <w:r w:rsidR="000E5152">
              <w:rPr>
                <w:lang w:eastAsia="en-US"/>
              </w:rPr>
              <w:t>3</w:t>
            </w:r>
          </w:p>
        </w:tc>
      </w:tr>
      <w:tr w:rsidR="000C1690" w:rsidRPr="00172CF3" w14:paraId="5ADD8B61"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735BCD90" w14:textId="77777777" w:rsidR="000C1690" w:rsidRPr="00947826" w:rsidRDefault="000C1690" w:rsidP="00034EC0">
            <w:pPr>
              <w:pStyle w:val="EC-Para"/>
              <w:rPr>
                <w:lang w:eastAsia="en-US"/>
              </w:rPr>
            </w:pPr>
            <w:r w:rsidRPr="00947826">
              <w:rPr>
                <w:lang w:eastAsia="en-US"/>
              </w:rPr>
              <w:t>Tetracycline</w:t>
            </w:r>
          </w:p>
        </w:tc>
        <w:tc>
          <w:tcPr>
            <w:tcW w:w="0" w:type="auto"/>
            <w:tcBorders>
              <w:top w:val="single" w:sz="4" w:space="0" w:color="000000"/>
              <w:left w:val="single" w:sz="4" w:space="0" w:color="000000"/>
              <w:bottom w:val="single" w:sz="4" w:space="0" w:color="000000"/>
              <w:right w:val="single" w:sz="4" w:space="0" w:color="000000"/>
            </w:tcBorders>
            <w:vAlign w:val="center"/>
          </w:tcPr>
          <w:p w14:paraId="23EA03ED" w14:textId="5000CDC5" w:rsidR="000C1690" w:rsidRPr="00947826" w:rsidRDefault="000C1690" w:rsidP="00034EC0">
            <w:pPr>
              <w:pStyle w:val="EC-Para"/>
              <w:rPr>
                <w:lang w:eastAsia="en-US"/>
              </w:rPr>
            </w:pPr>
            <w:r w:rsidRPr="00947826">
              <w:rPr>
                <w:lang w:eastAsia="en-US"/>
              </w:rPr>
              <w:t>EUCAST 20</w:t>
            </w:r>
            <w:r>
              <w:rPr>
                <w:lang w:eastAsia="en-US"/>
              </w:rPr>
              <w:t>2</w:t>
            </w:r>
            <w:r w:rsidR="000E5152">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3A56340" w14:textId="647BDED9" w:rsidR="000C1690" w:rsidRPr="00947826" w:rsidRDefault="000C1690" w:rsidP="00034EC0">
            <w:pPr>
              <w:pStyle w:val="EC-Para"/>
              <w:rPr>
                <w:lang w:eastAsia="en-US"/>
              </w:rPr>
            </w:pPr>
            <w:r w:rsidRPr="00947826">
              <w:rPr>
                <w:lang w:eastAsia="en-US"/>
              </w:rPr>
              <w:t xml:space="preserve">EUCAST </w:t>
            </w:r>
            <w:r>
              <w:rPr>
                <w:lang w:eastAsia="en-US"/>
              </w:rPr>
              <w:t>Aug 202</w:t>
            </w:r>
            <w:r w:rsidR="000E5152">
              <w:rPr>
                <w:lang w:eastAsia="en-US"/>
              </w:rPr>
              <w:t>3</w:t>
            </w:r>
          </w:p>
        </w:tc>
      </w:tr>
      <w:tr w:rsidR="000C1690" w14:paraId="4C43D7A8"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0038EF1E" w14:textId="77777777" w:rsidR="000C1690" w:rsidRPr="00947826" w:rsidRDefault="000C1690" w:rsidP="00034EC0">
            <w:pPr>
              <w:pStyle w:val="EC-Para"/>
              <w:rPr>
                <w:lang w:eastAsia="en-US"/>
              </w:rPr>
            </w:pPr>
            <w:proofErr w:type="spellStart"/>
            <w:r w:rsidRPr="00947826">
              <w:rPr>
                <w:lang w:eastAsia="en-US"/>
              </w:rPr>
              <w:lastRenderedPageBreak/>
              <w:t>Ciprofloxacin+erythromycin</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33A1470" w14:textId="77777777" w:rsidR="000C1690" w:rsidRPr="00947826" w:rsidRDefault="000C1690" w:rsidP="00034EC0">
            <w:pPr>
              <w:pStyle w:val="EC-Para"/>
              <w:rPr>
                <w:lang w:eastAsia="en-US"/>
              </w:rPr>
            </w:pPr>
            <w:r w:rsidRPr="00947826">
              <w:rPr>
                <w:lang w:eastAsia="en-US"/>
              </w:rPr>
              <w:t>Resistance to both agents, see criteria for respective agent</w:t>
            </w:r>
          </w:p>
        </w:tc>
        <w:tc>
          <w:tcPr>
            <w:tcW w:w="0" w:type="auto"/>
            <w:tcBorders>
              <w:top w:val="single" w:sz="4" w:space="0" w:color="000000"/>
              <w:left w:val="single" w:sz="4" w:space="0" w:color="000000"/>
              <w:bottom w:val="single" w:sz="4" w:space="0" w:color="000000"/>
              <w:right w:val="single" w:sz="4" w:space="0" w:color="000000"/>
            </w:tcBorders>
            <w:vAlign w:val="center"/>
          </w:tcPr>
          <w:p w14:paraId="062ECB8F" w14:textId="77777777" w:rsidR="000C1690" w:rsidRPr="00947826" w:rsidRDefault="000C1690" w:rsidP="00034EC0">
            <w:pPr>
              <w:pStyle w:val="EC-Para"/>
              <w:rPr>
                <w:lang w:eastAsia="en-US"/>
              </w:rPr>
            </w:pPr>
            <w:r w:rsidRPr="00947826">
              <w:rPr>
                <w:lang w:eastAsia="en-US"/>
              </w:rPr>
              <w:t>Non-wild type to both agents, see criteria for respective agent</w:t>
            </w:r>
          </w:p>
        </w:tc>
      </w:tr>
    </w:tbl>
    <w:p w14:paraId="56447E90" w14:textId="77777777" w:rsidR="00D20FD0" w:rsidRDefault="00D20FD0" w:rsidP="00660148">
      <w:pPr>
        <w:pStyle w:val="EC-Title-6"/>
      </w:pPr>
      <w:bookmarkStart w:id="23" w:name="_Toc99028488"/>
    </w:p>
    <w:p w14:paraId="61B53666" w14:textId="2AC15772" w:rsidR="000C1690" w:rsidRPr="0072746F" w:rsidRDefault="000C1690" w:rsidP="00660148">
      <w:pPr>
        <w:pStyle w:val="EC-Title-6"/>
      </w:pPr>
      <w:r w:rsidRPr="0072746F">
        <w:t xml:space="preserve">Surveillance Atlas </w:t>
      </w:r>
      <w:r w:rsidRPr="00660148">
        <w:t>indicators</w:t>
      </w:r>
      <w:bookmarkEnd w:id="23"/>
    </w:p>
    <w:p w14:paraId="7FF4D63F" w14:textId="77777777" w:rsidR="000C1690" w:rsidRDefault="000C1690" w:rsidP="000C1690">
      <w:pPr>
        <w:pStyle w:val="EC-Para"/>
        <w:rPr>
          <w:rFonts w:cs="Tahoma"/>
        </w:rPr>
      </w:pPr>
      <w:r w:rsidRPr="005E139C">
        <w:rPr>
          <w:rFonts w:cs="Tahoma"/>
        </w:rPr>
        <w:t>The Surveillan</w:t>
      </w:r>
      <w:r>
        <w:rPr>
          <w:rFonts w:cs="Tahoma"/>
        </w:rPr>
        <w:t xml:space="preserve">ce Atlas indicators for </w:t>
      </w:r>
      <w:r>
        <w:rPr>
          <w:rFonts w:cs="Tahoma"/>
          <w:i/>
          <w:iCs/>
        </w:rPr>
        <w:t>Campylobacter</w:t>
      </w:r>
      <w:r>
        <w:rPr>
          <w:rFonts w:cs="Tahoma"/>
        </w:rPr>
        <w:t xml:space="preserve"> antimicrobial resistance </w:t>
      </w:r>
      <w:r w:rsidRPr="005E139C">
        <w:rPr>
          <w:rFonts w:cs="Tahoma"/>
        </w:rPr>
        <w:t>are:</w:t>
      </w:r>
    </w:p>
    <w:p w14:paraId="6ECC1E01" w14:textId="77777777" w:rsidR="000C1690" w:rsidRPr="007B34B1" w:rsidRDefault="000C1690" w:rsidP="00452CE3">
      <w:pPr>
        <w:numPr>
          <w:ilvl w:val="0"/>
          <w:numId w:val="4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Non-wild type (NWT) isolates </w:t>
      </w:r>
      <w:proofErr w:type="gramStart"/>
      <w:r>
        <w:rPr>
          <w:rFonts w:eastAsia="Arial Unicode MS" w:cs="Tahoma"/>
          <w:kern w:val="22"/>
          <w:szCs w:val="18"/>
        </w:rPr>
        <w:t>percentage</w:t>
      </w:r>
      <w:r w:rsidRPr="007B34B1">
        <w:rPr>
          <w:rFonts w:eastAsia="Arial Unicode MS" w:cs="Tahoma"/>
          <w:kern w:val="22"/>
          <w:szCs w:val="18"/>
        </w:rPr>
        <w:t>;</w:t>
      </w:r>
      <w:proofErr w:type="gramEnd"/>
    </w:p>
    <w:p w14:paraId="27A7F497" w14:textId="77777777" w:rsidR="000C1690" w:rsidRDefault="000C1690" w:rsidP="00452CE3">
      <w:pPr>
        <w:numPr>
          <w:ilvl w:val="0"/>
          <w:numId w:val="4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No</w:t>
      </w:r>
      <w:r>
        <w:rPr>
          <w:rFonts w:eastAsia="Arial Unicode MS" w:cs="Tahoma"/>
          <w:kern w:val="22"/>
          <w:szCs w:val="18"/>
        </w:rPr>
        <w:t xml:space="preserve">n-wild type or I+R isolates </w:t>
      </w:r>
      <w:proofErr w:type="gramStart"/>
      <w:r>
        <w:rPr>
          <w:rFonts w:eastAsia="Arial Unicode MS" w:cs="Tahoma"/>
          <w:kern w:val="22"/>
          <w:szCs w:val="18"/>
        </w:rPr>
        <w:t>percentage</w:t>
      </w:r>
      <w:r w:rsidRPr="007B34B1">
        <w:rPr>
          <w:rFonts w:eastAsia="Arial Unicode MS" w:cs="Tahoma"/>
          <w:kern w:val="22"/>
          <w:szCs w:val="18"/>
        </w:rPr>
        <w:t>;</w:t>
      </w:r>
      <w:proofErr w:type="gramEnd"/>
    </w:p>
    <w:p w14:paraId="715F11CE" w14:textId="77777777" w:rsidR="000C1690" w:rsidRDefault="000C1690" w:rsidP="00452CE3">
      <w:pPr>
        <w:numPr>
          <w:ilvl w:val="0"/>
          <w:numId w:val="4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Clinically resistant (R) isolates percentage</w:t>
      </w:r>
    </w:p>
    <w:p w14:paraId="673AFA94" w14:textId="77777777" w:rsidR="000C1690" w:rsidRDefault="000C1690" w:rsidP="00452CE3">
      <w:pPr>
        <w:numPr>
          <w:ilvl w:val="0"/>
          <w:numId w:val="4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Total tested isolates</w:t>
      </w:r>
    </w:p>
    <w:p w14:paraId="5CABEB96" w14:textId="77777777" w:rsidR="000C1690" w:rsidRPr="00EE67C1" w:rsidRDefault="000C1690" w:rsidP="000C1690">
      <w:pPr>
        <w:kinsoku w:val="0"/>
        <w:autoSpaceDE w:val="0"/>
        <w:autoSpaceDN w:val="0"/>
        <w:adjustRightInd w:val="0"/>
        <w:spacing w:line="200" w:lineRule="atLeast"/>
        <w:ind w:left="720"/>
        <w:rPr>
          <w:rFonts w:eastAsia="Arial Unicode MS" w:cs="Tahoma"/>
          <w:kern w:val="22"/>
          <w:szCs w:val="18"/>
          <w:highlight w:val="yellow"/>
        </w:rPr>
      </w:pPr>
    </w:p>
    <w:p w14:paraId="4A79C1F1" w14:textId="77777777" w:rsidR="000C1690" w:rsidRPr="00DB1F22" w:rsidRDefault="000C1690" w:rsidP="000C1690">
      <w:pPr>
        <w:kinsoku w:val="0"/>
        <w:autoSpaceDE w:val="0"/>
        <w:autoSpaceDN w:val="0"/>
        <w:adjustRightInd w:val="0"/>
        <w:spacing w:line="200" w:lineRule="atLeast"/>
        <w:rPr>
          <w:rFonts w:eastAsia="Arial Unicode MS" w:cs="Tahoma"/>
          <w:kern w:val="22"/>
          <w:szCs w:val="18"/>
        </w:rPr>
      </w:pPr>
      <w:r w:rsidRPr="00DB1F22">
        <w:rPr>
          <w:rFonts w:eastAsia="Arial Unicode MS" w:cs="Tahoma"/>
          <w:kern w:val="22"/>
          <w:szCs w:val="18"/>
        </w:rPr>
        <w:t xml:space="preserve">For the </w:t>
      </w:r>
      <w:r w:rsidRPr="00DB1F22">
        <w:rPr>
          <w:rFonts w:eastAsia="Arial Unicode MS" w:cs="Tahoma"/>
          <w:kern w:val="22"/>
          <w:szCs w:val="18"/>
          <w:u w:val="single"/>
        </w:rPr>
        <w:t>resistance indicators</w:t>
      </w:r>
      <w:r w:rsidRPr="00DB1F22">
        <w:rPr>
          <w:rFonts w:eastAsia="Arial Unicode MS" w:cs="Tahoma"/>
          <w:kern w:val="22"/>
          <w:szCs w:val="18"/>
        </w:rPr>
        <w:t xml:space="preserve">, the data may be displayed in a bar chart as:  </w:t>
      </w:r>
    </w:p>
    <w:p w14:paraId="3C121C55" w14:textId="77777777" w:rsidR="000C1690" w:rsidRPr="00DB1F22" w:rsidRDefault="000C1690" w:rsidP="000C1690">
      <w:pPr>
        <w:numPr>
          <w:ilvl w:val="0"/>
          <w:numId w:val="1"/>
        </w:numPr>
        <w:kinsoku w:val="0"/>
        <w:autoSpaceDE w:val="0"/>
        <w:autoSpaceDN w:val="0"/>
        <w:adjustRightInd w:val="0"/>
        <w:spacing w:line="200" w:lineRule="atLeast"/>
        <w:rPr>
          <w:rFonts w:eastAsia="Arial Unicode MS" w:cs="Tahoma"/>
          <w:kern w:val="22"/>
          <w:szCs w:val="18"/>
        </w:rPr>
      </w:pPr>
      <w:r w:rsidRPr="00DB1F22">
        <w:rPr>
          <w:rFonts w:eastAsia="Arial Unicode MS" w:cs="Tahoma"/>
          <w:kern w:val="22"/>
          <w:szCs w:val="18"/>
        </w:rPr>
        <w:t>Proportion resistant isolates by age-group (for age groups 0-4, 5-14, 15-24, 25-44, 45-64, 65 years and above</w:t>
      </w:r>
      <w:proofErr w:type="gramStart"/>
      <w:r w:rsidRPr="00DB1F22">
        <w:rPr>
          <w:rFonts w:eastAsia="Arial Unicode MS" w:cs="Tahoma"/>
          <w:kern w:val="22"/>
          <w:szCs w:val="18"/>
        </w:rPr>
        <w:t>);</w:t>
      </w:r>
      <w:proofErr w:type="gramEnd"/>
    </w:p>
    <w:p w14:paraId="1DD5C44B" w14:textId="77777777" w:rsidR="000C1690" w:rsidRPr="00DB1F22" w:rsidRDefault="000C1690" w:rsidP="000C1690">
      <w:pPr>
        <w:numPr>
          <w:ilvl w:val="0"/>
          <w:numId w:val="1"/>
        </w:numPr>
        <w:kinsoku w:val="0"/>
        <w:autoSpaceDE w:val="0"/>
        <w:autoSpaceDN w:val="0"/>
        <w:adjustRightInd w:val="0"/>
        <w:spacing w:line="200" w:lineRule="atLeast"/>
        <w:rPr>
          <w:rFonts w:eastAsia="Arial Unicode MS" w:cs="Tahoma"/>
          <w:kern w:val="22"/>
          <w:szCs w:val="18"/>
        </w:rPr>
      </w:pPr>
      <w:r w:rsidRPr="00DB1F22">
        <w:rPr>
          <w:rFonts w:eastAsia="Arial Unicode MS" w:cs="Tahoma"/>
          <w:kern w:val="22"/>
          <w:szCs w:val="18"/>
        </w:rPr>
        <w:t xml:space="preserve">Proportion resistant isolates by </w:t>
      </w:r>
      <w:proofErr w:type="gramStart"/>
      <w:r w:rsidRPr="00DB1F22">
        <w:rPr>
          <w:rFonts w:eastAsia="Arial Unicode MS" w:cs="Tahoma"/>
          <w:kern w:val="22"/>
          <w:szCs w:val="18"/>
        </w:rPr>
        <w:t>gender;</w:t>
      </w:r>
      <w:proofErr w:type="gramEnd"/>
    </w:p>
    <w:p w14:paraId="2CD83BCD" w14:textId="77777777" w:rsidR="000C1690" w:rsidRPr="00DB1F22" w:rsidRDefault="000C1690" w:rsidP="000C1690">
      <w:pPr>
        <w:numPr>
          <w:ilvl w:val="0"/>
          <w:numId w:val="1"/>
        </w:numPr>
        <w:kinsoku w:val="0"/>
        <w:autoSpaceDE w:val="0"/>
        <w:autoSpaceDN w:val="0"/>
        <w:adjustRightInd w:val="0"/>
        <w:spacing w:line="200" w:lineRule="atLeast"/>
        <w:rPr>
          <w:rFonts w:eastAsia="Arial Unicode MS" w:cs="Tahoma"/>
          <w:kern w:val="22"/>
          <w:szCs w:val="18"/>
        </w:rPr>
      </w:pPr>
      <w:r w:rsidRPr="00DB1F22">
        <w:rPr>
          <w:rFonts w:eastAsia="Arial Unicode MS" w:cs="Tahoma"/>
          <w:kern w:val="22"/>
          <w:szCs w:val="18"/>
        </w:rPr>
        <w:t xml:space="preserve">Proportion resistant isolates by geographical region, in case of travel-associated infections </w:t>
      </w:r>
    </w:p>
    <w:p w14:paraId="7E7AF70B" w14:textId="77777777" w:rsidR="000C1690" w:rsidRDefault="000C1690" w:rsidP="000C1690">
      <w:pPr>
        <w:kinsoku w:val="0"/>
        <w:autoSpaceDE w:val="0"/>
        <w:autoSpaceDN w:val="0"/>
        <w:adjustRightInd w:val="0"/>
        <w:spacing w:line="200" w:lineRule="atLeast"/>
        <w:rPr>
          <w:rFonts w:eastAsia="Arial Unicode MS" w:cs="Tahoma"/>
          <w:kern w:val="22"/>
          <w:szCs w:val="18"/>
          <w:highlight w:val="yellow"/>
        </w:rPr>
      </w:pPr>
    </w:p>
    <w:p w14:paraId="4E645D74" w14:textId="77777777" w:rsidR="000C1690" w:rsidRDefault="000C1690" w:rsidP="000C1690">
      <w:pPr>
        <w:pStyle w:val="EC-Para"/>
        <w:jc w:val="both"/>
      </w:pPr>
      <w:r>
        <w:t>Indicators are displayed as “</w:t>
      </w:r>
      <w:r w:rsidRPr="00321372">
        <w:rPr>
          <w:rFonts w:eastAsiaTheme="minorHAnsi" w:cs="Tahoma"/>
          <w:b/>
          <w:lang w:eastAsia="en-US"/>
        </w:rPr>
        <w:t>–</w:t>
      </w:r>
      <w:r>
        <w:t xml:space="preserve">” and not calculated for when fewer than 10 isolates had been tested for the selected combination (e.g. </w:t>
      </w:r>
      <w:r>
        <w:rPr>
          <w:i/>
          <w:iCs/>
        </w:rPr>
        <w:t xml:space="preserve">Campylobacter </w:t>
      </w:r>
      <w:r w:rsidRPr="00172CF3">
        <w:t>specie</w:t>
      </w:r>
      <w:r>
        <w:t xml:space="preserve">, importation status and antimicrobial) and </w:t>
      </w:r>
      <w:proofErr w:type="gramStart"/>
      <w:r>
        <w:t>time period</w:t>
      </w:r>
      <w:proofErr w:type="gramEnd"/>
      <w:r>
        <w:t>.</w:t>
      </w:r>
    </w:p>
    <w:p w14:paraId="7B61F9BD" w14:textId="77777777" w:rsidR="000C1690" w:rsidRDefault="000C1690" w:rsidP="000C1690">
      <w:pPr>
        <w:pStyle w:val="ec-para0"/>
        <w:shd w:val="clear" w:color="auto" w:fill="FFFFFF"/>
        <w:spacing w:after="0"/>
        <w:jc w:val="both"/>
        <w:rPr>
          <w:rFonts w:ascii="Tahoma" w:eastAsia="Calibri" w:hAnsi="Tahoma" w:cs="Tahoma"/>
          <w:sz w:val="18"/>
          <w:szCs w:val="18"/>
          <w:lang w:eastAsia="en-US"/>
        </w:rPr>
      </w:pPr>
      <w:r w:rsidRPr="00572A82">
        <w:rPr>
          <w:rFonts w:ascii="Tahoma" w:eastAsia="Calibri" w:hAnsi="Tahoma" w:cs="Tahoma"/>
          <w:sz w:val="18"/>
          <w:szCs w:val="18"/>
          <w:lang w:eastAsia="en-US"/>
        </w:rPr>
        <w:t xml:space="preserve">Indicators by age group and gender are not displayed if more than 50% of cases have undocumented information (unknown or missing) for a given geographical resolution (e.g. country, EU/EEA) and </w:t>
      </w:r>
      <w:proofErr w:type="gramStart"/>
      <w:r w:rsidRPr="00572A82">
        <w:rPr>
          <w:rFonts w:ascii="Tahoma" w:eastAsia="Calibri" w:hAnsi="Tahoma" w:cs="Tahoma"/>
          <w:sz w:val="18"/>
          <w:szCs w:val="18"/>
          <w:lang w:eastAsia="en-US"/>
        </w:rPr>
        <w:t>time period</w:t>
      </w:r>
      <w:proofErr w:type="gramEnd"/>
      <w:r w:rsidRPr="00572A82">
        <w:rPr>
          <w:rFonts w:ascii="Tahoma" w:eastAsia="Calibri" w:hAnsi="Tahoma" w:cs="Tahoma"/>
          <w:sz w:val="18"/>
          <w:szCs w:val="18"/>
          <w:lang w:eastAsia="en-US"/>
        </w:rPr>
        <w:t>.</w:t>
      </w:r>
    </w:p>
    <w:p w14:paraId="78B6B640" w14:textId="77777777" w:rsidR="000C1690" w:rsidRDefault="000C1690" w:rsidP="000C1690">
      <w:pPr>
        <w:pStyle w:val="ec-para0"/>
        <w:shd w:val="clear" w:color="auto" w:fill="FFFFFF"/>
        <w:spacing w:after="0"/>
        <w:jc w:val="both"/>
        <w:rPr>
          <w:rFonts w:ascii="Tahoma" w:eastAsia="Calibri" w:hAnsi="Tahoma" w:cs="Tahoma"/>
          <w:sz w:val="18"/>
          <w:szCs w:val="18"/>
          <w:lang w:eastAsia="en-US"/>
        </w:rPr>
      </w:pPr>
    </w:p>
    <w:p w14:paraId="147AB95A" w14:textId="14D449C5" w:rsidR="000C1690" w:rsidRPr="00572A82" w:rsidRDefault="000C1690" w:rsidP="000C1690">
      <w:pPr>
        <w:pStyle w:val="ec-para0"/>
        <w:shd w:val="clear" w:color="auto" w:fill="FFFFFF"/>
        <w:spacing w:after="0"/>
        <w:jc w:val="both"/>
        <w:rPr>
          <w:rFonts w:ascii="Tahoma" w:eastAsia="Calibri" w:hAnsi="Tahoma" w:cs="Tahoma"/>
          <w:sz w:val="18"/>
          <w:szCs w:val="18"/>
          <w:lang w:eastAsia="en-US"/>
        </w:rPr>
      </w:pPr>
      <w:r w:rsidRPr="008D3596">
        <w:rPr>
          <w:rFonts w:ascii="Tahoma" w:eastAsia="Calibri" w:hAnsi="Tahoma" w:cs="Tahoma"/>
          <w:sz w:val="18"/>
          <w:szCs w:val="18"/>
          <w:lang w:eastAsia="en-US"/>
        </w:rPr>
        <w:t xml:space="preserve">The Surveillance Atlas indicators were calculated </w:t>
      </w:r>
      <w:r>
        <w:rPr>
          <w:rFonts w:ascii="Tahoma" w:eastAsia="Calibri" w:hAnsi="Tahoma" w:cs="Tahoma"/>
          <w:sz w:val="18"/>
          <w:szCs w:val="18"/>
          <w:lang w:eastAsia="en-US"/>
        </w:rPr>
        <w:t xml:space="preserve">from 2013 </w:t>
      </w:r>
      <w:r w:rsidRPr="008D3596">
        <w:rPr>
          <w:rFonts w:ascii="Tahoma" w:eastAsia="Calibri" w:hAnsi="Tahoma" w:cs="Tahoma"/>
          <w:sz w:val="18"/>
          <w:szCs w:val="18"/>
          <w:lang w:eastAsia="en-US"/>
        </w:rPr>
        <w:t>up to the end of 20</w:t>
      </w:r>
      <w:r>
        <w:rPr>
          <w:rFonts w:ascii="Tahoma" w:eastAsia="Calibri" w:hAnsi="Tahoma" w:cs="Tahoma"/>
          <w:sz w:val="18"/>
          <w:szCs w:val="18"/>
          <w:lang w:eastAsia="en-US"/>
        </w:rPr>
        <w:t>2</w:t>
      </w:r>
      <w:r w:rsidR="00B83F8E">
        <w:rPr>
          <w:rFonts w:ascii="Tahoma" w:eastAsia="Calibri" w:hAnsi="Tahoma" w:cs="Tahoma"/>
          <w:sz w:val="18"/>
          <w:szCs w:val="18"/>
          <w:lang w:eastAsia="en-US"/>
        </w:rPr>
        <w:t>2</w:t>
      </w:r>
      <w:r w:rsidRPr="008D3596">
        <w:rPr>
          <w:rFonts w:ascii="Tahoma" w:eastAsia="Calibri" w:hAnsi="Tahoma" w:cs="Tahoma"/>
          <w:sz w:val="18"/>
          <w:szCs w:val="18"/>
          <w:lang w:eastAsia="en-US"/>
        </w:rPr>
        <w:t>.</w:t>
      </w:r>
    </w:p>
    <w:p w14:paraId="15384AC1" w14:textId="77777777" w:rsidR="00452CE3" w:rsidRDefault="00452CE3" w:rsidP="000C1690">
      <w:pPr>
        <w:pStyle w:val="ec-para0"/>
        <w:shd w:val="clear" w:color="auto" w:fill="FFFFFF"/>
        <w:jc w:val="both"/>
        <w:rPr>
          <w:rFonts w:ascii="Tahoma" w:eastAsia="Arial Unicode MS" w:hAnsi="Tahoma" w:cs="Tahoma"/>
          <w:b/>
          <w:bCs/>
          <w:kern w:val="22"/>
          <w:sz w:val="18"/>
          <w:szCs w:val="18"/>
        </w:rPr>
      </w:pPr>
    </w:p>
    <w:p w14:paraId="0E000B24" w14:textId="6998C305" w:rsidR="000C1690" w:rsidRPr="00452CE3" w:rsidRDefault="000C1690" w:rsidP="00452CE3">
      <w:pPr>
        <w:pStyle w:val="ec-para0"/>
        <w:shd w:val="clear" w:color="auto" w:fill="FFFFFF"/>
        <w:spacing w:after="0"/>
        <w:jc w:val="both"/>
        <w:rPr>
          <w:rFonts w:eastAsia="Arial Unicode MS"/>
          <w:kern w:val="22"/>
          <w:sz w:val="18"/>
          <w:szCs w:val="18"/>
        </w:rPr>
      </w:pPr>
      <w:r w:rsidRPr="00452CE3">
        <w:rPr>
          <w:rFonts w:ascii="Tahoma" w:eastAsia="Arial Unicode MS" w:hAnsi="Tahoma" w:cs="Tahoma"/>
          <w:kern w:val="22"/>
          <w:sz w:val="18"/>
          <w:szCs w:val="18"/>
        </w:rPr>
        <w:t>Symbols used in the Surveillance Atlas table</w:t>
      </w:r>
      <w:r w:rsidR="00452CE3" w:rsidRPr="00452CE3">
        <w:rPr>
          <w:rFonts w:ascii="Tahoma" w:eastAsia="Arial Unicode MS" w:hAnsi="Tahoma" w:cs="Tahoma"/>
          <w:kern w:val="22"/>
          <w:sz w:val="18"/>
          <w:szCs w:val="18"/>
        </w:rPr>
        <w:t>:</w:t>
      </w:r>
    </w:p>
    <w:tbl>
      <w:tblPr>
        <w:tblStyle w:val="TableGrid"/>
        <w:tblW w:w="0" w:type="auto"/>
        <w:tblLook w:val="04A0" w:firstRow="1" w:lastRow="0" w:firstColumn="1" w:lastColumn="0" w:noHBand="0" w:noVBand="1"/>
      </w:tblPr>
      <w:tblGrid>
        <w:gridCol w:w="1101"/>
        <w:gridCol w:w="5103"/>
      </w:tblGrid>
      <w:tr w:rsidR="000C1690" w14:paraId="74758FE5" w14:textId="77777777" w:rsidTr="00034EC0">
        <w:tc>
          <w:tcPr>
            <w:tcW w:w="1101" w:type="dxa"/>
            <w:tcBorders>
              <w:top w:val="single" w:sz="4" w:space="0" w:color="000000"/>
              <w:left w:val="single" w:sz="4" w:space="0" w:color="000000"/>
              <w:bottom w:val="single" w:sz="4" w:space="0" w:color="000000"/>
              <w:right w:val="single" w:sz="4" w:space="0" w:color="000000"/>
            </w:tcBorders>
            <w:shd w:val="clear" w:color="auto" w:fill="69AE23"/>
            <w:hideMark/>
          </w:tcPr>
          <w:p w14:paraId="32B81B4D" w14:textId="77777777" w:rsidR="000C1690" w:rsidRPr="00C57199" w:rsidRDefault="000C1690" w:rsidP="00034EC0">
            <w:pPr>
              <w:pStyle w:val="EC-Para"/>
              <w:rPr>
                <w:b/>
                <w:bCs/>
                <w:color w:val="FFFFFF" w:themeColor="background1"/>
                <w:lang w:eastAsia="en-US"/>
              </w:rPr>
            </w:pPr>
            <w:r w:rsidRPr="00C57199">
              <w:rPr>
                <w:b/>
                <w:bCs/>
                <w:color w:val="FFFFFF" w:themeColor="background1"/>
                <w:lang w:eastAsia="en-US"/>
              </w:rPr>
              <w:t>Symbol</w:t>
            </w:r>
          </w:p>
        </w:tc>
        <w:tc>
          <w:tcPr>
            <w:tcW w:w="5103" w:type="dxa"/>
            <w:tcBorders>
              <w:top w:val="single" w:sz="4" w:space="0" w:color="000000"/>
              <w:left w:val="single" w:sz="4" w:space="0" w:color="000000"/>
              <w:bottom w:val="single" w:sz="4" w:space="0" w:color="000000"/>
              <w:right w:val="single" w:sz="4" w:space="0" w:color="000000"/>
            </w:tcBorders>
            <w:shd w:val="clear" w:color="auto" w:fill="69AE23"/>
            <w:hideMark/>
          </w:tcPr>
          <w:p w14:paraId="5BFC2DCA" w14:textId="77777777" w:rsidR="000C1690" w:rsidRPr="00C57199" w:rsidRDefault="000C1690" w:rsidP="00034EC0">
            <w:pPr>
              <w:pStyle w:val="EC-Para"/>
              <w:rPr>
                <w:b/>
                <w:bCs/>
                <w:color w:val="FFFFFF" w:themeColor="background1"/>
                <w:lang w:eastAsia="en-US"/>
              </w:rPr>
            </w:pPr>
            <w:r w:rsidRPr="00C57199">
              <w:rPr>
                <w:b/>
                <w:bCs/>
                <w:color w:val="FFFFFF" w:themeColor="background1"/>
                <w:lang w:eastAsia="en-US"/>
              </w:rPr>
              <w:t>Comment</w:t>
            </w:r>
          </w:p>
        </w:tc>
      </w:tr>
      <w:tr w:rsidR="000C1690" w14:paraId="3798DC88" w14:textId="77777777" w:rsidTr="00034EC0">
        <w:tc>
          <w:tcPr>
            <w:tcW w:w="1101" w:type="dxa"/>
            <w:tcBorders>
              <w:top w:val="single" w:sz="4" w:space="0" w:color="000000"/>
              <w:left w:val="single" w:sz="4" w:space="0" w:color="000000"/>
              <w:bottom w:val="single" w:sz="4" w:space="0" w:color="000000"/>
              <w:right w:val="single" w:sz="4" w:space="0" w:color="000000"/>
            </w:tcBorders>
            <w:hideMark/>
          </w:tcPr>
          <w:p w14:paraId="5D1E4B83" w14:textId="77777777" w:rsidR="000C1690" w:rsidRDefault="000C1690" w:rsidP="00034EC0">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6E43BC3A" w14:textId="77777777" w:rsidR="000C1690" w:rsidRDefault="000C1690" w:rsidP="00034EC0">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0C1690" w14:paraId="3602C94A" w14:textId="77777777" w:rsidTr="00034EC0">
        <w:tc>
          <w:tcPr>
            <w:tcW w:w="1101" w:type="dxa"/>
            <w:tcBorders>
              <w:top w:val="single" w:sz="4" w:space="0" w:color="000000"/>
              <w:left w:val="single" w:sz="4" w:space="0" w:color="000000"/>
              <w:bottom w:val="single" w:sz="4" w:space="0" w:color="000000"/>
              <w:right w:val="single" w:sz="4" w:space="0" w:color="000000"/>
            </w:tcBorders>
            <w:hideMark/>
          </w:tcPr>
          <w:p w14:paraId="7E5110C3" w14:textId="77777777" w:rsidR="000C1690" w:rsidRDefault="000C1690" w:rsidP="00034EC0">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06FD145C" w14:textId="77777777" w:rsidR="000C1690" w:rsidRDefault="000C1690" w:rsidP="00034EC0">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23F0FABE" w14:textId="77777777" w:rsidR="000C1690" w:rsidRDefault="000C1690" w:rsidP="000C1690">
      <w:pPr>
        <w:pStyle w:val="EC-Para"/>
        <w:rPr>
          <w:lang w:eastAsia="en-US"/>
        </w:rPr>
      </w:pPr>
    </w:p>
    <w:p w14:paraId="6ED02336" w14:textId="77777777" w:rsidR="000C1690" w:rsidRPr="005E0D54" w:rsidRDefault="000C1690" w:rsidP="00660148">
      <w:pPr>
        <w:pStyle w:val="EC-Title-6"/>
      </w:pPr>
      <w:bookmarkStart w:id="24" w:name="_Toc99028489"/>
      <w:r w:rsidRPr="00660148">
        <w:t>Interpretation</w:t>
      </w:r>
      <w:bookmarkEnd w:id="24"/>
      <w:r w:rsidRPr="005E0D54">
        <w:t xml:space="preserve"> </w:t>
      </w:r>
    </w:p>
    <w:p w14:paraId="41E3C6CD" w14:textId="77777777" w:rsidR="000C1690" w:rsidRDefault="000C1690" w:rsidP="000C1690">
      <w:pPr>
        <w:pStyle w:val="EC-Para"/>
        <w:jc w:val="both"/>
        <w:rPr>
          <w:rFonts w:cs="Tahoma"/>
          <w:lang w:eastAsia="en-US"/>
        </w:rPr>
      </w:pPr>
      <w:r w:rsidRPr="00D45E3C">
        <w:rPr>
          <w:rFonts w:eastAsiaTheme="minorHAnsi" w:cs="Tahoma"/>
          <w:lang w:eastAsia="en-US"/>
        </w:rPr>
        <w:t xml:space="preserve">The </w:t>
      </w:r>
      <w:r>
        <w:rPr>
          <w:rFonts w:eastAsiaTheme="minorHAnsi" w:cs="Tahoma"/>
          <w:lang w:eastAsia="en-US"/>
        </w:rPr>
        <w:t>data</w:t>
      </w:r>
      <w:r w:rsidRPr="00D45E3C">
        <w:rPr>
          <w:rFonts w:eastAsiaTheme="minorHAnsi" w:cs="Tahoma"/>
          <w:lang w:eastAsia="en-US"/>
        </w:rPr>
        <w:t xml:space="preserve">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w:t>
      </w:r>
      <w:r w:rsidRPr="00D45E3C">
        <w:rPr>
          <w:rFonts w:cs="Tahoma"/>
        </w:rPr>
        <w:t xml:space="preserve"> </w:t>
      </w:r>
      <w:r>
        <w:rPr>
          <w:rFonts w:cs="Tahoma"/>
        </w:rPr>
        <w:t xml:space="preserve">and so does </w:t>
      </w:r>
      <w:r w:rsidRPr="00C845AB">
        <w:rPr>
          <w:rFonts w:cs="Tahoma"/>
          <w:lang w:eastAsia="en-US"/>
        </w:rPr>
        <w:t xml:space="preserve">case under-ascertainment </w:t>
      </w:r>
      <w:r>
        <w:rPr>
          <w:rFonts w:cs="Tahoma"/>
          <w:lang w:eastAsia="en-US"/>
        </w:rPr>
        <w:t xml:space="preserve">and under-reporting </w:t>
      </w:r>
      <w:r w:rsidRPr="00C845AB">
        <w:rPr>
          <w:rFonts w:cs="Tahoma"/>
          <w:lang w:eastAsia="en-US"/>
        </w:rPr>
        <w:t>between countries</w:t>
      </w:r>
      <w:r>
        <w:rPr>
          <w:rFonts w:cs="Tahoma"/>
          <w:lang w:eastAsia="en-US"/>
        </w:rPr>
        <w:t xml:space="preserve">. </w:t>
      </w:r>
    </w:p>
    <w:p w14:paraId="5A4E8DCC" w14:textId="77777777" w:rsidR="000C1690" w:rsidRDefault="000C1690" w:rsidP="000C1690">
      <w:pPr>
        <w:pStyle w:val="EC-Para"/>
        <w:jc w:val="both"/>
      </w:pPr>
      <w:r w:rsidRPr="002B6A09">
        <w:t xml:space="preserve">All data </w:t>
      </w:r>
      <w:r>
        <w:t xml:space="preserve">provided as </w:t>
      </w:r>
      <w:r w:rsidRPr="002B6A09">
        <w:t xml:space="preserve">measured MIC or zone mm values were results of </w:t>
      </w:r>
      <w:r>
        <w:t xml:space="preserve">antimicrobial susceptibility testing </w:t>
      </w:r>
      <w:r w:rsidRPr="002B6A09">
        <w:t xml:space="preserve">at the </w:t>
      </w:r>
      <w:r w:rsidRPr="004315FF">
        <w:t>NPHRLs</w:t>
      </w:r>
      <w:r w:rsidRPr="002B6A09">
        <w:t xml:space="preserve">, </w:t>
      </w:r>
      <w:proofErr w:type="gramStart"/>
      <w:r w:rsidRPr="002B6A09">
        <w:t xml:space="preserve">with the </w:t>
      </w:r>
      <w:r w:rsidRPr="00172CF3">
        <w:t>exception of</w:t>
      </w:r>
      <w:proofErr w:type="gramEnd"/>
      <w:r w:rsidRPr="00172CF3">
        <w:t xml:space="preserve"> Finland where the quantitative data had been collected from regional laboratories.</w:t>
      </w:r>
      <w:r w:rsidRPr="002B6A09">
        <w:t xml:space="preserve"> </w:t>
      </w:r>
      <w:r>
        <w:t xml:space="preserve">The NPHRLs participate in external quality assessments arranged by ECDC to maintain a high data quality. The submission of isolates to the NPHRLs however vary by country – in some countries, most </w:t>
      </w:r>
      <w:r>
        <w:rPr>
          <w:i/>
          <w:iCs/>
        </w:rPr>
        <w:t>Campylobacter</w:t>
      </w:r>
      <w:r>
        <w:t xml:space="preserve"> isolated from human infections are sent to the NPHRL while in others, isolates may be sent only when further typing is deemed necessary, in outbreak situations or is focused on specific serotypes. </w:t>
      </w:r>
      <w:r w:rsidRPr="002B6A09">
        <w:t xml:space="preserve">Data interpreted with clinical breakpoints </w:t>
      </w:r>
      <w:r>
        <w:t>are</w:t>
      </w:r>
      <w:r w:rsidRPr="002B6A09">
        <w:t xml:space="preserve"> normally from local or regional laboratories and reported together with the information on the clinical case. In these cases, </w:t>
      </w:r>
      <w:r>
        <w:t xml:space="preserve">the antimicrobial susceptibility testing </w:t>
      </w:r>
      <w:r w:rsidRPr="002B6A09">
        <w:t>ha</w:t>
      </w:r>
      <w:r>
        <w:t>s</w:t>
      </w:r>
      <w:r w:rsidRPr="002B6A09">
        <w:t xml:space="preserve"> primarily been performed with the purpose of treatment of the case rather than AMR monitoring. For this reason, the number of tests per antimicrobial varie</w:t>
      </w:r>
      <w:r>
        <w:t>s</w:t>
      </w:r>
      <w:r w:rsidRPr="002B6A09">
        <w:t>.</w:t>
      </w:r>
    </w:p>
    <w:p w14:paraId="12A2B775" w14:textId="77777777" w:rsidR="000C1690" w:rsidRPr="007035BD" w:rsidRDefault="000C1690" w:rsidP="000C1690">
      <w:pPr>
        <w:pStyle w:val="TextText"/>
        <w:spacing w:before="0" w:after="120" w:line="240" w:lineRule="auto"/>
        <w:rPr>
          <w:rFonts w:ascii="Tahoma" w:eastAsia="Arial Unicode MS" w:hAnsi="Tahoma" w:cs="Times New Roman"/>
          <w:color w:val="auto"/>
          <w:kern w:val="22"/>
          <w:sz w:val="18"/>
          <w:szCs w:val="18"/>
          <w:lang w:eastAsia="ko-KR"/>
        </w:rPr>
      </w:pPr>
      <w:r w:rsidRPr="007035BD">
        <w:rPr>
          <w:rFonts w:ascii="Tahoma" w:eastAsia="Arial Unicode MS" w:hAnsi="Tahoma" w:cs="Times New Roman"/>
          <w:color w:val="auto"/>
          <w:kern w:val="22"/>
          <w:sz w:val="18"/>
          <w:szCs w:val="18"/>
          <w:lang w:eastAsia="ko-KR"/>
        </w:rPr>
        <w:t xml:space="preserve">The guidelines for clinical breakpoints vary among countries in Europe, and in some instances even between laboratories in the same country. By now, most European laboratories have changed to EUCAST clinical guidelines. As a result, the interpretation of results may </w:t>
      </w:r>
      <w:r>
        <w:rPr>
          <w:rFonts w:ascii="Tahoma" w:eastAsia="Arial Unicode MS" w:hAnsi="Tahoma" w:cs="Times New Roman"/>
          <w:color w:val="auto"/>
          <w:kern w:val="22"/>
          <w:sz w:val="18"/>
          <w:szCs w:val="18"/>
          <w:lang w:eastAsia="ko-KR"/>
        </w:rPr>
        <w:t xml:space="preserve">have </w:t>
      </w:r>
      <w:r w:rsidRPr="007035BD">
        <w:rPr>
          <w:rFonts w:ascii="Tahoma" w:eastAsia="Arial Unicode MS" w:hAnsi="Tahoma" w:cs="Times New Roman"/>
          <w:color w:val="auto"/>
          <w:kern w:val="22"/>
          <w:sz w:val="18"/>
          <w:szCs w:val="18"/>
          <w:lang w:eastAsia="ko-KR"/>
        </w:rPr>
        <w:t>change</w:t>
      </w:r>
      <w:r>
        <w:rPr>
          <w:rFonts w:ascii="Tahoma" w:eastAsia="Arial Unicode MS" w:hAnsi="Tahoma" w:cs="Times New Roman"/>
          <w:color w:val="auto"/>
          <w:kern w:val="22"/>
          <w:sz w:val="18"/>
          <w:szCs w:val="18"/>
          <w:lang w:eastAsia="ko-KR"/>
        </w:rPr>
        <w:t>d</w:t>
      </w:r>
      <w:r w:rsidRPr="007035BD">
        <w:rPr>
          <w:rFonts w:ascii="Tahoma" w:eastAsia="Arial Unicode MS" w:hAnsi="Tahoma" w:cs="Times New Roman"/>
          <w:color w:val="auto"/>
          <w:kern w:val="22"/>
          <w:sz w:val="18"/>
          <w:szCs w:val="18"/>
          <w:lang w:eastAsia="ko-KR"/>
        </w:rPr>
        <w:t xml:space="preserve"> over time. In addition, clinical breakpoints may change over time, as breakpoints may be revised. </w:t>
      </w:r>
      <w:r>
        <w:rPr>
          <w:rFonts w:ascii="Tahoma" w:eastAsia="Arial Unicode MS" w:hAnsi="Tahoma" w:cs="Times New Roman"/>
          <w:color w:val="auto"/>
          <w:kern w:val="22"/>
          <w:sz w:val="18"/>
          <w:szCs w:val="18"/>
          <w:lang w:eastAsia="ko-KR"/>
        </w:rPr>
        <w:t xml:space="preserve">For information on the test method and criteria used by country, see the </w:t>
      </w:r>
      <w:r>
        <w:rPr>
          <w:rFonts w:ascii="Tahoma" w:eastAsia="Arial Unicode MS" w:hAnsi="Tahoma" w:cs="Times New Roman"/>
          <w:color w:val="auto"/>
          <w:kern w:val="22"/>
          <w:sz w:val="18"/>
          <w:szCs w:val="18"/>
          <w:lang w:eastAsia="ko-KR"/>
        </w:rPr>
        <w:lastRenderedPageBreak/>
        <w:t xml:space="preserve">Materials and methods section in the respective EFSA-ECDC AMR report for the year in question. </w:t>
      </w:r>
      <w:r w:rsidRPr="007035BD">
        <w:rPr>
          <w:rFonts w:ascii="Tahoma" w:eastAsia="Arial Unicode MS" w:hAnsi="Tahoma" w:cs="Times New Roman"/>
          <w:color w:val="auto"/>
          <w:kern w:val="22"/>
          <w:sz w:val="18"/>
          <w:szCs w:val="18"/>
          <w:lang w:eastAsia="ko-KR"/>
        </w:rPr>
        <w:t xml:space="preserve">For data submitted as quantitative values, the current breakpoints are applied also to historical data. </w:t>
      </w:r>
    </w:p>
    <w:p w14:paraId="0764D002" w14:textId="77777777" w:rsidR="000C1690" w:rsidRDefault="000C1690" w:rsidP="000C1690">
      <w:pPr>
        <w:pStyle w:val="EC-Para"/>
        <w:jc w:val="both"/>
      </w:pPr>
      <w:r w:rsidRPr="009C0EDC">
        <w:rPr>
          <w:rFonts w:cs="Tahoma"/>
          <w:lang w:eastAsia="en-US"/>
        </w:rPr>
        <w:t xml:space="preserve">The completeness of the travel history varies between countries and years; some countries </w:t>
      </w:r>
      <w:proofErr w:type="gramStart"/>
      <w:r w:rsidRPr="009C0EDC">
        <w:rPr>
          <w:rFonts w:cs="Tahoma"/>
          <w:lang w:eastAsia="en-US"/>
        </w:rPr>
        <w:t>are able to</w:t>
      </w:r>
      <w:proofErr w:type="gramEnd"/>
      <w:r w:rsidRPr="009C0EDC">
        <w:rPr>
          <w:rFonts w:cs="Tahoma"/>
          <w:lang w:eastAsia="en-US"/>
        </w:rPr>
        <w:t xml:space="preserve"> collect and integrate this type of information from different sources, other countries are not. </w:t>
      </w:r>
      <w:r>
        <w:rPr>
          <w:rFonts w:cs="Tahoma"/>
          <w:lang w:eastAsia="en-US"/>
        </w:rPr>
        <w:t xml:space="preserve">For </w:t>
      </w:r>
      <w:r>
        <w:rPr>
          <w:rFonts w:cs="Tahoma"/>
          <w:i/>
          <w:iCs/>
          <w:lang w:eastAsia="en-US"/>
        </w:rPr>
        <w:t>Campylobacter</w:t>
      </w:r>
      <w:r>
        <w:rPr>
          <w:rFonts w:cs="Tahoma"/>
          <w:lang w:eastAsia="en-US"/>
        </w:rPr>
        <w:t xml:space="preserve"> AMR data, i</w:t>
      </w:r>
      <w:r w:rsidRPr="009C0EDC">
        <w:rPr>
          <w:rFonts w:cs="Tahoma"/>
          <w:lang w:eastAsia="en-US"/>
        </w:rPr>
        <w:t xml:space="preserve">nformation on travel status is </w:t>
      </w:r>
      <w:r>
        <w:rPr>
          <w:rFonts w:cs="Tahoma"/>
          <w:lang w:eastAsia="en-US"/>
        </w:rPr>
        <w:t>lacking</w:t>
      </w:r>
      <w:r w:rsidRPr="009C0EDC">
        <w:rPr>
          <w:rFonts w:cs="Tahoma"/>
          <w:lang w:eastAsia="en-US"/>
        </w:rPr>
        <w:t xml:space="preserve"> from many countries</w:t>
      </w:r>
      <w:r>
        <w:rPr>
          <w:rFonts w:cs="Tahoma"/>
          <w:lang w:eastAsia="en-US"/>
        </w:rPr>
        <w:t>. F</w:t>
      </w:r>
      <w:r w:rsidRPr="009C0EDC">
        <w:rPr>
          <w:rFonts w:cs="Tahoma"/>
          <w:lang w:eastAsia="en-US"/>
        </w:rPr>
        <w:t xml:space="preserve">or that reason, </w:t>
      </w:r>
      <w:r>
        <w:rPr>
          <w:rFonts w:cs="Tahoma"/>
          <w:lang w:eastAsia="en-US"/>
        </w:rPr>
        <w:t>the category ‘</w:t>
      </w:r>
      <w:r w:rsidRPr="009C0EDC">
        <w:rPr>
          <w:rFonts w:cs="Tahoma"/>
          <w:lang w:eastAsia="en-US"/>
        </w:rPr>
        <w:t>domestic or unknown</w:t>
      </w:r>
      <w:r>
        <w:rPr>
          <w:rFonts w:cs="Tahoma"/>
          <w:lang w:eastAsia="en-US"/>
        </w:rPr>
        <w:t xml:space="preserve">’ can be selected </w:t>
      </w:r>
      <w:r w:rsidRPr="009C0EDC">
        <w:rPr>
          <w:rFonts w:cs="Tahoma"/>
          <w:lang w:eastAsia="en-US"/>
        </w:rPr>
        <w:t>as it is anticipated that</w:t>
      </w:r>
      <w:r>
        <w:rPr>
          <w:rFonts w:cs="Tahoma"/>
          <w:lang w:eastAsia="en-US"/>
        </w:rPr>
        <w:t xml:space="preserve"> a</w:t>
      </w:r>
      <w:r w:rsidRPr="009C0EDC">
        <w:rPr>
          <w:rFonts w:cs="Tahoma"/>
          <w:lang w:eastAsia="en-US"/>
        </w:rPr>
        <w:t xml:space="preserve"> </w:t>
      </w:r>
      <w:r>
        <w:rPr>
          <w:rFonts w:cs="Tahoma"/>
          <w:lang w:eastAsia="en-US"/>
        </w:rPr>
        <w:t xml:space="preserve">missing value is more likely to represent no travel as travel-related infections are more likely to be notified as such by the doctor.  </w:t>
      </w:r>
      <w:r w:rsidRPr="007035BD">
        <w:t xml:space="preserve"> </w:t>
      </w:r>
    </w:p>
    <w:p w14:paraId="418CA1A9" w14:textId="0D598F45" w:rsidR="000C1690" w:rsidRDefault="000C1690" w:rsidP="000C1690">
      <w:pPr>
        <w:pStyle w:val="EFSABodytext"/>
        <w:rPr>
          <w:color w:val="000000" w:themeColor="text1"/>
          <w:sz w:val="18"/>
          <w:szCs w:val="18"/>
        </w:rPr>
      </w:pPr>
      <w:r>
        <w:rPr>
          <w:sz w:val="18"/>
          <w:szCs w:val="18"/>
          <w:lang w:eastAsia="fr-FR"/>
        </w:rPr>
        <w:t>For</w:t>
      </w:r>
      <w:r w:rsidRPr="00AB5DEE">
        <w:rPr>
          <w:sz w:val="18"/>
          <w:szCs w:val="18"/>
          <w:lang w:eastAsia="fr-FR"/>
        </w:rPr>
        <w:t xml:space="preserve"> 202</w:t>
      </w:r>
      <w:r w:rsidR="00F71461">
        <w:rPr>
          <w:sz w:val="18"/>
          <w:szCs w:val="18"/>
          <w:lang w:eastAsia="fr-FR"/>
        </w:rPr>
        <w:t>2</w:t>
      </w:r>
      <w:r w:rsidRPr="00AB5DEE">
        <w:rPr>
          <w:sz w:val="18"/>
          <w:szCs w:val="18"/>
          <w:lang w:eastAsia="fr-FR"/>
        </w:rPr>
        <w:t xml:space="preserve">, information on AMR in </w:t>
      </w:r>
      <w:r w:rsidRPr="00AB5DEE">
        <w:rPr>
          <w:i/>
          <w:sz w:val="18"/>
          <w:szCs w:val="18"/>
          <w:lang w:eastAsia="fr-FR"/>
        </w:rPr>
        <w:t>Campylobacter</w:t>
      </w:r>
      <w:r w:rsidRPr="00AB5DEE">
        <w:rPr>
          <w:sz w:val="18"/>
          <w:szCs w:val="18"/>
          <w:lang w:eastAsia="fr-FR"/>
        </w:rPr>
        <w:t xml:space="preserve"> isolates from human clinical cases was reported by </w:t>
      </w:r>
      <w:r w:rsidR="00BF55D4">
        <w:rPr>
          <w:sz w:val="18"/>
          <w:szCs w:val="18"/>
          <w:lang w:eastAsia="fr-FR"/>
        </w:rPr>
        <w:t>24</w:t>
      </w:r>
      <w:r>
        <w:rPr>
          <w:sz w:val="18"/>
          <w:szCs w:val="18"/>
          <w:lang w:eastAsia="fr-FR"/>
        </w:rPr>
        <w:t xml:space="preserve"> EU/EEA countries</w:t>
      </w:r>
      <w:r w:rsidRPr="00AB5DEE">
        <w:rPr>
          <w:sz w:val="18"/>
          <w:szCs w:val="18"/>
          <w:lang w:eastAsia="fr-FR"/>
        </w:rPr>
        <w:t xml:space="preserve">. </w:t>
      </w:r>
      <w:r w:rsidR="0078466D" w:rsidRPr="0069116D">
        <w:rPr>
          <w:sz w:val="18"/>
          <w:szCs w:val="18"/>
          <w:lang w:eastAsia="fr-FR"/>
        </w:rPr>
        <w:t>No data w</w:t>
      </w:r>
      <w:r w:rsidR="0078466D">
        <w:rPr>
          <w:sz w:val="18"/>
          <w:szCs w:val="18"/>
          <w:lang w:eastAsia="fr-FR"/>
        </w:rPr>
        <w:t>ere</w:t>
      </w:r>
      <w:r w:rsidR="0078466D" w:rsidRPr="0069116D">
        <w:rPr>
          <w:sz w:val="18"/>
          <w:szCs w:val="18"/>
          <w:lang w:eastAsia="fr-FR"/>
        </w:rPr>
        <w:t xml:space="preserve"> reported by the United Kingdom </w:t>
      </w:r>
      <w:r w:rsidR="003548E7">
        <w:rPr>
          <w:sz w:val="18"/>
          <w:szCs w:val="18"/>
          <w:lang w:eastAsia="fr-FR"/>
        </w:rPr>
        <w:t xml:space="preserve">from 2020 data onwards </w:t>
      </w:r>
      <w:r w:rsidR="0078466D" w:rsidRPr="0069116D">
        <w:rPr>
          <w:sz w:val="18"/>
          <w:szCs w:val="18"/>
          <w:lang w:eastAsia="fr-FR"/>
        </w:rPr>
        <w:t>due to its withdrawal from the EU on 30 January 2020</w:t>
      </w:r>
      <w:r w:rsidR="0078466D">
        <w:rPr>
          <w:sz w:val="18"/>
          <w:szCs w:val="18"/>
          <w:lang w:eastAsia="fr-FR"/>
        </w:rPr>
        <w:t>.</w:t>
      </w:r>
      <w:r w:rsidRPr="00AB5DEE">
        <w:rPr>
          <w:sz w:val="18"/>
          <w:szCs w:val="18"/>
          <w:lang w:eastAsia="fr-FR"/>
        </w:rPr>
        <w:t xml:space="preserve"> </w:t>
      </w:r>
      <w:r w:rsidRPr="00AB5DEE">
        <w:rPr>
          <w:color w:val="000000" w:themeColor="text1"/>
          <w:sz w:val="18"/>
          <w:szCs w:val="18"/>
        </w:rPr>
        <w:t xml:space="preserve"> </w:t>
      </w:r>
    </w:p>
    <w:p w14:paraId="048F9219" w14:textId="77777777" w:rsidR="00452CE3" w:rsidRPr="00AB5DEE" w:rsidRDefault="00452CE3" w:rsidP="000C1690">
      <w:pPr>
        <w:pStyle w:val="EFSABodytext"/>
        <w:rPr>
          <w:rFonts w:eastAsia="SimSun"/>
          <w:sz w:val="18"/>
          <w:szCs w:val="18"/>
          <w:lang w:val="en-US"/>
        </w:rPr>
      </w:pPr>
    </w:p>
    <w:p w14:paraId="4B22AE6E" w14:textId="77777777" w:rsidR="000C1690" w:rsidRDefault="000C1690" w:rsidP="000C1690">
      <w:pPr>
        <w:pStyle w:val="EC-Title-6"/>
      </w:pPr>
      <w:bookmarkStart w:id="25" w:name="_Toc99028490"/>
      <w:r w:rsidRPr="005E0D54">
        <w:t>Reports published by ECDC on Campylobacter AMR</w:t>
      </w:r>
      <w:bookmarkEnd w:id="25"/>
      <w:r w:rsidRPr="005E0D54">
        <w:t xml:space="preserve"> </w:t>
      </w:r>
    </w:p>
    <w:p w14:paraId="46C02866" w14:textId="77777777" w:rsidR="009D4D86" w:rsidRDefault="009D4D86" w:rsidP="009D4D86">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1CE92A41" w14:textId="780ED4A1" w:rsidR="00D7770C" w:rsidRPr="003548E7" w:rsidRDefault="00D7770C" w:rsidP="00D7770C">
      <w:pPr>
        <w:pStyle w:val="EC-Para"/>
        <w:spacing w:after="0"/>
        <w:rPr>
          <w:b/>
          <w:bCs/>
        </w:rPr>
      </w:pPr>
      <w:r w:rsidRPr="003548E7">
        <w:rPr>
          <w:b/>
          <w:bCs/>
        </w:rPr>
        <w:t>Annual Epidemiological Report</w:t>
      </w:r>
      <w:r>
        <w:rPr>
          <w:b/>
          <w:bCs/>
        </w:rPr>
        <w:t xml:space="preserve"> </w:t>
      </w:r>
      <w:r w:rsidR="00A93D07">
        <w:rPr>
          <w:b/>
          <w:bCs/>
        </w:rPr>
        <w:t xml:space="preserve">for 2022 - </w:t>
      </w:r>
      <w:r w:rsidR="00A93D07" w:rsidRPr="003548E7">
        <w:rPr>
          <w:b/>
          <w:bCs/>
        </w:rPr>
        <w:t>Campylobacteriosis</w:t>
      </w:r>
      <w:r w:rsidRPr="003548E7">
        <w:rPr>
          <w:b/>
          <w:bCs/>
        </w:rPr>
        <w:t>:</w:t>
      </w:r>
    </w:p>
    <w:p w14:paraId="3806CFF0" w14:textId="77777777" w:rsidR="00D7770C" w:rsidRPr="00452CE3" w:rsidRDefault="00000000" w:rsidP="00D7770C">
      <w:pPr>
        <w:pStyle w:val="EC-Para"/>
        <w:rPr>
          <w:rFonts w:cs="Tahoma"/>
        </w:rPr>
      </w:pPr>
      <w:hyperlink r:id="rId26" w:history="1">
        <w:r w:rsidR="00D7770C" w:rsidRPr="00657007">
          <w:rPr>
            <w:rStyle w:val="Hyperlink"/>
            <w:sz w:val="18"/>
          </w:rPr>
          <w:t>https://www.ecdc.europa.eu/en/publications-data/campylobacteriosis-annual-epidemiological-report-2022</w:t>
        </w:r>
      </w:hyperlink>
      <w:r w:rsidR="00D7770C">
        <w:t xml:space="preserve">  </w:t>
      </w:r>
      <w:r w:rsidR="00D7770C" w:rsidRPr="00452CE3">
        <w:rPr>
          <w:rFonts w:cs="Tahoma"/>
        </w:rPr>
        <w:t xml:space="preserve">  </w:t>
      </w:r>
    </w:p>
    <w:p w14:paraId="54DA9CBB" w14:textId="633DE040" w:rsidR="009D4D86" w:rsidRPr="00452CE3" w:rsidRDefault="009D4D86" w:rsidP="009D4D86">
      <w:pPr>
        <w:pStyle w:val="EC-Para"/>
        <w:spacing w:after="0"/>
        <w:rPr>
          <w:rFonts w:cs="Tahoma"/>
          <w:b/>
        </w:rPr>
      </w:pPr>
      <w:r w:rsidRPr="00452CE3">
        <w:rPr>
          <w:rFonts w:cs="Tahoma"/>
          <w:b/>
        </w:rPr>
        <w:t>EFSA and ECDC, 202</w:t>
      </w:r>
      <w:r w:rsidR="0091638A">
        <w:rPr>
          <w:rFonts w:cs="Tahoma"/>
          <w:b/>
        </w:rPr>
        <w:t>3</w:t>
      </w:r>
      <w:r w:rsidRPr="00452CE3">
        <w:rPr>
          <w:rFonts w:cs="Tahoma"/>
          <w:b/>
        </w:rPr>
        <w:t>. The European Union Summary Report on Antimicrobial Resistance in zoonotic and indicator bacteria from humans, animals and food in 20</w:t>
      </w:r>
      <w:r w:rsidR="0091638A">
        <w:rPr>
          <w:rFonts w:cs="Tahoma"/>
          <w:b/>
        </w:rPr>
        <w:t>20</w:t>
      </w:r>
      <w:r w:rsidRPr="00452CE3">
        <w:rPr>
          <w:rFonts w:cs="Tahoma"/>
          <w:b/>
        </w:rPr>
        <w:t>/20</w:t>
      </w:r>
      <w:r w:rsidR="003548E7">
        <w:rPr>
          <w:rFonts w:cs="Tahoma"/>
          <w:b/>
        </w:rPr>
        <w:t>21</w:t>
      </w:r>
      <w:r w:rsidR="00D7770C">
        <w:rPr>
          <w:rFonts w:cs="Tahoma"/>
          <w:b/>
        </w:rPr>
        <w:t xml:space="preserve"> (March 2023)</w:t>
      </w:r>
      <w:r w:rsidRPr="00452CE3">
        <w:rPr>
          <w:rFonts w:cs="Tahoma"/>
          <w:b/>
        </w:rPr>
        <w:t>:</w:t>
      </w:r>
    </w:p>
    <w:p w14:paraId="0DB6B880" w14:textId="77777777" w:rsidR="003548E7" w:rsidRDefault="00000000" w:rsidP="009D4D86">
      <w:pPr>
        <w:pStyle w:val="EC-Para"/>
        <w:rPr>
          <w:rStyle w:val="Hyperlink"/>
          <w:sz w:val="18"/>
        </w:rPr>
      </w:pPr>
      <w:hyperlink r:id="rId27" w:history="1">
        <w:r w:rsidR="0091638A" w:rsidRPr="00322E89">
          <w:rPr>
            <w:rStyle w:val="Hyperlink"/>
            <w:sz w:val="18"/>
          </w:rPr>
          <w:t>https://www.ecdc.europa.eu/en/publications-data/european-union-summary-report-antimicrobial-resistance-zoonotic-and-indicator-7</w:t>
        </w:r>
      </w:hyperlink>
    </w:p>
    <w:p w14:paraId="758E9E56" w14:textId="77777777" w:rsidR="009D4D86" w:rsidRPr="00452CE3" w:rsidRDefault="009D4D86" w:rsidP="009D4D86">
      <w:pPr>
        <w:pStyle w:val="EC-Para"/>
        <w:spacing w:after="0"/>
        <w:rPr>
          <w:rFonts w:cs="Tahoma"/>
          <w:b/>
        </w:rPr>
      </w:pPr>
      <w:r w:rsidRPr="00452CE3">
        <w:rPr>
          <w:rFonts w:cs="Tahoma"/>
          <w:b/>
        </w:rPr>
        <w:t xml:space="preserve">Fourth external quality assessment on species identification and antimicrobial susceptibility testing of </w:t>
      </w:r>
      <w:r w:rsidRPr="00452CE3">
        <w:rPr>
          <w:rFonts w:cs="Tahoma"/>
          <w:b/>
          <w:i/>
          <w:iCs/>
        </w:rPr>
        <w:t>Campylobacter</w:t>
      </w:r>
      <w:r w:rsidRPr="00452CE3">
        <w:rPr>
          <w:rFonts w:cs="Tahoma"/>
          <w:b/>
        </w:rPr>
        <w:t>, 2018</w:t>
      </w:r>
    </w:p>
    <w:p w14:paraId="7B5D43BF" w14:textId="77777777" w:rsidR="009D4D86" w:rsidRDefault="00000000" w:rsidP="009D4D86">
      <w:pPr>
        <w:pStyle w:val="Default"/>
        <w:jc w:val="both"/>
        <w:rPr>
          <w:rStyle w:val="Hyperlink"/>
          <w:rFonts w:cs="Tahoma"/>
          <w:bCs/>
          <w:sz w:val="18"/>
          <w:szCs w:val="18"/>
        </w:rPr>
      </w:pPr>
      <w:hyperlink r:id="rId28" w:history="1">
        <w:r w:rsidR="009D4D86" w:rsidRPr="00E54F51">
          <w:rPr>
            <w:rStyle w:val="Hyperlink"/>
            <w:rFonts w:cs="Tahoma"/>
            <w:bCs/>
            <w:sz w:val="18"/>
            <w:szCs w:val="18"/>
          </w:rPr>
          <w:t>https://www.ecdc.europa.eu/sites/default/files/documents/fourth-campylobacter-external-quality-ssessment.pdf</w:t>
        </w:r>
      </w:hyperlink>
    </w:p>
    <w:p w14:paraId="7B660957" w14:textId="77777777" w:rsidR="009D4D86" w:rsidRDefault="009D4D86" w:rsidP="009D4D86">
      <w:pPr>
        <w:pStyle w:val="EC-Para"/>
        <w:rPr>
          <w:lang w:eastAsia="en-US"/>
        </w:rPr>
      </w:pPr>
    </w:p>
    <w:p w14:paraId="4BC764E9" w14:textId="77777777" w:rsidR="002E7007" w:rsidRDefault="002E7007">
      <w:pPr>
        <w:rPr>
          <w:rFonts w:eastAsia="Batang" w:cs="Times New Roman"/>
          <w:b/>
          <w:bCs/>
          <w:color w:val="69AE23"/>
          <w:sz w:val="26"/>
          <w:szCs w:val="26"/>
        </w:rPr>
      </w:pPr>
      <w:bookmarkStart w:id="26" w:name="_Toc99028491"/>
      <w:r>
        <w:br w:type="page"/>
      </w:r>
    </w:p>
    <w:p w14:paraId="401C2DEE" w14:textId="23394EB2" w:rsidR="009D4D86" w:rsidRPr="005E0D54" w:rsidRDefault="009D4D86" w:rsidP="009D4D86">
      <w:pPr>
        <w:pStyle w:val="EC-Title-6"/>
        <w:spacing w:before="0" w:after="0"/>
      </w:pPr>
      <w:r w:rsidRPr="005E0D54">
        <w:lastRenderedPageBreak/>
        <w:t>Annex</w:t>
      </w:r>
      <w:r>
        <w:t xml:space="preserve"> </w:t>
      </w:r>
      <w:r w:rsidRPr="005E0D54">
        <w:t>1. Campylobacter AMR surveillance data overview, 2013-20</w:t>
      </w:r>
      <w:r>
        <w:t>2</w:t>
      </w:r>
      <w:bookmarkEnd w:id="26"/>
      <w:r w:rsidR="003548E7">
        <w:t>2</w:t>
      </w:r>
    </w:p>
    <w:p w14:paraId="50068169" w14:textId="77777777" w:rsidR="009D4D86" w:rsidRPr="009D4D86" w:rsidRDefault="009D4D86" w:rsidP="009D4D86">
      <w:pPr>
        <w:pStyle w:val="EC-Para"/>
        <w:spacing w:after="0" w:line="240" w:lineRule="auto"/>
        <w:rPr>
          <w:lang w:eastAsia="en-US"/>
        </w:rPr>
      </w:pPr>
    </w:p>
    <w:tbl>
      <w:tblPr>
        <w:tblpPr w:leftFromText="180" w:rightFromText="180" w:vertAnchor="text" w:horzAnchor="margin" w:tblpY="8"/>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794"/>
        <w:gridCol w:w="794"/>
        <w:gridCol w:w="794"/>
        <w:gridCol w:w="794"/>
        <w:gridCol w:w="794"/>
        <w:gridCol w:w="794"/>
        <w:gridCol w:w="794"/>
        <w:gridCol w:w="794"/>
        <w:gridCol w:w="794"/>
      </w:tblGrid>
      <w:tr w:rsidR="003548E7" w:rsidRPr="00367F86" w14:paraId="3F9D2F06" w14:textId="77777777" w:rsidTr="00E3537D">
        <w:trPr>
          <w:trHeight w:val="340"/>
        </w:trPr>
        <w:tc>
          <w:tcPr>
            <w:tcW w:w="1129" w:type="dxa"/>
            <w:shd w:val="clear" w:color="auto" w:fill="auto"/>
            <w:noWrap/>
            <w:vAlign w:val="center"/>
            <w:hideMark/>
          </w:tcPr>
          <w:p w14:paraId="6DB6CB9F" w14:textId="595897B1" w:rsidR="003548E7" w:rsidRPr="00367F86" w:rsidRDefault="003548E7" w:rsidP="00C646E1">
            <w:pPr>
              <w:spacing w:after="0" w:line="240" w:lineRule="auto"/>
              <w:rPr>
                <w:rFonts w:eastAsia="Times New Roman" w:cs="Tahoma"/>
                <w:b/>
                <w:bCs/>
                <w:sz w:val="16"/>
                <w:szCs w:val="16"/>
                <w:lang w:eastAsia="en-GB"/>
              </w:rPr>
            </w:pPr>
            <w:r w:rsidRPr="00367F86">
              <w:rPr>
                <w:rFonts w:eastAsia="Times New Roman" w:cs="Tahoma"/>
                <w:b/>
                <w:bCs/>
                <w:sz w:val="16"/>
                <w:szCs w:val="16"/>
                <w:lang w:eastAsia="en-GB"/>
              </w:rPr>
              <w:t>Country</w:t>
            </w:r>
          </w:p>
        </w:tc>
        <w:tc>
          <w:tcPr>
            <w:tcW w:w="851" w:type="dxa"/>
            <w:vAlign w:val="center"/>
          </w:tcPr>
          <w:p w14:paraId="315670CB" w14:textId="77BD0523" w:rsidR="003548E7" w:rsidRPr="00367F86" w:rsidRDefault="00C646E1" w:rsidP="00C646E1">
            <w:pPr>
              <w:spacing w:after="0" w:line="240" w:lineRule="auto"/>
              <w:jc w:val="center"/>
              <w:rPr>
                <w:rFonts w:eastAsia="Times New Roman" w:cs="Tahoma"/>
                <w:b/>
                <w:bCs/>
                <w:color w:val="000000"/>
                <w:sz w:val="16"/>
                <w:szCs w:val="16"/>
                <w:lang w:eastAsia="en-GB"/>
              </w:rPr>
            </w:pPr>
            <w:r>
              <w:rPr>
                <w:rFonts w:eastAsia="Times New Roman" w:cs="Tahoma"/>
                <w:b/>
                <w:bCs/>
                <w:color w:val="000000"/>
                <w:sz w:val="16"/>
                <w:szCs w:val="16"/>
                <w:lang w:eastAsia="en-GB"/>
              </w:rPr>
              <w:t>2022</w:t>
            </w:r>
          </w:p>
        </w:tc>
        <w:tc>
          <w:tcPr>
            <w:tcW w:w="794" w:type="dxa"/>
            <w:vAlign w:val="center"/>
          </w:tcPr>
          <w:p w14:paraId="18AE778B" w14:textId="027A853F" w:rsidR="003548E7" w:rsidRPr="00367F86" w:rsidRDefault="003548E7" w:rsidP="00C646E1">
            <w:pPr>
              <w:spacing w:after="0" w:line="240" w:lineRule="auto"/>
              <w:jc w:val="center"/>
              <w:rPr>
                <w:rFonts w:eastAsia="Times New Roman" w:cs="Tahoma"/>
                <w:b/>
                <w:bCs/>
                <w:color w:val="000000"/>
                <w:sz w:val="16"/>
                <w:szCs w:val="16"/>
                <w:lang w:eastAsia="en-GB"/>
              </w:rPr>
            </w:pPr>
            <w:r w:rsidRPr="00367F86">
              <w:rPr>
                <w:rFonts w:eastAsia="Times New Roman" w:cs="Tahoma"/>
                <w:b/>
                <w:bCs/>
                <w:color w:val="000000"/>
                <w:sz w:val="16"/>
                <w:szCs w:val="16"/>
                <w:lang w:eastAsia="en-GB"/>
              </w:rPr>
              <w:t>20</w:t>
            </w:r>
            <w:r>
              <w:rPr>
                <w:rFonts w:eastAsia="Times New Roman" w:cs="Tahoma"/>
                <w:b/>
                <w:bCs/>
                <w:color w:val="000000"/>
                <w:sz w:val="16"/>
                <w:szCs w:val="16"/>
                <w:lang w:eastAsia="en-GB"/>
              </w:rPr>
              <w:t>21</w:t>
            </w:r>
          </w:p>
        </w:tc>
        <w:tc>
          <w:tcPr>
            <w:tcW w:w="794" w:type="dxa"/>
            <w:vAlign w:val="center"/>
          </w:tcPr>
          <w:p w14:paraId="782CCECF" w14:textId="77777777" w:rsidR="003548E7" w:rsidRDefault="003548E7" w:rsidP="00C646E1">
            <w:pPr>
              <w:spacing w:after="0" w:line="240" w:lineRule="auto"/>
              <w:jc w:val="center"/>
              <w:rPr>
                <w:rFonts w:eastAsia="Times New Roman" w:cs="Tahoma"/>
                <w:b/>
                <w:bCs/>
                <w:color w:val="000000"/>
                <w:sz w:val="16"/>
                <w:szCs w:val="16"/>
                <w:lang w:eastAsia="en-GB"/>
              </w:rPr>
            </w:pPr>
            <w:r w:rsidRPr="00367F86">
              <w:rPr>
                <w:rFonts w:eastAsia="Times New Roman" w:cs="Tahoma"/>
                <w:b/>
                <w:bCs/>
                <w:color w:val="000000"/>
                <w:sz w:val="16"/>
                <w:szCs w:val="16"/>
                <w:lang w:eastAsia="en-GB"/>
              </w:rPr>
              <w:t>20</w:t>
            </w:r>
            <w:r>
              <w:rPr>
                <w:rFonts w:eastAsia="Times New Roman" w:cs="Tahoma"/>
                <w:b/>
                <w:bCs/>
                <w:color w:val="000000"/>
                <w:sz w:val="16"/>
                <w:szCs w:val="16"/>
                <w:lang w:eastAsia="en-GB"/>
              </w:rPr>
              <w:t>20</w:t>
            </w:r>
          </w:p>
        </w:tc>
        <w:tc>
          <w:tcPr>
            <w:tcW w:w="794" w:type="dxa"/>
            <w:shd w:val="clear" w:color="auto" w:fill="auto"/>
            <w:noWrap/>
            <w:vAlign w:val="center"/>
            <w:hideMark/>
          </w:tcPr>
          <w:p w14:paraId="6A06C7B1" w14:textId="77777777" w:rsidR="003548E7" w:rsidRPr="00367F86" w:rsidRDefault="003548E7" w:rsidP="00C646E1">
            <w:pPr>
              <w:spacing w:after="0" w:line="240" w:lineRule="auto"/>
              <w:jc w:val="center"/>
              <w:rPr>
                <w:rFonts w:eastAsia="Times New Roman" w:cs="Tahoma"/>
                <w:b/>
                <w:bCs/>
                <w:color w:val="000000"/>
                <w:sz w:val="16"/>
                <w:szCs w:val="16"/>
                <w:lang w:eastAsia="en-GB"/>
              </w:rPr>
            </w:pPr>
            <w:r w:rsidRPr="00367F86">
              <w:rPr>
                <w:rFonts w:eastAsia="Times New Roman" w:cs="Tahoma"/>
                <w:b/>
                <w:bCs/>
                <w:color w:val="000000"/>
                <w:sz w:val="16"/>
                <w:szCs w:val="16"/>
                <w:lang w:eastAsia="en-GB"/>
              </w:rPr>
              <w:t>2019</w:t>
            </w:r>
          </w:p>
        </w:tc>
        <w:tc>
          <w:tcPr>
            <w:tcW w:w="794" w:type="dxa"/>
            <w:shd w:val="clear" w:color="auto" w:fill="auto"/>
            <w:noWrap/>
            <w:vAlign w:val="center"/>
            <w:hideMark/>
          </w:tcPr>
          <w:p w14:paraId="2127D21B" w14:textId="77777777" w:rsidR="003548E7" w:rsidRPr="00367F86" w:rsidRDefault="003548E7" w:rsidP="00C646E1">
            <w:pPr>
              <w:spacing w:after="0" w:line="240" w:lineRule="auto"/>
              <w:jc w:val="center"/>
              <w:rPr>
                <w:rFonts w:eastAsia="Times New Roman" w:cs="Tahoma"/>
                <w:b/>
                <w:bCs/>
                <w:color w:val="000000"/>
                <w:sz w:val="16"/>
                <w:szCs w:val="16"/>
                <w:lang w:eastAsia="en-GB"/>
              </w:rPr>
            </w:pPr>
            <w:r w:rsidRPr="00367F86">
              <w:rPr>
                <w:rFonts w:eastAsia="Times New Roman" w:cs="Tahoma"/>
                <w:b/>
                <w:bCs/>
                <w:color w:val="000000"/>
                <w:sz w:val="16"/>
                <w:szCs w:val="16"/>
                <w:lang w:eastAsia="en-GB"/>
              </w:rPr>
              <w:t>2018</w:t>
            </w:r>
          </w:p>
        </w:tc>
        <w:tc>
          <w:tcPr>
            <w:tcW w:w="794" w:type="dxa"/>
            <w:shd w:val="clear" w:color="auto" w:fill="auto"/>
            <w:noWrap/>
            <w:vAlign w:val="center"/>
            <w:hideMark/>
          </w:tcPr>
          <w:p w14:paraId="0FB41281" w14:textId="77777777" w:rsidR="003548E7" w:rsidRPr="00367F86" w:rsidRDefault="003548E7" w:rsidP="00C646E1">
            <w:pPr>
              <w:spacing w:after="0" w:line="240" w:lineRule="auto"/>
              <w:jc w:val="center"/>
              <w:rPr>
                <w:rFonts w:eastAsia="Times New Roman" w:cs="Tahoma"/>
                <w:b/>
                <w:bCs/>
                <w:color w:val="000000"/>
                <w:sz w:val="16"/>
                <w:szCs w:val="16"/>
                <w:lang w:eastAsia="en-GB"/>
              </w:rPr>
            </w:pPr>
            <w:r w:rsidRPr="00367F86">
              <w:rPr>
                <w:rFonts w:eastAsia="Times New Roman" w:cs="Tahoma"/>
                <w:b/>
                <w:bCs/>
                <w:color w:val="000000"/>
                <w:sz w:val="16"/>
                <w:szCs w:val="16"/>
                <w:lang w:eastAsia="en-GB"/>
              </w:rPr>
              <w:t>2017</w:t>
            </w:r>
          </w:p>
        </w:tc>
        <w:tc>
          <w:tcPr>
            <w:tcW w:w="794" w:type="dxa"/>
            <w:shd w:val="clear" w:color="auto" w:fill="auto"/>
            <w:noWrap/>
            <w:vAlign w:val="center"/>
            <w:hideMark/>
          </w:tcPr>
          <w:p w14:paraId="0A36974A" w14:textId="77777777" w:rsidR="003548E7" w:rsidRPr="00367F86" w:rsidRDefault="003548E7" w:rsidP="00C646E1">
            <w:pPr>
              <w:spacing w:after="0" w:line="240" w:lineRule="auto"/>
              <w:jc w:val="center"/>
              <w:rPr>
                <w:rFonts w:eastAsia="Times New Roman" w:cs="Tahoma"/>
                <w:b/>
                <w:bCs/>
                <w:color w:val="000000"/>
                <w:sz w:val="16"/>
                <w:szCs w:val="16"/>
                <w:lang w:eastAsia="en-GB"/>
              </w:rPr>
            </w:pPr>
            <w:r w:rsidRPr="00367F86">
              <w:rPr>
                <w:rFonts w:eastAsia="Times New Roman" w:cs="Tahoma"/>
                <w:b/>
                <w:bCs/>
                <w:color w:val="000000"/>
                <w:sz w:val="16"/>
                <w:szCs w:val="16"/>
                <w:lang w:eastAsia="en-GB"/>
              </w:rPr>
              <w:t>2016</w:t>
            </w:r>
          </w:p>
        </w:tc>
        <w:tc>
          <w:tcPr>
            <w:tcW w:w="794" w:type="dxa"/>
            <w:shd w:val="clear" w:color="auto" w:fill="auto"/>
            <w:noWrap/>
            <w:vAlign w:val="center"/>
            <w:hideMark/>
          </w:tcPr>
          <w:p w14:paraId="6B569CBD" w14:textId="77777777" w:rsidR="003548E7" w:rsidRPr="00367F86" w:rsidRDefault="003548E7" w:rsidP="00C646E1">
            <w:pPr>
              <w:spacing w:after="0" w:line="240" w:lineRule="auto"/>
              <w:jc w:val="center"/>
              <w:rPr>
                <w:rFonts w:eastAsia="Times New Roman" w:cs="Tahoma"/>
                <w:b/>
                <w:bCs/>
                <w:color w:val="000000"/>
                <w:sz w:val="16"/>
                <w:szCs w:val="16"/>
                <w:lang w:eastAsia="en-GB"/>
              </w:rPr>
            </w:pPr>
            <w:r w:rsidRPr="00367F86">
              <w:rPr>
                <w:rFonts w:eastAsia="Times New Roman" w:cs="Tahoma"/>
                <w:b/>
                <w:bCs/>
                <w:color w:val="000000"/>
                <w:sz w:val="16"/>
                <w:szCs w:val="16"/>
                <w:lang w:eastAsia="en-GB"/>
              </w:rPr>
              <w:t>2015</w:t>
            </w:r>
          </w:p>
        </w:tc>
        <w:tc>
          <w:tcPr>
            <w:tcW w:w="794" w:type="dxa"/>
            <w:shd w:val="clear" w:color="auto" w:fill="auto"/>
            <w:noWrap/>
            <w:vAlign w:val="center"/>
            <w:hideMark/>
          </w:tcPr>
          <w:p w14:paraId="74C7FAF7" w14:textId="77777777" w:rsidR="003548E7" w:rsidRPr="00367F86" w:rsidRDefault="003548E7" w:rsidP="00C646E1">
            <w:pPr>
              <w:spacing w:after="0" w:line="240" w:lineRule="auto"/>
              <w:jc w:val="center"/>
              <w:rPr>
                <w:rFonts w:eastAsia="Times New Roman" w:cs="Tahoma"/>
                <w:b/>
                <w:bCs/>
                <w:color w:val="000000"/>
                <w:sz w:val="16"/>
                <w:szCs w:val="16"/>
                <w:lang w:eastAsia="en-GB"/>
              </w:rPr>
            </w:pPr>
            <w:r w:rsidRPr="00367F86">
              <w:rPr>
                <w:rFonts w:eastAsia="Times New Roman" w:cs="Tahoma"/>
                <w:b/>
                <w:bCs/>
                <w:color w:val="000000"/>
                <w:sz w:val="16"/>
                <w:szCs w:val="16"/>
                <w:lang w:eastAsia="en-GB"/>
              </w:rPr>
              <w:t>2014</w:t>
            </w:r>
          </w:p>
        </w:tc>
        <w:tc>
          <w:tcPr>
            <w:tcW w:w="794" w:type="dxa"/>
            <w:shd w:val="clear" w:color="auto" w:fill="auto"/>
            <w:noWrap/>
            <w:vAlign w:val="center"/>
            <w:hideMark/>
          </w:tcPr>
          <w:p w14:paraId="36F3BCC2" w14:textId="77777777" w:rsidR="003548E7" w:rsidRPr="00367F86" w:rsidRDefault="003548E7" w:rsidP="00C646E1">
            <w:pPr>
              <w:spacing w:after="0" w:line="240" w:lineRule="auto"/>
              <w:jc w:val="center"/>
              <w:rPr>
                <w:rFonts w:eastAsia="Times New Roman" w:cs="Tahoma"/>
                <w:b/>
                <w:bCs/>
                <w:color w:val="000000"/>
                <w:sz w:val="16"/>
                <w:szCs w:val="16"/>
                <w:lang w:eastAsia="en-GB"/>
              </w:rPr>
            </w:pPr>
            <w:r w:rsidRPr="00367F86">
              <w:rPr>
                <w:rFonts w:eastAsia="Times New Roman" w:cs="Tahoma"/>
                <w:b/>
                <w:bCs/>
                <w:color w:val="000000"/>
                <w:sz w:val="16"/>
                <w:szCs w:val="16"/>
                <w:lang w:eastAsia="en-GB"/>
              </w:rPr>
              <w:t>2013</w:t>
            </w:r>
          </w:p>
        </w:tc>
      </w:tr>
      <w:tr w:rsidR="00583D57" w:rsidRPr="00367F86" w14:paraId="027D5E17" w14:textId="77777777" w:rsidTr="00E3537D">
        <w:trPr>
          <w:trHeight w:val="340"/>
        </w:trPr>
        <w:tc>
          <w:tcPr>
            <w:tcW w:w="1129" w:type="dxa"/>
            <w:shd w:val="clear" w:color="auto" w:fill="auto"/>
            <w:noWrap/>
            <w:vAlign w:val="center"/>
            <w:hideMark/>
          </w:tcPr>
          <w:p w14:paraId="0C21DD23"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Austria</w:t>
            </w:r>
          </w:p>
        </w:tc>
        <w:tc>
          <w:tcPr>
            <w:tcW w:w="851" w:type="dxa"/>
            <w:shd w:val="clear" w:color="auto" w:fill="92D050"/>
            <w:vAlign w:val="center"/>
          </w:tcPr>
          <w:p w14:paraId="6D60358C" w14:textId="5BA9F84D"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0A2D4708" w14:textId="2A788A59"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060AC40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60F8E1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7DCA2B9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FF7450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C1F08A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2D9C184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85D4B2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0E197A8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r>
      <w:tr w:rsidR="00583D57" w:rsidRPr="00367F86" w14:paraId="72449A00" w14:textId="77777777" w:rsidTr="00E3537D">
        <w:trPr>
          <w:trHeight w:val="287"/>
        </w:trPr>
        <w:tc>
          <w:tcPr>
            <w:tcW w:w="1129" w:type="dxa"/>
            <w:shd w:val="clear" w:color="auto" w:fill="auto"/>
            <w:noWrap/>
            <w:vAlign w:val="center"/>
            <w:hideMark/>
          </w:tcPr>
          <w:p w14:paraId="1E8F46D0"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Belgium</w:t>
            </w:r>
          </w:p>
        </w:tc>
        <w:tc>
          <w:tcPr>
            <w:tcW w:w="851" w:type="dxa"/>
            <w:shd w:val="clear" w:color="auto" w:fill="D9D9D9"/>
            <w:vAlign w:val="center"/>
          </w:tcPr>
          <w:p w14:paraId="275051F4" w14:textId="22A7935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799C64B7" w14:textId="5619654E"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7FD0B87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noWrap/>
            <w:vAlign w:val="center"/>
            <w:hideMark/>
          </w:tcPr>
          <w:p w14:paraId="0540998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A4F694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73858A7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51E361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30D42F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3ECE727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10B1C2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3EC1B54C" w14:textId="77777777" w:rsidTr="00E3537D">
        <w:trPr>
          <w:trHeight w:val="340"/>
        </w:trPr>
        <w:tc>
          <w:tcPr>
            <w:tcW w:w="1129" w:type="dxa"/>
            <w:shd w:val="clear" w:color="auto" w:fill="auto"/>
            <w:noWrap/>
            <w:vAlign w:val="center"/>
            <w:hideMark/>
          </w:tcPr>
          <w:p w14:paraId="4CD4DFEB"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Bulgaria</w:t>
            </w:r>
          </w:p>
        </w:tc>
        <w:tc>
          <w:tcPr>
            <w:tcW w:w="851" w:type="dxa"/>
            <w:shd w:val="clear" w:color="auto" w:fill="BDD7EE"/>
            <w:vAlign w:val="center"/>
          </w:tcPr>
          <w:p w14:paraId="13C3799D" w14:textId="0F7C026E" w:rsidR="00583D57" w:rsidRPr="00367F86" w:rsidRDefault="00E3537D"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SIR</w:t>
            </w:r>
          </w:p>
        </w:tc>
        <w:tc>
          <w:tcPr>
            <w:tcW w:w="794" w:type="dxa"/>
            <w:shd w:val="clear" w:color="auto" w:fill="D9D9D9"/>
            <w:vAlign w:val="center"/>
          </w:tcPr>
          <w:p w14:paraId="1D9F2632" w14:textId="15AFC91F"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7D890E3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BDD7EE"/>
            <w:noWrap/>
            <w:vAlign w:val="center"/>
            <w:hideMark/>
          </w:tcPr>
          <w:p w14:paraId="0DF48F0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D9D9D9"/>
            <w:noWrap/>
            <w:vAlign w:val="center"/>
            <w:hideMark/>
          </w:tcPr>
          <w:p w14:paraId="7A20016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38E2513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D52766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3F9656C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58C74C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7867BCC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0B7EC702" w14:textId="77777777" w:rsidTr="00E3537D">
        <w:trPr>
          <w:trHeight w:val="340"/>
        </w:trPr>
        <w:tc>
          <w:tcPr>
            <w:tcW w:w="1129" w:type="dxa"/>
            <w:shd w:val="clear" w:color="auto" w:fill="auto"/>
            <w:noWrap/>
            <w:vAlign w:val="center"/>
            <w:hideMark/>
          </w:tcPr>
          <w:p w14:paraId="2854F575"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Cyprus</w:t>
            </w:r>
          </w:p>
        </w:tc>
        <w:tc>
          <w:tcPr>
            <w:tcW w:w="851" w:type="dxa"/>
            <w:shd w:val="clear" w:color="auto" w:fill="92D050"/>
            <w:vAlign w:val="center"/>
          </w:tcPr>
          <w:p w14:paraId="4D63D644" w14:textId="644B34DA"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5E5962F7" w14:textId="43E543B9"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2636994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7A3738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74935B4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4229CB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EE23F1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89B3AC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D9D9D9"/>
            <w:noWrap/>
            <w:vAlign w:val="center"/>
            <w:hideMark/>
          </w:tcPr>
          <w:p w14:paraId="562BEEC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E74A22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41A16489" w14:textId="77777777" w:rsidTr="00E3537D">
        <w:trPr>
          <w:trHeight w:val="340"/>
        </w:trPr>
        <w:tc>
          <w:tcPr>
            <w:tcW w:w="1129" w:type="dxa"/>
            <w:shd w:val="clear" w:color="auto" w:fill="auto"/>
            <w:noWrap/>
            <w:vAlign w:val="center"/>
            <w:hideMark/>
          </w:tcPr>
          <w:p w14:paraId="19A55ACA"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Croatia</w:t>
            </w:r>
          </w:p>
        </w:tc>
        <w:tc>
          <w:tcPr>
            <w:tcW w:w="851" w:type="dxa"/>
            <w:shd w:val="clear" w:color="auto" w:fill="D9D9D9"/>
            <w:vAlign w:val="center"/>
          </w:tcPr>
          <w:p w14:paraId="13B31D15" w14:textId="34378655"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7798C0A9" w14:textId="792B784D"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3A2405F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3057DD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4BA7CC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1518A9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03E10A8"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811BC0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B67E8F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2C61DE7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4F6ABD32" w14:textId="77777777" w:rsidTr="00E3537D">
        <w:trPr>
          <w:trHeight w:val="340"/>
        </w:trPr>
        <w:tc>
          <w:tcPr>
            <w:tcW w:w="1129" w:type="dxa"/>
            <w:shd w:val="clear" w:color="auto" w:fill="auto"/>
            <w:noWrap/>
            <w:vAlign w:val="center"/>
            <w:hideMark/>
          </w:tcPr>
          <w:p w14:paraId="679AB0A9"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Czech</w:t>
            </w:r>
            <w:r>
              <w:rPr>
                <w:rFonts w:eastAsia="Times New Roman" w:cs="Tahoma"/>
                <w:color w:val="000000"/>
                <w:sz w:val="16"/>
                <w:szCs w:val="16"/>
                <w:lang w:eastAsia="en-GB"/>
              </w:rPr>
              <w:t>ia</w:t>
            </w:r>
          </w:p>
        </w:tc>
        <w:tc>
          <w:tcPr>
            <w:tcW w:w="851" w:type="dxa"/>
            <w:shd w:val="clear" w:color="auto" w:fill="D9D9D9"/>
            <w:vAlign w:val="center"/>
          </w:tcPr>
          <w:p w14:paraId="1D066B8D" w14:textId="51293D60"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34783BE1" w14:textId="00782A96"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039E039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FFBFA4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0BCD0B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469F669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C2FFA4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7A1A248"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EDB5D0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208CAA3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47DEED81" w14:textId="77777777" w:rsidTr="00E3537D">
        <w:trPr>
          <w:trHeight w:val="340"/>
        </w:trPr>
        <w:tc>
          <w:tcPr>
            <w:tcW w:w="1129" w:type="dxa"/>
            <w:shd w:val="clear" w:color="auto" w:fill="auto"/>
            <w:noWrap/>
            <w:vAlign w:val="center"/>
            <w:hideMark/>
          </w:tcPr>
          <w:p w14:paraId="4CE9105D"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Denmark</w:t>
            </w:r>
          </w:p>
        </w:tc>
        <w:tc>
          <w:tcPr>
            <w:tcW w:w="851" w:type="dxa"/>
            <w:shd w:val="clear" w:color="auto" w:fill="92D050"/>
            <w:vAlign w:val="center"/>
          </w:tcPr>
          <w:p w14:paraId="3CC95BA7" w14:textId="36246531"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24259A86" w14:textId="1751EBA2"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51A5DF3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372422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3161FE2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76032C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087D10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56A0AB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D9D9D9"/>
            <w:noWrap/>
            <w:vAlign w:val="center"/>
            <w:hideMark/>
          </w:tcPr>
          <w:p w14:paraId="602A429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92D050"/>
            <w:noWrap/>
            <w:vAlign w:val="center"/>
            <w:hideMark/>
          </w:tcPr>
          <w:p w14:paraId="504A279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r>
      <w:tr w:rsidR="00583D57" w:rsidRPr="00367F86" w14:paraId="742D9208" w14:textId="77777777" w:rsidTr="00E3537D">
        <w:trPr>
          <w:trHeight w:val="340"/>
        </w:trPr>
        <w:tc>
          <w:tcPr>
            <w:tcW w:w="1129" w:type="dxa"/>
            <w:shd w:val="clear" w:color="auto" w:fill="auto"/>
            <w:noWrap/>
            <w:vAlign w:val="center"/>
            <w:hideMark/>
          </w:tcPr>
          <w:p w14:paraId="4E4A5989"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Estonia</w:t>
            </w:r>
          </w:p>
        </w:tc>
        <w:tc>
          <w:tcPr>
            <w:tcW w:w="851" w:type="dxa"/>
            <w:shd w:val="clear" w:color="auto" w:fill="92D050"/>
            <w:vAlign w:val="center"/>
          </w:tcPr>
          <w:p w14:paraId="45A11CB7" w14:textId="2D4AD00F"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1559B749" w14:textId="4A5F508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2DD92F2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7FF3D25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7DA7E7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2432BA7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927CD7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701C8C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3A7FB0B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BDD7EE"/>
            <w:noWrap/>
            <w:vAlign w:val="center"/>
            <w:hideMark/>
          </w:tcPr>
          <w:p w14:paraId="4FAB281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216FFE13" w14:textId="77777777" w:rsidTr="00E3537D">
        <w:trPr>
          <w:trHeight w:val="340"/>
        </w:trPr>
        <w:tc>
          <w:tcPr>
            <w:tcW w:w="1129" w:type="dxa"/>
            <w:shd w:val="clear" w:color="auto" w:fill="auto"/>
            <w:noWrap/>
            <w:vAlign w:val="center"/>
            <w:hideMark/>
          </w:tcPr>
          <w:p w14:paraId="13482609"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Finland</w:t>
            </w:r>
          </w:p>
        </w:tc>
        <w:tc>
          <w:tcPr>
            <w:tcW w:w="851" w:type="dxa"/>
            <w:shd w:val="clear" w:color="auto" w:fill="92D050"/>
            <w:vAlign w:val="center"/>
          </w:tcPr>
          <w:p w14:paraId="397EA610" w14:textId="2A1C9F53"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51E7D4C0" w14:textId="2DEB5DEA"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45D9AD68"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ADE389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A2DA91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4BD701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0282D35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FF1888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D9D9D9"/>
            <w:noWrap/>
            <w:vAlign w:val="center"/>
            <w:hideMark/>
          </w:tcPr>
          <w:p w14:paraId="2010063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21CBC5C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251F9304" w14:textId="77777777" w:rsidTr="00E3537D">
        <w:trPr>
          <w:trHeight w:val="340"/>
        </w:trPr>
        <w:tc>
          <w:tcPr>
            <w:tcW w:w="1129" w:type="dxa"/>
            <w:shd w:val="clear" w:color="auto" w:fill="auto"/>
            <w:noWrap/>
            <w:vAlign w:val="center"/>
            <w:hideMark/>
          </w:tcPr>
          <w:p w14:paraId="6072E602"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France</w:t>
            </w:r>
          </w:p>
        </w:tc>
        <w:tc>
          <w:tcPr>
            <w:tcW w:w="851" w:type="dxa"/>
            <w:shd w:val="clear" w:color="auto" w:fill="BDD7EE"/>
            <w:vAlign w:val="center"/>
          </w:tcPr>
          <w:p w14:paraId="0726A5F7" w14:textId="2718FEC2"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auto" w:fill="BDD7EE"/>
            <w:vAlign w:val="center"/>
          </w:tcPr>
          <w:p w14:paraId="32EEC307" w14:textId="7B29A18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auto" w:fill="BDD7EE"/>
            <w:vAlign w:val="center"/>
          </w:tcPr>
          <w:p w14:paraId="0CBCB76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auto" w:fill="BDD7EE"/>
            <w:noWrap/>
            <w:vAlign w:val="center"/>
            <w:hideMark/>
          </w:tcPr>
          <w:p w14:paraId="3ED4349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6DF3819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31BE6E4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719A0C2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3DD2583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498F1A9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1FCAA5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74586EC7" w14:textId="77777777" w:rsidTr="00E3537D">
        <w:trPr>
          <w:trHeight w:val="340"/>
        </w:trPr>
        <w:tc>
          <w:tcPr>
            <w:tcW w:w="1129" w:type="dxa"/>
            <w:shd w:val="clear" w:color="auto" w:fill="auto"/>
            <w:noWrap/>
            <w:vAlign w:val="center"/>
            <w:hideMark/>
          </w:tcPr>
          <w:p w14:paraId="4757B7E6"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Germany</w:t>
            </w:r>
          </w:p>
        </w:tc>
        <w:tc>
          <w:tcPr>
            <w:tcW w:w="851" w:type="dxa"/>
            <w:shd w:val="clear" w:color="auto" w:fill="92D050"/>
            <w:vAlign w:val="center"/>
          </w:tcPr>
          <w:p w14:paraId="4C76DD0A" w14:textId="04F21685"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Q</w:t>
            </w:r>
          </w:p>
        </w:tc>
        <w:tc>
          <w:tcPr>
            <w:tcW w:w="794" w:type="dxa"/>
            <w:shd w:val="clear" w:color="auto" w:fill="92D050"/>
            <w:vAlign w:val="center"/>
          </w:tcPr>
          <w:p w14:paraId="0B36DC48" w14:textId="53570565" w:rsidR="00583D57" w:rsidRPr="00367F86"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Q</w:t>
            </w:r>
          </w:p>
        </w:tc>
        <w:tc>
          <w:tcPr>
            <w:tcW w:w="794" w:type="dxa"/>
            <w:shd w:val="clear" w:color="auto" w:fill="D9D9D9"/>
            <w:vAlign w:val="center"/>
          </w:tcPr>
          <w:p w14:paraId="52AD74F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36C49F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4C5F8C8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8A02A6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386C2A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3E72ED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36FD506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2F01D51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412EB366" w14:textId="77777777" w:rsidTr="00EC57BE">
        <w:trPr>
          <w:trHeight w:val="340"/>
        </w:trPr>
        <w:tc>
          <w:tcPr>
            <w:tcW w:w="1129" w:type="dxa"/>
            <w:shd w:val="clear" w:color="auto" w:fill="auto"/>
            <w:noWrap/>
            <w:vAlign w:val="center"/>
            <w:hideMark/>
          </w:tcPr>
          <w:p w14:paraId="7F9EB490"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Greece</w:t>
            </w:r>
          </w:p>
        </w:tc>
        <w:tc>
          <w:tcPr>
            <w:tcW w:w="851" w:type="dxa"/>
            <w:shd w:val="clear" w:color="auto" w:fill="92D050"/>
            <w:vAlign w:val="center"/>
          </w:tcPr>
          <w:p w14:paraId="6B11F81C" w14:textId="5517C13F" w:rsidR="00583D57" w:rsidRPr="00367F86" w:rsidRDefault="00EC57BE"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Q</w:t>
            </w:r>
          </w:p>
        </w:tc>
        <w:tc>
          <w:tcPr>
            <w:tcW w:w="794" w:type="dxa"/>
            <w:shd w:val="clear" w:color="auto" w:fill="D9D9D9"/>
            <w:vAlign w:val="center"/>
          </w:tcPr>
          <w:p w14:paraId="0681E44A" w14:textId="16DE593B"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401F949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69551E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7974095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7396790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EAE3DF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2D8CE628"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1665EE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F52A91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2A0FF841" w14:textId="77777777" w:rsidTr="00E3537D">
        <w:trPr>
          <w:trHeight w:val="340"/>
        </w:trPr>
        <w:tc>
          <w:tcPr>
            <w:tcW w:w="1129" w:type="dxa"/>
            <w:shd w:val="clear" w:color="auto" w:fill="auto"/>
            <w:noWrap/>
            <w:vAlign w:val="center"/>
            <w:hideMark/>
          </w:tcPr>
          <w:p w14:paraId="37A51F2E"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Hungary</w:t>
            </w:r>
          </w:p>
        </w:tc>
        <w:tc>
          <w:tcPr>
            <w:tcW w:w="851" w:type="dxa"/>
            <w:shd w:val="clear" w:color="auto" w:fill="BDD7EE"/>
            <w:vAlign w:val="center"/>
          </w:tcPr>
          <w:p w14:paraId="4FD900FF" w14:textId="56876609"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SIR</w:t>
            </w:r>
          </w:p>
        </w:tc>
        <w:tc>
          <w:tcPr>
            <w:tcW w:w="794" w:type="dxa"/>
            <w:shd w:val="clear" w:color="auto" w:fill="BDD7EE"/>
            <w:vAlign w:val="center"/>
          </w:tcPr>
          <w:p w14:paraId="54A9FA5B" w14:textId="06CBB485" w:rsidR="00583D57" w:rsidRPr="00367F86"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SIR</w:t>
            </w:r>
          </w:p>
        </w:tc>
        <w:tc>
          <w:tcPr>
            <w:tcW w:w="794" w:type="dxa"/>
            <w:shd w:val="clear" w:color="auto" w:fill="D9D9D9"/>
            <w:vAlign w:val="center"/>
          </w:tcPr>
          <w:p w14:paraId="17F65C5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140281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754E57E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98E8A6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4C5FD99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42B901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642623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BBFD9B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2A1713B9" w14:textId="77777777" w:rsidTr="00E3537D">
        <w:trPr>
          <w:trHeight w:val="340"/>
        </w:trPr>
        <w:tc>
          <w:tcPr>
            <w:tcW w:w="1129" w:type="dxa"/>
            <w:shd w:val="clear" w:color="auto" w:fill="auto"/>
            <w:noWrap/>
            <w:vAlign w:val="center"/>
            <w:hideMark/>
          </w:tcPr>
          <w:p w14:paraId="41B3A6FC"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Iceland</w:t>
            </w:r>
          </w:p>
        </w:tc>
        <w:tc>
          <w:tcPr>
            <w:tcW w:w="851" w:type="dxa"/>
            <w:shd w:val="clear" w:color="auto" w:fill="92D050"/>
            <w:vAlign w:val="center"/>
          </w:tcPr>
          <w:p w14:paraId="2080DED1" w14:textId="236243F5"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Q</w:t>
            </w:r>
          </w:p>
        </w:tc>
        <w:tc>
          <w:tcPr>
            <w:tcW w:w="794" w:type="dxa"/>
            <w:shd w:val="clear" w:color="auto" w:fill="92D050"/>
            <w:vAlign w:val="center"/>
          </w:tcPr>
          <w:p w14:paraId="2419F56E" w14:textId="692DE396" w:rsidR="00583D57" w:rsidRPr="00367F86"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Q</w:t>
            </w:r>
          </w:p>
        </w:tc>
        <w:tc>
          <w:tcPr>
            <w:tcW w:w="794" w:type="dxa"/>
            <w:shd w:val="clear" w:color="auto" w:fill="BDD7EE"/>
            <w:vAlign w:val="center"/>
          </w:tcPr>
          <w:p w14:paraId="12E9354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7AEE1F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2B1F27B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65430AF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5808991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5CE7099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D9D9D9"/>
            <w:noWrap/>
            <w:vAlign w:val="center"/>
            <w:hideMark/>
          </w:tcPr>
          <w:p w14:paraId="26688D3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BDD7EE"/>
            <w:noWrap/>
            <w:vAlign w:val="center"/>
            <w:hideMark/>
          </w:tcPr>
          <w:p w14:paraId="13FE9E9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52FD370B" w14:textId="77777777" w:rsidTr="00E3537D">
        <w:trPr>
          <w:trHeight w:val="340"/>
        </w:trPr>
        <w:tc>
          <w:tcPr>
            <w:tcW w:w="1129" w:type="dxa"/>
            <w:shd w:val="clear" w:color="auto" w:fill="auto"/>
            <w:noWrap/>
            <w:vAlign w:val="center"/>
            <w:hideMark/>
          </w:tcPr>
          <w:p w14:paraId="525C6644"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Ireland</w:t>
            </w:r>
          </w:p>
        </w:tc>
        <w:tc>
          <w:tcPr>
            <w:tcW w:w="851" w:type="dxa"/>
            <w:shd w:val="clear" w:color="auto" w:fill="B685DB"/>
            <w:vAlign w:val="center"/>
          </w:tcPr>
          <w:p w14:paraId="43C43E08" w14:textId="0BD5DBEF"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794" w:type="dxa"/>
            <w:shd w:val="clear" w:color="auto" w:fill="B685DB"/>
            <w:vAlign w:val="center"/>
          </w:tcPr>
          <w:p w14:paraId="3DCC122C" w14:textId="388FEE1D" w:rsidR="00583D57" w:rsidRPr="00367F86"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794" w:type="dxa"/>
            <w:shd w:val="clear" w:color="auto" w:fill="D9D9D9"/>
            <w:vAlign w:val="center"/>
          </w:tcPr>
          <w:p w14:paraId="58E2092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7286484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BDD7EE"/>
            <w:noWrap/>
            <w:vAlign w:val="center"/>
            <w:hideMark/>
          </w:tcPr>
          <w:p w14:paraId="2490AD1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5D4CC2E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D9D9D9"/>
            <w:noWrap/>
            <w:vAlign w:val="center"/>
            <w:hideMark/>
          </w:tcPr>
          <w:p w14:paraId="64DD6A8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D4BFA9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6D8FB8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4D37066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4CAB5CFE" w14:textId="77777777" w:rsidTr="00E3537D">
        <w:trPr>
          <w:trHeight w:val="340"/>
        </w:trPr>
        <w:tc>
          <w:tcPr>
            <w:tcW w:w="1129" w:type="dxa"/>
            <w:shd w:val="clear" w:color="auto" w:fill="auto"/>
            <w:noWrap/>
            <w:vAlign w:val="center"/>
            <w:hideMark/>
          </w:tcPr>
          <w:p w14:paraId="57357F7B"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Italy</w:t>
            </w:r>
          </w:p>
        </w:tc>
        <w:tc>
          <w:tcPr>
            <w:tcW w:w="851" w:type="dxa"/>
            <w:shd w:val="clear" w:color="auto" w:fill="92D050"/>
            <w:vAlign w:val="center"/>
          </w:tcPr>
          <w:p w14:paraId="4480C051" w14:textId="26630FB5"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3A686D66" w14:textId="46ABB663"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5339A21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50D3E5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81DDA4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3C4C095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C0E70B8"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1072C3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B373C7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BDD7EE"/>
            <w:noWrap/>
            <w:vAlign w:val="center"/>
            <w:hideMark/>
          </w:tcPr>
          <w:p w14:paraId="4117E4A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32E66D92" w14:textId="77777777" w:rsidTr="00E3537D">
        <w:trPr>
          <w:trHeight w:val="340"/>
        </w:trPr>
        <w:tc>
          <w:tcPr>
            <w:tcW w:w="1129" w:type="dxa"/>
            <w:shd w:val="clear" w:color="auto" w:fill="auto"/>
            <w:noWrap/>
            <w:vAlign w:val="center"/>
            <w:hideMark/>
          </w:tcPr>
          <w:p w14:paraId="651B47F3"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Latvia</w:t>
            </w:r>
          </w:p>
        </w:tc>
        <w:tc>
          <w:tcPr>
            <w:tcW w:w="851" w:type="dxa"/>
            <w:shd w:val="clear" w:color="auto" w:fill="D9D9D9"/>
            <w:vAlign w:val="center"/>
          </w:tcPr>
          <w:p w14:paraId="27F2C776" w14:textId="415E48DA"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62A420A6" w14:textId="449BCC20"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auto" w:fill="D9D9D9"/>
            <w:vAlign w:val="center"/>
          </w:tcPr>
          <w:p w14:paraId="4D85654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118C5BD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0AC46A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7C1E9488"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3C3523E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DAE865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B63BCE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C51A2F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0AE96FB6" w14:textId="77777777" w:rsidTr="00E3537D">
        <w:trPr>
          <w:trHeight w:val="340"/>
        </w:trPr>
        <w:tc>
          <w:tcPr>
            <w:tcW w:w="1129" w:type="dxa"/>
            <w:shd w:val="clear" w:color="auto" w:fill="auto"/>
            <w:noWrap/>
            <w:vAlign w:val="center"/>
            <w:hideMark/>
          </w:tcPr>
          <w:p w14:paraId="4D065394"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Lithuania</w:t>
            </w:r>
          </w:p>
        </w:tc>
        <w:tc>
          <w:tcPr>
            <w:tcW w:w="851" w:type="dxa"/>
            <w:shd w:val="clear" w:color="auto" w:fill="BDD7EE"/>
            <w:vAlign w:val="center"/>
          </w:tcPr>
          <w:p w14:paraId="0DFE6F60" w14:textId="591DB294"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SIR</w:t>
            </w:r>
          </w:p>
        </w:tc>
        <w:tc>
          <w:tcPr>
            <w:tcW w:w="794" w:type="dxa"/>
            <w:shd w:val="clear" w:color="auto" w:fill="BDD7EE"/>
            <w:vAlign w:val="center"/>
          </w:tcPr>
          <w:p w14:paraId="06C130EE" w14:textId="55FE0B25" w:rsidR="00583D57" w:rsidRPr="00367F86"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SIR</w:t>
            </w:r>
          </w:p>
        </w:tc>
        <w:tc>
          <w:tcPr>
            <w:tcW w:w="794" w:type="dxa"/>
            <w:shd w:val="clear" w:color="auto" w:fill="D9D9D9"/>
            <w:vAlign w:val="center"/>
          </w:tcPr>
          <w:p w14:paraId="3C7EDDF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BDD7EE"/>
            <w:noWrap/>
            <w:vAlign w:val="center"/>
            <w:hideMark/>
          </w:tcPr>
          <w:p w14:paraId="6A16662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785AF2E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5425CCA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492A08C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6C9E89E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91D998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F97501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2D58F82D" w14:textId="77777777" w:rsidTr="00E3537D">
        <w:trPr>
          <w:trHeight w:val="340"/>
        </w:trPr>
        <w:tc>
          <w:tcPr>
            <w:tcW w:w="1129" w:type="dxa"/>
            <w:shd w:val="clear" w:color="auto" w:fill="auto"/>
            <w:noWrap/>
            <w:vAlign w:val="center"/>
            <w:hideMark/>
          </w:tcPr>
          <w:p w14:paraId="386F404E"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Luxembourg</w:t>
            </w:r>
          </w:p>
        </w:tc>
        <w:tc>
          <w:tcPr>
            <w:tcW w:w="851" w:type="dxa"/>
            <w:shd w:val="clear" w:color="auto" w:fill="92D050"/>
            <w:vAlign w:val="center"/>
          </w:tcPr>
          <w:p w14:paraId="295C87F6" w14:textId="6358BA5F"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1F02CA1A" w14:textId="49F3CF1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4910122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0895195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AF9064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E72A11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2E99E9C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1A9967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1FEF92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DA9FCE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r>
      <w:tr w:rsidR="00583D57" w:rsidRPr="00367F86" w14:paraId="7497A653" w14:textId="77777777" w:rsidTr="00E3537D">
        <w:trPr>
          <w:trHeight w:val="340"/>
        </w:trPr>
        <w:tc>
          <w:tcPr>
            <w:tcW w:w="1129" w:type="dxa"/>
            <w:shd w:val="clear" w:color="auto" w:fill="auto"/>
            <w:noWrap/>
            <w:vAlign w:val="center"/>
            <w:hideMark/>
          </w:tcPr>
          <w:p w14:paraId="4935955D"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Malta</w:t>
            </w:r>
          </w:p>
        </w:tc>
        <w:tc>
          <w:tcPr>
            <w:tcW w:w="851" w:type="dxa"/>
            <w:shd w:val="clear" w:color="auto" w:fill="92D050"/>
            <w:vAlign w:val="center"/>
          </w:tcPr>
          <w:p w14:paraId="52C7B2B1" w14:textId="5DF2A9D9"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27AFE169" w14:textId="18716F4E"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21673DB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0B703F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81F47C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311C0F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B2385A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3CCA9ED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BDD7EE"/>
            <w:noWrap/>
            <w:vAlign w:val="center"/>
            <w:hideMark/>
          </w:tcPr>
          <w:p w14:paraId="443DB6F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0EA1E9E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2B3BC66D" w14:textId="77777777" w:rsidTr="00E3537D">
        <w:trPr>
          <w:trHeight w:val="340"/>
        </w:trPr>
        <w:tc>
          <w:tcPr>
            <w:tcW w:w="1129" w:type="dxa"/>
            <w:shd w:val="clear" w:color="auto" w:fill="auto"/>
            <w:noWrap/>
            <w:vAlign w:val="center"/>
            <w:hideMark/>
          </w:tcPr>
          <w:p w14:paraId="78D4A2B4"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Netherlands</w:t>
            </w:r>
          </w:p>
        </w:tc>
        <w:tc>
          <w:tcPr>
            <w:tcW w:w="851" w:type="dxa"/>
            <w:shd w:val="clear" w:color="auto" w:fill="B685DB"/>
            <w:vAlign w:val="center"/>
          </w:tcPr>
          <w:p w14:paraId="655FF937" w14:textId="6016A800" w:rsidR="00583D57" w:rsidRPr="00367F86" w:rsidRDefault="00E3537D"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794" w:type="dxa"/>
            <w:shd w:val="clear" w:color="auto" w:fill="BDD7EE"/>
            <w:vAlign w:val="center"/>
          </w:tcPr>
          <w:p w14:paraId="1072CA9B" w14:textId="32F11283"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auto" w:fill="BDD7EE"/>
            <w:vAlign w:val="center"/>
          </w:tcPr>
          <w:p w14:paraId="1ED34F7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2B9D243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4682EF2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281C91B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6B0EF35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3799627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263226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002BCBF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21D830FB" w14:textId="77777777" w:rsidTr="00E3537D">
        <w:trPr>
          <w:trHeight w:val="340"/>
        </w:trPr>
        <w:tc>
          <w:tcPr>
            <w:tcW w:w="1129" w:type="dxa"/>
            <w:shd w:val="clear" w:color="auto" w:fill="auto"/>
            <w:noWrap/>
            <w:vAlign w:val="center"/>
            <w:hideMark/>
          </w:tcPr>
          <w:p w14:paraId="2F381054"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Norway</w:t>
            </w:r>
          </w:p>
        </w:tc>
        <w:tc>
          <w:tcPr>
            <w:tcW w:w="851" w:type="dxa"/>
            <w:shd w:val="clear" w:color="auto" w:fill="92D050"/>
            <w:vAlign w:val="center"/>
          </w:tcPr>
          <w:p w14:paraId="023EDE5C" w14:textId="3A4B735A"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14D72861" w14:textId="5D5E35B2"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1D34DE1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039E65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D9D9D9"/>
            <w:noWrap/>
            <w:vAlign w:val="center"/>
            <w:hideMark/>
          </w:tcPr>
          <w:p w14:paraId="1845547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92D050"/>
            <w:noWrap/>
            <w:vAlign w:val="center"/>
            <w:hideMark/>
          </w:tcPr>
          <w:p w14:paraId="36C73FE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4EBBB3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32790FB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95C627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83AC65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r>
      <w:tr w:rsidR="00583D57" w:rsidRPr="00367F86" w14:paraId="71EE2181" w14:textId="77777777" w:rsidTr="00E3537D">
        <w:trPr>
          <w:trHeight w:val="340"/>
        </w:trPr>
        <w:tc>
          <w:tcPr>
            <w:tcW w:w="1129" w:type="dxa"/>
            <w:shd w:val="clear" w:color="auto" w:fill="auto"/>
            <w:noWrap/>
            <w:vAlign w:val="center"/>
            <w:hideMark/>
          </w:tcPr>
          <w:p w14:paraId="7DDBCF31"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Poland</w:t>
            </w:r>
          </w:p>
        </w:tc>
        <w:tc>
          <w:tcPr>
            <w:tcW w:w="851" w:type="dxa"/>
            <w:shd w:val="clear" w:color="auto" w:fill="92D050"/>
            <w:vAlign w:val="center"/>
          </w:tcPr>
          <w:p w14:paraId="698D25DA" w14:textId="06EB0610" w:rsidR="00583D57" w:rsidRPr="00367F86" w:rsidRDefault="005D6AB2"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BDD7EE"/>
            <w:vAlign w:val="center"/>
          </w:tcPr>
          <w:p w14:paraId="74A88BF9" w14:textId="56828DF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auto" w:fill="BDD7EE"/>
            <w:vAlign w:val="center"/>
          </w:tcPr>
          <w:p w14:paraId="010ED55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311BCE5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2C6AD2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6AEC96B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D9D9D9"/>
            <w:noWrap/>
            <w:vAlign w:val="center"/>
            <w:hideMark/>
          </w:tcPr>
          <w:p w14:paraId="115E531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AA582F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A9E757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C0CCBA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11026E43" w14:textId="77777777" w:rsidTr="00E3537D">
        <w:trPr>
          <w:trHeight w:val="340"/>
        </w:trPr>
        <w:tc>
          <w:tcPr>
            <w:tcW w:w="1129" w:type="dxa"/>
            <w:shd w:val="clear" w:color="auto" w:fill="auto"/>
            <w:noWrap/>
            <w:vAlign w:val="center"/>
            <w:hideMark/>
          </w:tcPr>
          <w:p w14:paraId="57884F84"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Portugal</w:t>
            </w:r>
          </w:p>
        </w:tc>
        <w:tc>
          <w:tcPr>
            <w:tcW w:w="851" w:type="dxa"/>
            <w:shd w:val="clear" w:color="auto" w:fill="92D050"/>
            <w:vAlign w:val="center"/>
          </w:tcPr>
          <w:p w14:paraId="2404192C" w14:textId="21FCC98E"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235F6C52" w14:textId="32B6A5D1"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1ECB58D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7A1AE0E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7433DB3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046E5F7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950596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3A81A43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A85EB3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D9D9D9"/>
            <w:noWrap/>
            <w:vAlign w:val="center"/>
            <w:hideMark/>
          </w:tcPr>
          <w:p w14:paraId="1E9D3B8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66BEE1BC" w14:textId="77777777" w:rsidTr="00E3537D">
        <w:trPr>
          <w:trHeight w:val="340"/>
        </w:trPr>
        <w:tc>
          <w:tcPr>
            <w:tcW w:w="1129" w:type="dxa"/>
            <w:shd w:val="clear" w:color="auto" w:fill="auto"/>
            <w:noWrap/>
            <w:vAlign w:val="center"/>
            <w:hideMark/>
          </w:tcPr>
          <w:p w14:paraId="254CB23E"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Romania</w:t>
            </w:r>
          </w:p>
        </w:tc>
        <w:tc>
          <w:tcPr>
            <w:tcW w:w="851" w:type="dxa"/>
            <w:shd w:val="clear" w:color="auto" w:fill="92D050"/>
            <w:vAlign w:val="center"/>
          </w:tcPr>
          <w:p w14:paraId="4B9A4500" w14:textId="79CD228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0A5ECD51" w14:textId="07F7E1B3"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D9D9D9"/>
            <w:vAlign w:val="center"/>
          </w:tcPr>
          <w:p w14:paraId="71F7594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92D050"/>
            <w:noWrap/>
            <w:vAlign w:val="center"/>
            <w:hideMark/>
          </w:tcPr>
          <w:p w14:paraId="3928726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FBA88A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2194C55"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F920E4D"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13B8D5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74AB307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666FB6A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r>
      <w:tr w:rsidR="00583D57" w:rsidRPr="00367F86" w14:paraId="072FE878" w14:textId="77777777" w:rsidTr="00E3537D">
        <w:trPr>
          <w:trHeight w:val="340"/>
        </w:trPr>
        <w:tc>
          <w:tcPr>
            <w:tcW w:w="1129" w:type="dxa"/>
            <w:shd w:val="clear" w:color="auto" w:fill="auto"/>
            <w:noWrap/>
            <w:vAlign w:val="center"/>
            <w:hideMark/>
          </w:tcPr>
          <w:p w14:paraId="43E6C48F"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Slovakia</w:t>
            </w:r>
          </w:p>
        </w:tc>
        <w:tc>
          <w:tcPr>
            <w:tcW w:w="851" w:type="dxa"/>
            <w:shd w:val="clear" w:color="auto" w:fill="BDD7EE"/>
            <w:vAlign w:val="center"/>
          </w:tcPr>
          <w:p w14:paraId="37A20544" w14:textId="4DB27BFE"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SIR</w:t>
            </w:r>
          </w:p>
        </w:tc>
        <w:tc>
          <w:tcPr>
            <w:tcW w:w="794" w:type="dxa"/>
            <w:shd w:val="clear" w:color="auto" w:fill="BDD7EE"/>
            <w:vAlign w:val="center"/>
          </w:tcPr>
          <w:p w14:paraId="070F84EF" w14:textId="46369940" w:rsidR="00583D57" w:rsidRPr="00A8486B"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SIR</w:t>
            </w:r>
          </w:p>
        </w:tc>
        <w:tc>
          <w:tcPr>
            <w:tcW w:w="794" w:type="dxa"/>
            <w:shd w:val="clear" w:color="auto" w:fill="BDD7EE"/>
            <w:vAlign w:val="center"/>
          </w:tcPr>
          <w:p w14:paraId="796B764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2AA5572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240CAF5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5B0278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21E8337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640C220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4081EAF7"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531FD4B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2C15EF01" w14:textId="77777777" w:rsidTr="00E3537D">
        <w:trPr>
          <w:trHeight w:val="340"/>
        </w:trPr>
        <w:tc>
          <w:tcPr>
            <w:tcW w:w="1129" w:type="dxa"/>
            <w:shd w:val="clear" w:color="auto" w:fill="auto"/>
            <w:noWrap/>
            <w:vAlign w:val="center"/>
            <w:hideMark/>
          </w:tcPr>
          <w:p w14:paraId="53F5E65C"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Slovenia</w:t>
            </w:r>
          </w:p>
        </w:tc>
        <w:tc>
          <w:tcPr>
            <w:tcW w:w="851" w:type="dxa"/>
            <w:shd w:val="clear" w:color="auto" w:fill="92D050"/>
            <w:vAlign w:val="center"/>
          </w:tcPr>
          <w:p w14:paraId="6985476A" w14:textId="534BAF4A"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1B933C0E" w14:textId="75C6DFD1"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auto" w:fill="92D050"/>
            <w:vAlign w:val="center"/>
          </w:tcPr>
          <w:p w14:paraId="7A73966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3F5D41B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77AFA72E"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28AD8068"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2323D07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3000AE3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2529013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BDD7EE"/>
            <w:noWrap/>
            <w:vAlign w:val="center"/>
            <w:hideMark/>
          </w:tcPr>
          <w:p w14:paraId="311FCD5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5ED4D667" w14:textId="77777777" w:rsidTr="00E3537D">
        <w:trPr>
          <w:trHeight w:val="340"/>
        </w:trPr>
        <w:tc>
          <w:tcPr>
            <w:tcW w:w="1129" w:type="dxa"/>
            <w:shd w:val="clear" w:color="auto" w:fill="auto"/>
            <w:noWrap/>
            <w:vAlign w:val="center"/>
            <w:hideMark/>
          </w:tcPr>
          <w:p w14:paraId="607ED61F"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Spain</w:t>
            </w:r>
          </w:p>
        </w:tc>
        <w:tc>
          <w:tcPr>
            <w:tcW w:w="851" w:type="dxa"/>
            <w:shd w:val="clear" w:color="auto" w:fill="92D050"/>
            <w:vAlign w:val="center"/>
          </w:tcPr>
          <w:p w14:paraId="7B15212F" w14:textId="199098EE"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Q</w:t>
            </w:r>
          </w:p>
        </w:tc>
        <w:tc>
          <w:tcPr>
            <w:tcW w:w="794" w:type="dxa"/>
            <w:shd w:val="clear" w:color="auto" w:fill="92D050"/>
            <w:vAlign w:val="center"/>
          </w:tcPr>
          <w:p w14:paraId="7CE95E84" w14:textId="6AEF5823" w:rsidR="00583D57" w:rsidRPr="00367F86"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Q</w:t>
            </w:r>
          </w:p>
        </w:tc>
        <w:tc>
          <w:tcPr>
            <w:tcW w:w="794" w:type="dxa"/>
            <w:shd w:val="clear" w:color="auto" w:fill="92D050"/>
            <w:vAlign w:val="center"/>
          </w:tcPr>
          <w:p w14:paraId="1FDBE67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224338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51D9778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1ECBDD8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0DFD2E5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92D050"/>
            <w:noWrap/>
            <w:vAlign w:val="center"/>
            <w:hideMark/>
          </w:tcPr>
          <w:p w14:paraId="44E7E4A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Q</w:t>
            </w:r>
          </w:p>
        </w:tc>
        <w:tc>
          <w:tcPr>
            <w:tcW w:w="794" w:type="dxa"/>
            <w:shd w:val="clear" w:color="000000" w:fill="BDD7EE"/>
            <w:noWrap/>
            <w:vAlign w:val="center"/>
            <w:hideMark/>
          </w:tcPr>
          <w:p w14:paraId="0F3C7A3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E2A7B9C"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r w:rsidR="00583D57" w:rsidRPr="00367F86" w14:paraId="1307A9B6" w14:textId="77777777" w:rsidTr="00E3537D">
        <w:trPr>
          <w:trHeight w:val="340"/>
        </w:trPr>
        <w:tc>
          <w:tcPr>
            <w:tcW w:w="1129" w:type="dxa"/>
            <w:shd w:val="clear" w:color="auto" w:fill="auto"/>
            <w:noWrap/>
            <w:vAlign w:val="center"/>
            <w:hideMark/>
          </w:tcPr>
          <w:p w14:paraId="2632193E"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Sweden</w:t>
            </w:r>
          </w:p>
        </w:tc>
        <w:tc>
          <w:tcPr>
            <w:tcW w:w="851" w:type="dxa"/>
            <w:shd w:val="clear" w:color="auto" w:fill="D9D9D9"/>
            <w:vAlign w:val="center"/>
          </w:tcPr>
          <w:p w14:paraId="70005282" w14:textId="21563579"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t>
            </w:r>
          </w:p>
        </w:tc>
        <w:tc>
          <w:tcPr>
            <w:tcW w:w="794" w:type="dxa"/>
            <w:shd w:val="clear" w:color="auto" w:fill="B685DB"/>
            <w:vAlign w:val="center"/>
          </w:tcPr>
          <w:p w14:paraId="6AFF219C" w14:textId="12C23534"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794" w:type="dxa"/>
            <w:shd w:val="clear" w:color="auto" w:fill="B685DB"/>
            <w:vAlign w:val="center"/>
          </w:tcPr>
          <w:p w14:paraId="58B93F74" w14:textId="3FD07CA8" w:rsidR="00583D57" w:rsidRPr="00367F86"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794" w:type="dxa"/>
            <w:shd w:val="clear" w:color="000000" w:fill="D9D9D9"/>
            <w:noWrap/>
            <w:vAlign w:val="center"/>
            <w:hideMark/>
          </w:tcPr>
          <w:p w14:paraId="55C420A1"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6024920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7602488A"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50A5D2F6"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049B18E3"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4D16770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D9D9D9"/>
            <w:noWrap/>
            <w:vAlign w:val="center"/>
            <w:hideMark/>
          </w:tcPr>
          <w:p w14:paraId="71E255EF"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r>
      <w:tr w:rsidR="00583D57" w:rsidRPr="00367F86" w14:paraId="28C5F15A" w14:textId="77777777" w:rsidTr="00E3537D">
        <w:trPr>
          <w:trHeight w:val="340"/>
        </w:trPr>
        <w:tc>
          <w:tcPr>
            <w:tcW w:w="1129" w:type="dxa"/>
            <w:shd w:val="clear" w:color="auto" w:fill="auto"/>
            <w:noWrap/>
            <w:vAlign w:val="center"/>
            <w:hideMark/>
          </w:tcPr>
          <w:p w14:paraId="28067692" w14:textId="77777777" w:rsidR="00583D57" w:rsidRPr="00367F86" w:rsidRDefault="00583D57" w:rsidP="00583D57">
            <w:pPr>
              <w:spacing w:after="0" w:line="240" w:lineRule="auto"/>
              <w:rPr>
                <w:rFonts w:eastAsia="Times New Roman" w:cs="Tahoma"/>
                <w:color w:val="000000"/>
                <w:sz w:val="16"/>
                <w:szCs w:val="16"/>
                <w:lang w:eastAsia="en-GB"/>
              </w:rPr>
            </w:pPr>
            <w:r w:rsidRPr="00367F86">
              <w:rPr>
                <w:rFonts w:eastAsia="Times New Roman" w:cs="Tahoma"/>
                <w:color w:val="000000"/>
                <w:sz w:val="16"/>
                <w:szCs w:val="16"/>
                <w:lang w:eastAsia="en-GB"/>
              </w:rPr>
              <w:t>United Kingdom</w:t>
            </w:r>
          </w:p>
        </w:tc>
        <w:tc>
          <w:tcPr>
            <w:tcW w:w="851" w:type="dxa"/>
            <w:shd w:val="clear" w:color="auto" w:fill="D9D9D9"/>
            <w:vAlign w:val="center"/>
          </w:tcPr>
          <w:p w14:paraId="2D005EB9" w14:textId="65699D2F" w:rsidR="00583D57"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t>
            </w:r>
          </w:p>
        </w:tc>
        <w:tc>
          <w:tcPr>
            <w:tcW w:w="794" w:type="dxa"/>
            <w:shd w:val="clear" w:color="auto" w:fill="D9D9D9"/>
            <w:vAlign w:val="center"/>
          </w:tcPr>
          <w:p w14:paraId="1AFF9582" w14:textId="597D0A48" w:rsidR="00583D57" w:rsidRPr="00367F86" w:rsidRDefault="00583D57" w:rsidP="00583D57">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t>
            </w:r>
          </w:p>
        </w:tc>
        <w:tc>
          <w:tcPr>
            <w:tcW w:w="794" w:type="dxa"/>
            <w:shd w:val="clear" w:color="auto" w:fill="D9D9D9"/>
            <w:vAlign w:val="center"/>
          </w:tcPr>
          <w:p w14:paraId="5A17673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w:t>
            </w:r>
          </w:p>
        </w:tc>
        <w:tc>
          <w:tcPr>
            <w:tcW w:w="794" w:type="dxa"/>
            <w:shd w:val="clear" w:color="000000" w:fill="BDD7EE"/>
            <w:noWrap/>
            <w:vAlign w:val="center"/>
            <w:hideMark/>
          </w:tcPr>
          <w:p w14:paraId="4EE0157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05A3E6E0"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7BDCC9C8"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6035F684"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13EFF59"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38D6A132"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c>
          <w:tcPr>
            <w:tcW w:w="794" w:type="dxa"/>
            <w:shd w:val="clear" w:color="000000" w:fill="BDD7EE"/>
            <w:noWrap/>
            <w:vAlign w:val="center"/>
            <w:hideMark/>
          </w:tcPr>
          <w:p w14:paraId="1CF2C6EB" w14:textId="77777777" w:rsidR="00583D57" w:rsidRPr="00367F86" w:rsidRDefault="00583D57" w:rsidP="00583D57">
            <w:pPr>
              <w:spacing w:after="0" w:line="240" w:lineRule="auto"/>
              <w:jc w:val="center"/>
              <w:rPr>
                <w:rFonts w:eastAsia="Times New Roman" w:cs="Tahoma"/>
                <w:color w:val="000000"/>
                <w:sz w:val="16"/>
                <w:szCs w:val="16"/>
                <w:lang w:eastAsia="en-GB"/>
              </w:rPr>
            </w:pPr>
            <w:r w:rsidRPr="00367F86">
              <w:rPr>
                <w:rFonts w:eastAsia="Times New Roman" w:cs="Tahoma"/>
                <w:color w:val="000000"/>
                <w:sz w:val="16"/>
                <w:szCs w:val="16"/>
                <w:lang w:eastAsia="en-GB"/>
              </w:rPr>
              <w:t>SIR</w:t>
            </w:r>
          </w:p>
        </w:tc>
      </w:tr>
    </w:tbl>
    <w:p w14:paraId="6F422FC5" w14:textId="10118A39" w:rsidR="00B5040E" w:rsidRDefault="000C1690" w:rsidP="00452CE3">
      <w:pPr>
        <w:pStyle w:val="ECFootnote"/>
        <w:rPr>
          <w:rFonts w:cs="Tahoma"/>
          <w:color w:val="595959" w:themeColor="text1" w:themeTint="A6"/>
          <w:sz w:val="18"/>
        </w:rPr>
      </w:pPr>
      <w:r>
        <w:t xml:space="preserve">Q – quantitative data, MIC or zone mm; SIR – data interpreted with clinical breakpoints; </w:t>
      </w:r>
      <w:r w:rsidR="003548E7">
        <w:t>WGS</w:t>
      </w:r>
      <w:r>
        <w:t xml:space="preserve"> – resistance</w:t>
      </w:r>
      <w:r w:rsidR="00452CE3">
        <w:t xml:space="preserve"> </w:t>
      </w:r>
      <w:r w:rsidR="00C646E1">
        <w:t>p</w:t>
      </w:r>
      <w:r>
        <w:t>redicted from genotypic methods; - no data reported</w:t>
      </w:r>
      <w:r w:rsidR="00B5040E">
        <w:rPr>
          <w:rFonts w:cs="Tahoma"/>
          <w:color w:val="595959" w:themeColor="text1" w:themeTint="A6"/>
          <w:sz w:val="18"/>
        </w:rPr>
        <w:br w:type="page"/>
      </w:r>
    </w:p>
    <w:p w14:paraId="4702156E" w14:textId="2C9220E3" w:rsidR="00F239C1" w:rsidRDefault="00F239C1" w:rsidP="009F5B73">
      <w:pPr>
        <w:pStyle w:val="EC-Title-5"/>
        <w:outlineLvl w:val="0"/>
        <w:rPr>
          <w:i/>
        </w:rPr>
      </w:pPr>
      <w:bookmarkStart w:id="27" w:name="_Toc437442010"/>
      <w:bookmarkStart w:id="28" w:name="_Toc127531820"/>
      <w:r w:rsidRPr="009C217E">
        <w:lastRenderedPageBreak/>
        <w:t>Cholera</w:t>
      </w:r>
      <w:bookmarkEnd w:id="27"/>
      <w:bookmarkEnd w:id="28"/>
    </w:p>
    <w:p w14:paraId="02B3E2D5" w14:textId="52F3A9A1" w:rsidR="00EE1F3C" w:rsidRPr="00A32FE1" w:rsidRDefault="00CB3144" w:rsidP="00EE1F3C">
      <w:pPr>
        <w:pStyle w:val="EC-Para"/>
        <w:jc w:val="right"/>
        <w:rPr>
          <w:b/>
          <w:lang w:eastAsia="en-US"/>
        </w:rPr>
      </w:pPr>
      <w:r>
        <w:rPr>
          <w:b/>
          <w:lang w:eastAsia="en-US"/>
        </w:rPr>
        <w:t>Last updated: 13 August 2024</w:t>
      </w:r>
    </w:p>
    <w:p w14:paraId="4A11B209" w14:textId="2E298E59" w:rsidR="00EE1F3C" w:rsidRDefault="005A6584"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35FD082F" w14:textId="6C8013AD" w:rsidR="00F239C1" w:rsidRDefault="00F239C1" w:rsidP="00F239C1">
      <w:pPr>
        <w:pStyle w:val="EC-Para"/>
        <w:jc w:val="right"/>
        <w:rPr>
          <w:b/>
          <w:lang w:eastAsia="en-US"/>
        </w:rPr>
      </w:pPr>
    </w:p>
    <w:p w14:paraId="472FCA24" w14:textId="1A6D6E7D" w:rsidR="00F239C1" w:rsidRPr="00AC6104" w:rsidRDefault="00F239C1" w:rsidP="00F239C1">
      <w:pPr>
        <w:autoSpaceDE w:val="0"/>
        <w:autoSpaceDN w:val="0"/>
        <w:adjustRightInd w:val="0"/>
        <w:spacing w:after="120"/>
        <w:jc w:val="both"/>
        <w:rPr>
          <w:rFonts w:cs="Tahoma"/>
          <w:szCs w:val="18"/>
        </w:rPr>
      </w:pPr>
      <w:r w:rsidRPr="00AC6104">
        <w:rPr>
          <w:rFonts w:cs="Tahoma"/>
          <w:szCs w:val="18"/>
        </w:rPr>
        <w:t xml:space="preserve">Cholera </w:t>
      </w:r>
      <w:r w:rsidRPr="00AC6104">
        <w:rPr>
          <w:rFonts w:cs="Tahoma"/>
          <w:szCs w:val="18"/>
          <w:shd w:val="clear" w:color="auto" w:fill="FFFFFF"/>
        </w:rPr>
        <w:t xml:space="preserve">is </w:t>
      </w:r>
      <w:r w:rsidRPr="00AC6104">
        <w:rPr>
          <w:rFonts w:eastAsiaTheme="minorHAnsi" w:cs="Tahoma"/>
          <w:szCs w:val="18"/>
        </w:rPr>
        <w:t xml:space="preserve">a highly infectious acute enteric illness </w:t>
      </w:r>
      <w:r w:rsidRPr="00AC6104">
        <w:rPr>
          <w:rFonts w:cs="Tahoma"/>
          <w:szCs w:val="18"/>
          <w:shd w:val="clear" w:color="auto" w:fill="FFFFFF"/>
        </w:rPr>
        <w:t xml:space="preserve">caused by the bacterium </w:t>
      </w:r>
      <w:r w:rsidRPr="00AC6104">
        <w:rPr>
          <w:rFonts w:cs="Tahoma"/>
          <w:i/>
          <w:szCs w:val="18"/>
          <w:shd w:val="clear" w:color="auto" w:fill="FFFFFF"/>
        </w:rPr>
        <w:t>Vibrio cholerae,</w:t>
      </w:r>
      <w:r w:rsidRPr="00AC6104">
        <w:rPr>
          <w:rFonts w:cs="Tahoma"/>
          <w:szCs w:val="18"/>
          <w:shd w:val="clear" w:color="auto" w:fill="FFFFFF"/>
        </w:rPr>
        <w:t xml:space="preserve"> serogroups O1 or O139.</w:t>
      </w:r>
      <w:r w:rsidRPr="00AC6104">
        <w:rPr>
          <w:rStyle w:val="Emphasis"/>
          <w:rFonts w:cs="Tahoma"/>
          <w:szCs w:val="18"/>
          <w:lang w:val="en"/>
        </w:rPr>
        <w:t xml:space="preserve"> </w:t>
      </w:r>
      <w:r w:rsidRPr="00AC6104">
        <w:rPr>
          <w:rFonts w:eastAsiaTheme="minorHAnsi" w:cs="Tahoma"/>
          <w:szCs w:val="18"/>
        </w:rPr>
        <w:t xml:space="preserve">For a more detailed description of the disease and its epidemiology, </w:t>
      </w:r>
      <w:r w:rsidRPr="009D4D86">
        <w:rPr>
          <w:rFonts w:eastAsiaTheme="minorHAnsi" w:cs="Tahoma"/>
          <w:szCs w:val="18"/>
        </w:rPr>
        <w:t>please click</w:t>
      </w:r>
      <w:r w:rsidR="00E36F2F" w:rsidRPr="009D4D86">
        <w:rPr>
          <w:rFonts w:eastAsiaTheme="minorHAnsi" w:cs="Tahoma"/>
          <w:szCs w:val="18"/>
        </w:rPr>
        <w:t xml:space="preserve"> </w:t>
      </w:r>
      <w:hyperlink r:id="rId29" w:history="1">
        <w:r w:rsidR="00E36F2F" w:rsidRPr="009D4D86">
          <w:rPr>
            <w:rStyle w:val="Hyperlink"/>
            <w:i/>
            <w:iCs/>
            <w:sz w:val="18"/>
            <w:szCs w:val="18"/>
          </w:rPr>
          <w:t>here</w:t>
        </w:r>
      </w:hyperlink>
      <w:r w:rsidRPr="009D4D86">
        <w:rPr>
          <w:rStyle w:val="Hyperlink"/>
          <w:rFonts w:cs="Tahoma"/>
          <w:i/>
          <w:sz w:val="18"/>
          <w:szCs w:val="18"/>
        </w:rPr>
        <w:t>.</w:t>
      </w:r>
      <w:r w:rsidRPr="00AC6104">
        <w:rPr>
          <w:rStyle w:val="Hyperlink"/>
          <w:rFonts w:cs="Tahoma"/>
          <w:i/>
          <w:szCs w:val="18"/>
        </w:rPr>
        <w:t xml:space="preserve">  </w:t>
      </w:r>
    </w:p>
    <w:p w14:paraId="0F6AA378" w14:textId="77777777" w:rsidR="00F239C1" w:rsidRDefault="00F239C1" w:rsidP="009F5B73">
      <w:pPr>
        <w:pStyle w:val="EC-Title-6"/>
        <w:outlineLvl w:val="1"/>
        <w:rPr>
          <w:rFonts w:cs="Tahoma"/>
        </w:rPr>
      </w:pPr>
      <w:r>
        <w:rPr>
          <w:rFonts w:cs="Tahoma"/>
        </w:rPr>
        <w:t>Data</w:t>
      </w:r>
    </w:p>
    <w:p w14:paraId="090DE4A6" w14:textId="2D7940C9" w:rsidR="00F239C1" w:rsidRDefault="00F239C1" w:rsidP="00F239C1">
      <w:pPr>
        <w:pStyle w:val="EC-Para"/>
        <w:jc w:val="both"/>
        <w:rPr>
          <w:rFonts w:cs="Tahoma"/>
        </w:rPr>
      </w:pPr>
      <w:r>
        <w:rPr>
          <w:rFonts w:cs="Tahoma"/>
        </w:rPr>
        <w:t xml:space="preserve">The Surveillance Atlas of Infectious Diseases displays data on cholera reported by the </w:t>
      </w:r>
      <w:r w:rsidR="00E75405">
        <w:rPr>
          <w:rFonts w:cs="Tahoma"/>
        </w:rPr>
        <w:t>EU/EEA countries</w:t>
      </w:r>
      <w:r>
        <w:rPr>
          <w:rFonts w:cs="Tahoma"/>
        </w:rPr>
        <w:t>. C</w:t>
      </w:r>
      <w:r w:rsidRPr="007B34B1">
        <w:rPr>
          <w:rFonts w:cs="Tahoma"/>
        </w:rPr>
        <w:t xml:space="preserve">ases </w:t>
      </w:r>
      <w:r>
        <w:rPr>
          <w:rFonts w:cs="Tahoma"/>
        </w:rPr>
        <w:t>are to</w:t>
      </w:r>
      <w:r w:rsidRPr="007B34B1">
        <w:rPr>
          <w:rFonts w:cs="Tahoma"/>
        </w:rPr>
        <w:t xml:space="preserve"> be reported according to the 201</w:t>
      </w:r>
      <w:r w:rsidR="00F53BCA">
        <w:rPr>
          <w:rFonts w:cs="Tahoma"/>
        </w:rPr>
        <w:t>8</w:t>
      </w:r>
      <w:r w:rsidRPr="007B34B1">
        <w:rPr>
          <w:rFonts w:cs="Tahoma"/>
        </w:rPr>
        <w:t xml:space="preserve"> EU case definition for </w:t>
      </w:r>
      <w:r>
        <w:rPr>
          <w:rFonts w:cs="Tahoma"/>
        </w:rPr>
        <w:t>cholera</w:t>
      </w:r>
      <w:r>
        <w:rPr>
          <w:rStyle w:val="FootnoteReference"/>
          <w:rFonts w:cs="Tahoma"/>
        </w:rPr>
        <w:footnoteReference w:id="12"/>
      </w:r>
      <w:r>
        <w:rPr>
          <w:rFonts w:cs="Tahoma"/>
        </w:rPr>
        <w:t>:</w:t>
      </w:r>
    </w:p>
    <w:p w14:paraId="750974AA" w14:textId="77777777" w:rsidR="00F239C1" w:rsidRDefault="00F239C1" w:rsidP="00F239C1">
      <w:pPr>
        <w:autoSpaceDE w:val="0"/>
        <w:autoSpaceDN w:val="0"/>
        <w:adjustRightInd w:val="0"/>
        <w:spacing w:before="60" w:after="60"/>
        <w:rPr>
          <w:rFonts w:eastAsiaTheme="minorHAnsi" w:cs="Tahoma"/>
          <w:b/>
          <w:bCs/>
          <w:color w:val="000000"/>
          <w:szCs w:val="18"/>
        </w:rPr>
      </w:pPr>
    </w:p>
    <w:p w14:paraId="06CD9F16"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b/>
          <w:bCs/>
          <w:color w:val="000000"/>
          <w:szCs w:val="18"/>
        </w:rPr>
        <w:t xml:space="preserve">Clinical </w:t>
      </w:r>
      <w:r>
        <w:rPr>
          <w:rFonts w:eastAsiaTheme="minorHAnsi" w:cs="Tahoma"/>
          <w:b/>
          <w:bCs/>
          <w:color w:val="000000"/>
          <w:szCs w:val="18"/>
        </w:rPr>
        <w:t>c</w:t>
      </w:r>
      <w:r w:rsidRPr="001942DF">
        <w:rPr>
          <w:rFonts w:eastAsiaTheme="minorHAnsi" w:cs="Tahoma"/>
          <w:b/>
          <w:bCs/>
          <w:color w:val="000000"/>
          <w:szCs w:val="18"/>
        </w:rPr>
        <w:t xml:space="preserve">riteria </w:t>
      </w:r>
    </w:p>
    <w:p w14:paraId="195CD640"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color w:val="000000"/>
          <w:szCs w:val="18"/>
        </w:rPr>
        <w:t xml:space="preserve">Any person with at least one of the following two: </w:t>
      </w:r>
    </w:p>
    <w:p w14:paraId="19942520"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color w:val="000000"/>
          <w:szCs w:val="18"/>
        </w:rPr>
        <w:t xml:space="preserve">— </w:t>
      </w:r>
      <w:proofErr w:type="gramStart"/>
      <w:r w:rsidRPr="001942DF">
        <w:rPr>
          <w:rFonts w:eastAsiaTheme="minorHAnsi" w:cs="Tahoma"/>
          <w:color w:val="000000"/>
          <w:szCs w:val="18"/>
        </w:rPr>
        <w:t>Diarrhoea</w:t>
      </w:r>
      <w:r>
        <w:rPr>
          <w:rFonts w:eastAsiaTheme="minorHAnsi" w:cs="Tahoma"/>
          <w:color w:val="000000"/>
          <w:szCs w:val="18"/>
        </w:rPr>
        <w:t>;</w:t>
      </w:r>
      <w:proofErr w:type="gramEnd"/>
      <w:r w:rsidRPr="001942DF">
        <w:rPr>
          <w:rFonts w:eastAsiaTheme="minorHAnsi" w:cs="Tahoma"/>
          <w:color w:val="000000"/>
          <w:szCs w:val="18"/>
        </w:rPr>
        <w:t xml:space="preserve"> </w:t>
      </w:r>
    </w:p>
    <w:p w14:paraId="6361083A"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color w:val="000000"/>
          <w:szCs w:val="18"/>
        </w:rPr>
        <w:t>— Vomiting</w:t>
      </w:r>
      <w:r>
        <w:rPr>
          <w:rFonts w:eastAsiaTheme="minorHAnsi" w:cs="Tahoma"/>
          <w:color w:val="000000"/>
          <w:szCs w:val="18"/>
        </w:rPr>
        <w:t>.</w:t>
      </w:r>
      <w:r w:rsidRPr="001942DF">
        <w:rPr>
          <w:rFonts w:eastAsiaTheme="minorHAnsi" w:cs="Tahoma"/>
          <w:color w:val="000000"/>
          <w:szCs w:val="18"/>
        </w:rPr>
        <w:t xml:space="preserve"> </w:t>
      </w:r>
    </w:p>
    <w:p w14:paraId="1C857D7A"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b/>
          <w:bCs/>
          <w:color w:val="000000"/>
          <w:szCs w:val="18"/>
        </w:rPr>
        <w:t xml:space="preserve">Laboratory </w:t>
      </w:r>
      <w:r>
        <w:rPr>
          <w:rFonts w:eastAsiaTheme="minorHAnsi" w:cs="Tahoma"/>
          <w:b/>
          <w:bCs/>
          <w:color w:val="000000"/>
          <w:szCs w:val="18"/>
        </w:rPr>
        <w:t>c</w:t>
      </w:r>
      <w:r w:rsidRPr="001942DF">
        <w:rPr>
          <w:rFonts w:eastAsiaTheme="minorHAnsi" w:cs="Tahoma"/>
          <w:b/>
          <w:bCs/>
          <w:color w:val="000000"/>
          <w:szCs w:val="18"/>
        </w:rPr>
        <w:t xml:space="preserve">riteria </w:t>
      </w:r>
    </w:p>
    <w:p w14:paraId="482B7415"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color w:val="000000"/>
          <w:szCs w:val="18"/>
        </w:rPr>
        <w:t xml:space="preserve">— Isolation of </w:t>
      </w:r>
      <w:r w:rsidRPr="001942DF">
        <w:rPr>
          <w:rFonts w:eastAsiaTheme="minorHAnsi" w:cs="Tahoma"/>
          <w:i/>
          <w:iCs/>
          <w:color w:val="000000"/>
          <w:szCs w:val="18"/>
        </w:rPr>
        <w:t xml:space="preserve">Vibrio cholerae </w:t>
      </w:r>
      <w:r w:rsidRPr="001942DF">
        <w:rPr>
          <w:rFonts w:eastAsiaTheme="minorHAnsi" w:cs="Tahoma"/>
          <w:color w:val="000000"/>
          <w:szCs w:val="18"/>
        </w:rPr>
        <w:t xml:space="preserve">from a clinical </w:t>
      </w:r>
      <w:proofErr w:type="gramStart"/>
      <w:r w:rsidRPr="001942DF">
        <w:rPr>
          <w:rFonts w:eastAsiaTheme="minorHAnsi" w:cs="Tahoma"/>
          <w:color w:val="000000"/>
          <w:szCs w:val="18"/>
        </w:rPr>
        <w:t>specimen</w:t>
      </w:r>
      <w:r>
        <w:rPr>
          <w:rFonts w:eastAsiaTheme="minorHAnsi" w:cs="Tahoma"/>
          <w:color w:val="000000"/>
          <w:szCs w:val="18"/>
        </w:rPr>
        <w:t>;</w:t>
      </w:r>
      <w:proofErr w:type="gramEnd"/>
      <w:r w:rsidRPr="001942DF">
        <w:rPr>
          <w:rFonts w:eastAsiaTheme="minorHAnsi" w:cs="Tahoma"/>
          <w:color w:val="000000"/>
          <w:szCs w:val="18"/>
        </w:rPr>
        <w:t xml:space="preserve"> </w:t>
      </w:r>
    </w:p>
    <w:p w14:paraId="46111D66"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color w:val="000000"/>
          <w:szCs w:val="18"/>
        </w:rPr>
        <w:t xml:space="preserve">AND </w:t>
      </w:r>
    </w:p>
    <w:p w14:paraId="19A1AEBE"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color w:val="000000"/>
          <w:szCs w:val="18"/>
        </w:rPr>
        <w:t xml:space="preserve">— Demonstration of O1 or O139 antigen in the </w:t>
      </w:r>
      <w:proofErr w:type="gramStart"/>
      <w:r w:rsidRPr="001942DF">
        <w:rPr>
          <w:rFonts w:eastAsiaTheme="minorHAnsi" w:cs="Tahoma"/>
          <w:color w:val="000000"/>
          <w:szCs w:val="18"/>
        </w:rPr>
        <w:t>isolate</w:t>
      </w:r>
      <w:r>
        <w:rPr>
          <w:rFonts w:eastAsiaTheme="minorHAnsi" w:cs="Tahoma"/>
          <w:color w:val="000000"/>
          <w:szCs w:val="18"/>
        </w:rPr>
        <w:t>;</w:t>
      </w:r>
      <w:proofErr w:type="gramEnd"/>
      <w:r w:rsidRPr="001942DF">
        <w:rPr>
          <w:rFonts w:eastAsiaTheme="minorHAnsi" w:cs="Tahoma"/>
          <w:color w:val="000000"/>
          <w:szCs w:val="18"/>
        </w:rPr>
        <w:t xml:space="preserve"> </w:t>
      </w:r>
    </w:p>
    <w:p w14:paraId="6AB97CF2"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color w:val="000000"/>
          <w:szCs w:val="18"/>
        </w:rPr>
        <w:t xml:space="preserve">AND </w:t>
      </w:r>
    </w:p>
    <w:p w14:paraId="68FB4C85"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color w:val="000000"/>
          <w:szCs w:val="18"/>
        </w:rPr>
        <w:t>— Demonstration of cholera-enterotoxin or the cholera-enterotoxin gene in the isolate</w:t>
      </w:r>
      <w:r>
        <w:rPr>
          <w:rFonts w:eastAsiaTheme="minorHAnsi" w:cs="Tahoma"/>
          <w:color w:val="000000"/>
          <w:szCs w:val="18"/>
        </w:rPr>
        <w:t>.</w:t>
      </w:r>
      <w:r w:rsidRPr="001942DF">
        <w:rPr>
          <w:rFonts w:eastAsiaTheme="minorHAnsi" w:cs="Tahoma"/>
          <w:color w:val="000000"/>
          <w:szCs w:val="18"/>
        </w:rPr>
        <w:t xml:space="preserve"> </w:t>
      </w:r>
    </w:p>
    <w:p w14:paraId="0BB366C8" w14:textId="77777777" w:rsidR="00F239C1" w:rsidRPr="001942D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b/>
          <w:bCs/>
          <w:color w:val="000000"/>
          <w:szCs w:val="18"/>
        </w:rPr>
        <w:t xml:space="preserve">Epidemiological </w:t>
      </w:r>
      <w:r>
        <w:rPr>
          <w:rFonts w:eastAsiaTheme="minorHAnsi" w:cs="Tahoma"/>
          <w:b/>
          <w:bCs/>
          <w:color w:val="000000"/>
          <w:szCs w:val="18"/>
        </w:rPr>
        <w:t>c</w:t>
      </w:r>
      <w:r w:rsidRPr="001942DF">
        <w:rPr>
          <w:rFonts w:eastAsiaTheme="minorHAnsi" w:cs="Tahoma"/>
          <w:b/>
          <w:bCs/>
          <w:color w:val="000000"/>
          <w:szCs w:val="18"/>
        </w:rPr>
        <w:t xml:space="preserve">riteria </w:t>
      </w:r>
    </w:p>
    <w:p w14:paraId="7C7ABFAC" w14:textId="77777777" w:rsidR="00F239C1" w:rsidRPr="009D3F1F" w:rsidRDefault="00F239C1" w:rsidP="00F239C1">
      <w:pPr>
        <w:autoSpaceDE w:val="0"/>
        <w:autoSpaceDN w:val="0"/>
        <w:adjustRightInd w:val="0"/>
        <w:spacing w:before="60" w:after="60"/>
        <w:rPr>
          <w:rFonts w:eastAsiaTheme="minorHAnsi" w:cs="Tahoma"/>
          <w:color w:val="000000"/>
          <w:szCs w:val="18"/>
        </w:rPr>
      </w:pPr>
      <w:r w:rsidRPr="001942DF">
        <w:rPr>
          <w:rFonts w:eastAsiaTheme="minorHAnsi" w:cs="Tahoma"/>
          <w:color w:val="000000"/>
          <w:szCs w:val="18"/>
        </w:rPr>
        <w:t xml:space="preserve">At </w:t>
      </w:r>
      <w:r w:rsidRPr="009D3F1F">
        <w:rPr>
          <w:rFonts w:eastAsiaTheme="minorHAnsi" w:cs="Tahoma"/>
          <w:color w:val="000000"/>
          <w:szCs w:val="18"/>
        </w:rPr>
        <w:t xml:space="preserve">least one of the following four epidemiological links: </w:t>
      </w:r>
    </w:p>
    <w:p w14:paraId="0C183275" w14:textId="77777777" w:rsidR="00F239C1" w:rsidRPr="009D3F1F" w:rsidRDefault="00F239C1"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 Exposure to a common </w:t>
      </w:r>
      <w:proofErr w:type="gramStart"/>
      <w:r w:rsidRPr="009D3F1F">
        <w:rPr>
          <w:rFonts w:eastAsiaTheme="minorHAnsi" w:cs="Tahoma"/>
          <w:color w:val="000000"/>
          <w:szCs w:val="18"/>
        </w:rPr>
        <w:t>source;</w:t>
      </w:r>
      <w:proofErr w:type="gramEnd"/>
      <w:r w:rsidRPr="009D3F1F">
        <w:rPr>
          <w:rFonts w:eastAsiaTheme="minorHAnsi" w:cs="Tahoma"/>
          <w:color w:val="000000"/>
          <w:szCs w:val="18"/>
        </w:rPr>
        <w:t xml:space="preserve"> </w:t>
      </w:r>
    </w:p>
    <w:p w14:paraId="1754677B" w14:textId="5246CA84" w:rsidR="00F239C1" w:rsidRPr="009D3F1F" w:rsidRDefault="00F239C1"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Human</w:t>
      </w:r>
      <w:r w:rsidR="00407E56" w:rsidRPr="009D3F1F">
        <w:rPr>
          <w:rFonts w:eastAsiaTheme="minorHAnsi" w:cs="Tahoma"/>
          <w:color w:val="000000"/>
          <w:szCs w:val="18"/>
        </w:rPr>
        <w:t xml:space="preserve"> </w:t>
      </w:r>
      <w:r w:rsidRPr="009D3F1F">
        <w:rPr>
          <w:rFonts w:eastAsiaTheme="minorHAnsi" w:cs="Tahoma"/>
          <w:color w:val="000000"/>
          <w:szCs w:val="18"/>
        </w:rPr>
        <w:t>to</w:t>
      </w:r>
      <w:r w:rsidR="00407E56" w:rsidRPr="009D3F1F">
        <w:rPr>
          <w:rFonts w:eastAsiaTheme="minorHAnsi" w:cs="Tahoma"/>
          <w:color w:val="000000"/>
          <w:szCs w:val="18"/>
        </w:rPr>
        <w:t xml:space="preserve"> </w:t>
      </w:r>
      <w:r w:rsidRPr="009D3F1F">
        <w:rPr>
          <w:rFonts w:eastAsiaTheme="minorHAnsi" w:cs="Tahoma"/>
          <w:color w:val="000000"/>
          <w:szCs w:val="18"/>
        </w:rPr>
        <w:t xml:space="preserve">human </w:t>
      </w:r>
      <w:proofErr w:type="gramStart"/>
      <w:r w:rsidRPr="009D3F1F">
        <w:rPr>
          <w:rFonts w:eastAsiaTheme="minorHAnsi" w:cs="Tahoma"/>
          <w:color w:val="000000"/>
          <w:szCs w:val="18"/>
        </w:rPr>
        <w:t>transmission;</w:t>
      </w:r>
      <w:proofErr w:type="gramEnd"/>
      <w:r w:rsidRPr="009D3F1F">
        <w:rPr>
          <w:rFonts w:eastAsiaTheme="minorHAnsi" w:cs="Tahoma"/>
          <w:color w:val="000000"/>
          <w:szCs w:val="18"/>
        </w:rPr>
        <w:t xml:space="preserve"> </w:t>
      </w:r>
    </w:p>
    <w:p w14:paraId="1C129D45" w14:textId="77777777" w:rsidR="00F239C1" w:rsidRPr="009D3F1F" w:rsidRDefault="00F239C1"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xml:space="preserve">— Exposure to contaminated food/drinking </w:t>
      </w:r>
      <w:proofErr w:type="gramStart"/>
      <w:r w:rsidRPr="009D3F1F">
        <w:rPr>
          <w:rFonts w:eastAsiaTheme="minorHAnsi" w:cs="Tahoma"/>
          <w:color w:val="000000"/>
          <w:szCs w:val="18"/>
        </w:rPr>
        <w:t>water;</w:t>
      </w:r>
      <w:proofErr w:type="gramEnd"/>
      <w:r w:rsidRPr="009D3F1F">
        <w:rPr>
          <w:rFonts w:eastAsiaTheme="minorHAnsi" w:cs="Tahoma"/>
          <w:color w:val="000000"/>
          <w:szCs w:val="18"/>
        </w:rPr>
        <w:t xml:space="preserve"> </w:t>
      </w:r>
    </w:p>
    <w:p w14:paraId="112833C4" w14:textId="77777777" w:rsidR="00F239C1" w:rsidRPr="009D3F1F" w:rsidRDefault="00F239C1"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 Environmental exposure.</w:t>
      </w:r>
    </w:p>
    <w:p w14:paraId="4E56958F" w14:textId="77777777" w:rsidR="00F239C1" w:rsidRPr="009D3F1F" w:rsidRDefault="00F239C1" w:rsidP="00F239C1">
      <w:pPr>
        <w:autoSpaceDE w:val="0"/>
        <w:autoSpaceDN w:val="0"/>
        <w:adjustRightInd w:val="0"/>
        <w:spacing w:before="60" w:after="60"/>
        <w:rPr>
          <w:rFonts w:ascii="EUAlbertina" w:eastAsiaTheme="minorHAnsi" w:hAnsi="EUAlbertina" w:cs="EUAlbertina"/>
          <w:color w:val="000000"/>
          <w:sz w:val="24"/>
        </w:rPr>
      </w:pPr>
    </w:p>
    <w:p w14:paraId="6AB460FE" w14:textId="79ACCF27" w:rsidR="00F239C1" w:rsidRPr="009D3F1F" w:rsidRDefault="00F239C1" w:rsidP="00F239C1">
      <w:pPr>
        <w:pStyle w:val="CM4"/>
        <w:spacing w:before="60" w:after="60"/>
        <w:rPr>
          <w:rFonts w:ascii="Tahoma" w:hAnsi="Tahoma" w:cs="Tahoma"/>
          <w:color w:val="000000"/>
          <w:sz w:val="18"/>
          <w:szCs w:val="18"/>
        </w:rPr>
      </w:pPr>
      <w:r w:rsidRPr="009D3F1F">
        <w:rPr>
          <w:rFonts w:ascii="Tahoma" w:hAnsi="Tahoma" w:cs="Tahoma"/>
          <w:b/>
          <w:sz w:val="18"/>
          <w:szCs w:val="18"/>
        </w:rPr>
        <w:t>Case classification</w:t>
      </w:r>
      <w:r w:rsidR="00407E56" w:rsidRPr="009D3F1F">
        <w:rPr>
          <w:rFonts w:ascii="Tahoma" w:hAnsi="Tahoma" w:cs="Tahoma"/>
          <w:b/>
          <w:sz w:val="18"/>
          <w:szCs w:val="18"/>
        </w:rPr>
        <w:br/>
      </w:r>
      <w:r w:rsidR="00407E56" w:rsidRPr="009D3F1F">
        <w:rPr>
          <w:rFonts w:ascii="Tahoma" w:hAnsi="Tahoma" w:cs="Tahoma"/>
          <w:sz w:val="18"/>
          <w:szCs w:val="18"/>
        </w:rPr>
        <w:t>A. Possible case: NA</w:t>
      </w:r>
    </w:p>
    <w:p w14:paraId="24F9EC82" w14:textId="00D41328" w:rsidR="00F239C1" w:rsidRPr="009D3F1F" w:rsidRDefault="00C20C5D" w:rsidP="00F239C1">
      <w:pPr>
        <w:autoSpaceDE w:val="0"/>
        <w:autoSpaceDN w:val="0"/>
        <w:adjustRightInd w:val="0"/>
        <w:spacing w:before="60" w:after="60"/>
        <w:rPr>
          <w:rFonts w:eastAsiaTheme="minorHAnsi" w:cs="Tahoma"/>
          <w:color w:val="000000"/>
          <w:szCs w:val="18"/>
        </w:rPr>
      </w:pPr>
      <w:r w:rsidRPr="009D3F1F">
        <w:rPr>
          <w:rFonts w:eastAsiaTheme="minorHAnsi" w:cs="Tahoma"/>
          <w:color w:val="000000"/>
          <w:szCs w:val="18"/>
        </w:rPr>
        <w:t>B</w:t>
      </w:r>
      <w:r w:rsidR="00F239C1" w:rsidRPr="009D3F1F">
        <w:rPr>
          <w:rFonts w:eastAsiaTheme="minorHAnsi" w:cs="Tahoma"/>
          <w:color w:val="000000"/>
          <w:szCs w:val="18"/>
        </w:rPr>
        <w:t xml:space="preserve">. </w:t>
      </w:r>
      <w:r w:rsidR="00F239C1" w:rsidRPr="009D3F1F">
        <w:rPr>
          <w:rFonts w:eastAsiaTheme="minorHAnsi" w:cs="Tahoma"/>
          <w:bCs/>
          <w:color w:val="000000"/>
          <w:szCs w:val="18"/>
        </w:rPr>
        <w:t xml:space="preserve">Probable case: </w:t>
      </w:r>
      <w:r w:rsidR="00F239C1" w:rsidRPr="009D3F1F">
        <w:rPr>
          <w:rFonts w:eastAsiaTheme="minorHAnsi" w:cs="Tahoma"/>
          <w:color w:val="000000"/>
          <w:szCs w:val="18"/>
        </w:rPr>
        <w:t>Any person meeting the clinical criteria with an epidemiological link</w:t>
      </w:r>
    </w:p>
    <w:p w14:paraId="22F2F0D9" w14:textId="62EF99E8" w:rsidR="00F239C1" w:rsidRPr="009D3F1F" w:rsidRDefault="00C20C5D" w:rsidP="00F239C1">
      <w:pPr>
        <w:autoSpaceDE w:val="0"/>
        <w:autoSpaceDN w:val="0"/>
        <w:adjustRightInd w:val="0"/>
        <w:spacing w:before="60" w:after="60"/>
        <w:rPr>
          <w:rFonts w:eastAsiaTheme="minorHAnsi" w:cs="Tahoma"/>
          <w:szCs w:val="18"/>
        </w:rPr>
      </w:pPr>
      <w:r w:rsidRPr="009D3F1F">
        <w:rPr>
          <w:rFonts w:eastAsiaTheme="minorHAnsi" w:cs="Tahoma"/>
          <w:color w:val="000000"/>
          <w:szCs w:val="18"/>
        </w:rPr>
        <w:t>C</w:t>
      </w:r>
      <w:r w:rsidR="00F239C1" w:rsidRPr="009D3F1F">
        <w:rPr>
          <w:rFonts w:eastAsiaTheme="minorHAnsi" w:cs="Tahoma"/>
          <w:color w:val="000000"/>
          <w:szCs w:val="18"/>
        </w:rPr>
        <w:t xml:space="preserve">. </w:t>
      </w:r>
      <w:r w:rsidR="00F239C1" w:rsidRPr="009D3F1F">
        <w:rPr>
          <w:rFonts w:eastAsiaTheme="minorHAnsi" w:cs="Tahoma"/>
          <w:bCs/>
          <w:color w:val="000000"/>
          <w:szCs w:val="18"/>
        </w:rPr>
        <w:t xml:space="preserve">Confirmed case: </w:t>
      </w:r>
      <w:r w:rsidR="00F239C1" w:rsidRPr="009D3F1F">
        <w:rPr>
          <w:rFonts w:eastAsiaTheme="minorHAnsi" w:cs="Tahoma"/>
          <w:szCs w:val="18"/>
        </w:rPr>
        <w:t>Any person meeting the clinical and the laboratory criteria</w:t>
      </w:r>
    </w:p>
    <w:p w14:paraId="27D4F5B7" w14:textId="0809FCC6" w:rsidR="00407E56" w:rsidRPr="009D3F1F" w:rsidRDefault="00407E56" w:rsidP="00F239C1">
      <w:pPr>
        <w:autoSpaceDE w:val="0"/>
        <w:autoSpaceDN w:val="0"/>
        <w:adjustRightInd w:val="0"/>
        <w:spacing w:before="60" w:after="60"/>
        <w:rPr>
          <w:rFonts w:eastAsiaTheme="minorHAnsi" w:cs="Tahoma"/>
          <w:color w:val="000000"/>
          <w:szCs w:val="18"/>
        </w:rPr>
      </w:pPr>
    </w:p>
    <w:p w14:paraId="0232F287" w14:textId="33C11758" w:rsidR="00407E56" w:rsidRPr="009D3F1F" w:rsidRDefault="00407E56" w:rsidP="00F239C1">
      <w:pPr>
        <w:autoSpaceDE w:val="0"/>
        <w:autoSpaceDN w:val="0"/>
        <w:adjustRightInd w:val="0"/>
        <w:spacing w:before="60" w:after="60"/>
        <w:rPr>
          <w:rFonts w:eastAsiaTheme="minorHAnsi" w:cs="Tahoma"/>
          <w:color w:val="000000"/>
          <w:szCs w:val="18"/>
        </w:rPr>
      </w:pPr>
      <w:r w:rsidRPr="009D3F1F">
        <w:rPr>
          <w:szCs w:val="18"/>
        </w:rPr>
        <w:t>Note: If the national surveillance system is not capturing clinical symptoms, all laboratory-confirmed individuals should be reported as confirmed cases.</w:t>
      </w:r>
    </w:p>
    <w:p w14:paraId="5D0E8275" w14:textId="77777777" w:rsidR="009D3F1F" w:rsidRDefault="009D3F1F" w:rsidP="009D3F1F">
      <w:pPr>
        <w:pStyle w:val="EC-Para"/>
        <w:spacing w:after="0" w:line="240" w:lineRule="auto"/>
        <w:jc w:val="both"/>
        <w:rPr>
          <w:rFonts w:cs="Tahoma"/>
        </w:rPr>
      </w:pPr>
    </w:p>
    <w:p w14:paraId="26202B50" w14:textId="5CDA726D" w:rsidR="009D3F1F" w:rsidRDefault="009D3F1F" w:rsidP="009D3F1F">
      <w:pPr>
        <w:pStyle w:val="EC-Para"/>
        <w:spacing w:after="0" w:line="240" w:lineRule="auto"/>
        <w:jc w:val="both"/>
        <w:rPr>
          <w:rFonts w:cs="Tahoma"/>
        </w:rPr>
      </w:pPr>
      <w:r>
        <w:rPr>
          <w:rFonts w:cs="Tahoma"/>
        </w:rPr>
        <w:t>------------------------</w:t>
      </w:r>
    </w:p>
    <w:p w14:paraId="0D702479" w14:textId="677076AC" w:rsidR="00B3152F" w:rsidRDefault="009D3F1F" w:rsidP="00F239C1">
      <w:pPr>
        <w:pStyle w:val="EC-Para"/>
        <w:spacing w:after="0" w:line="240" w:lineRule="auto"/>
        <w:jc w:val="both"/>
        <w:rPr>
          <w:lang w:eastAsia="en-US"/>
        </w:rPr>
      </w:pPr>
      <w:r>
        <w:rPr>
          <w:lang w:eastAsia="en-US"/>
        </w:rPr>
        <w:t>(</w:t>
      </w:r>
      <w:r w:rsidR="00FC3983">
        <w:rPr>
          <w:lang w:eastAsia="en-US"/>
        </w:rPr>
        <w:t>T</w:t>
      </w:r>
      <w:r w:rsidR="00FC3983" w:rsidRPr="00B960F7">
        <w:rPr>
          <w:lang w:eastAsia="en-US"/>
        </w:rPr>
        <w:t xml:space="preserve">he </w:t>
      </w:r>
      <w:r w:rsidR="00FC3983">
        <w:rPr>
          <w:lang w:eastAsia="en-US"/>
        </w:rPr>
        <w:t>note is the only difference between the 2018</w:t>
      </w:r>
      <w:r w:rsidR="00FC3983" w:rsidRPr="00B960F7">
        <w:rPr>
          <w:lang w:eastAsia="en-US"/>
        </w:rPr>
        <w:t xml:space="preserve"> EU cas</w:t>
      </w:r>
      <w:r w:rsidR="00FC3983">
        <w:rPr>
          <w:lang w:eastAsia="en-US"/>
        </w:rPr>
        <w:t>e definition and the</w:t>
      </w:r>
      <w:r w:rsidR="00FC3983" w:rsidRPr="00B960F7">
        <w:rPr>
          <w:lang w:eastAsia="en-US"/>
        </w:rPr>
        <w:t xml:space="preserve"> </w:t>
      </w:r>
      <w:r w:rsidR="00FC3983">
        <w:rPr>
          <w:lang w:eastAsia="en-US"/>
        </w:rPr>
        <w:t xml:space="preserve">2012 and </w:t>
      </w:r>
      <w:r w:rsidR="00FC3983" w:rsidRPr="00B960F7">
        <w:rPr>
          <w:lang w:eastAsia="en-US"/>
        </w:rPr>
        <w:t xml:space="preserve">2008 </w:t>
      </w:r>
      <w:r>
        <w:rPr>
          <w:lang w:eastAsia="en-US"/>
        </w:rPr>
        <w:t>EU case definitions.)</w:t>
      </w:r>
    </w:p>
    <w:p w14:paraId="60858FDB" w14:textId="77777777" w:rsidR="009D3F1F" w:rsidRPr="000751C4" w:rsidRDefault="009D3F1F" w:rsidP="00F239C1">
      <w:pPr>
        <w:pStyle w:val="EC-Para"/>
        <w:spacing w:after="0" w:line="240" w:lineRule="auto"/>
        <w:jc w:val="both"/>
        <w:rPr>
          <w:rFonts w:cs="Tahoma"/>
          <w:color w:val="333333"/>
          <w:shd w:val="clear" w:color="auto" w:fill="FFFFFF"/>
        </w:rPr>
      </w:pPr>
    </w:p>
    <w:p w14:paraId="3D1621BE" w14:textId="77777777" w:rsidR="00F239C1" w:rsidRPr="00C82DDE" w:rsidRDefault="00F239C1" w:rsidP="0001197D">
      <w:pPr>
        <w:pStyle w:val="EC-Title-6"/>
      </w:pPr>
      <w:r w:rsidRPr="00BD0ACE">
        <w:t xml:space="preserve">Data </w:t>
      </w:r>
      <w:r w:rsidRPr="0001197D">
        <w:t>collection</w:t>
      </w:r>
      <w:r w:rsidRPr="00BD0ACE">
        <w:t xml:space="preserve"> and analysis </w:t>
      </w:r>
    </w:p>
    <w:p w14:paraId="151953E9" w14:textId="351F544F" w:rsidR="00F239C1" w:rsidRDefault="00F239C1" w:rsidP="00F239C1">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A51BAC">
        <w:rPr>
          <w:rFonts w:cs="Tahoma"/>
        </w:rPr>
        <w:t>EU/EEA countries</w:t>
      </w:r>
      <w:r>
        <w:rPr>
          <w:rFonts w:cs="Tahoma"/>
        </w:rPr>
        <w:t>. C</w:t>
      </w:r>
      <w:r>
        <w:t>ountry population denominators by age group for the calculation of notification rates were obtained from Eurostat</w:t>
      </w:r>
      <w:r>
        <w:rPr>
          <w:rStyle w:val="FootnoteReference"/>
        </w:rPr>
        <w:footnoteReference w:id="13"/>
      </w:r>
      <w:r>
        <w:t>.</w:t>
      </w:r>
      <w:r>
        <w:rPr>
          <w:rFonts w:cstheme="minorHAnsi"/>
        </w:rPr>
        <w:t xml:space="preserve"> Note that data published in the </w:t>
      </w:r>
      <w:r>
        <w:rPr>
          <w:rFonts w:cstheme="minorHAnsi"/>
        </w:rPr>
        <w:lastRenderedPageBreak/>
        <w:t>Surveillance Atlas might differ from figures in national reports due to different times of reporting, inclusion of cases by different case definitions and use of different denominators.</w:t>
      </w:r>
    </w:p>
    <w:p w14:paraId="07B4DBFA" w14:textId="77777777" w:rsidR="00F239C1" w:rsidRDefault="00F239C1" w:rsidP="00F239C1">
      <w:pPr>
        <w:pStyle w:val="EC-Para"/>
        <w:spacing w:line="240" w:lineRule="auto"/>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4067C07D" w14:textId="77777777" w:rsidR="00F239C1" w:rsidRDefault="00F239C1" w:rsidP="00F239C1">
      <w:pPr>
        <w:pStyle w:val="EC-Para"/>
        <w:jc w:val="both"/>
        <w:rPr>
          <w:rFonts w:cs="Tahoma"/>
        </w:rPr>
      </w:pPr>
      <w:r>
        <w:rPr>
          <w:rFonts w:cs="Tahoma"/>
        </w:rPr>
        <w:t>Surveillance systems across the EU/EEA countries are heterogeneous and a surveillance systems overview is displayed in Annex 1.</w:t>
      </w:r>
    </w:p>
    <w:p w14:paraId="357B40A7" w14:textId="77777777" w:rsidR="0056786F" w:rsidRDefault="0056786F" w:rsidP="00F239C1">
      <w:pPr>
        <w:pStyle w:val="EC-Para"/>
        <w:jc w:val="both"/>
        <w:rPr>
          <w:rFonts w:cs="Tahoma"/>
        </w:rPr>
      </w:pPr>
    </w:p>
    <w:p w14:paraId="67505DDD" w14:textId="77777777" w:rsidR="00F239C1" w:rsidRPr="00203EA1" w:rsidRDefault="00F239C1" w:rsidP="0001197D">
      <w:pPr>
        <w:pStyle w:val="EC-Title-6"/>
      </w:pPr>
      <w:r w:rsidRPr="00203EA1">
        <w:t xml:space="preserve">Surveillance </w:t>
      </w:r>
      <w:r w:rsidRPr="0001197D">
        <w:t>Atlas</w:t>
      </w:r>
      <w:r w:rsidRPr="00203EA1">
        <w:t xml:space="preserve"> indicators</w:t>
      </w:r>
    </w:p>
    <w:p w14:paraId="112DDB0D" w14:textId="77777777" w:rsidR="00F239C1" w:rsidRDefault="00F239C1" w:rsidP="00F239C1">
      <w:pPr>
        <w:pStyle w:val="EC-Para"/>
        <w:rPr>
          <w:rFonts w:cs="Tahoma"/>
        </w:rPr>
      </w:pPr>
      <w:r w:rsidRPr="005E139C">
        <w:rPr>
          <w:rFonts w:cs="Tahoma"/>
        </w:rPr>
        <w:t>The Surveillan</w:t>
      </w:r>
      <w:r>
        <w:rPr>
          <w:rFonts w:cs="Tahoma"/>
        </w:rPr>
        <w:t>ce Atlas indicators for confirmed cholera</w:t>
      </w:r>
      <w:r w:rsidRPr="005E139C">
        <w:rPr>
          <w:rFonts w:cs="Tahoma"/>
        </w:rPr>
        <w:t xml:space="preserve"> </w:t>
      </w:r>
      <w:r>
        <w:rPr>
          <w:rFonts w:cs="Tahoma"/>
        </w:rPr>
        <w:t xml:space="preserve">cases </w:t>
      </w:r>
      <w:r w:rsidRPr="005E139C">
        <w:rPr>
          <w:rFonts w:cs="Tahoma"/>
        </w:rPr>
        <w:t>are:</w:t>
      </w:r>
    </w:p>
    <w:p w14:paraId="27394D8D" w14:textId="77777777" w:rsidR="00F239C1" w:rsidRPr="007B34B1" w:rsidRDefault="00F239C1" w:rsidP="000617B1">
      <w:pPr>
        <w:numPr>
          <w:ilvl w:val="0"/>
          <w:numId w:val="1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5C60ED2B" w14:textId="77777777" w:rsidR="00F239C1" w:rsidRDefault="00F239C1" w:rsidP="000617B1">
      <w:pPr>
        <w:numPr>
          <w:ilvl w:val="0"/>
          <w:numId w:val="1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0D776763" w14:textId="77777777" w:rsidR="00F239C1" w:rsidRDefault="00F239C1" w:rsidP="000617B1">
      <w:pPr>
        <w:numPr>
          <w:ilvl w:val="0"/>
          <w:numId w:val="14"/>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Age-standardised rate per 100 000 </w:t>
      </w:r>
      <w:proofErr w:type="gramStart"/>
      <w:r>
        <w:rPr>
          <w:rFonts w:eastAsia="Arial Unicode MS" w:cs="Tahoma"/>
          <w:kern w:val="22"/>
          <w:szCs w:val="18"/>
        </w:rPr>
        <w:t>population;</w:t>
      </w:r>
      <w:proofErr w:type="gramEnd"/>
    </w:p>
    <w:p w14:paraId="38C5EF7F" w14:textId="77777777" w:rsidR="00F239C1" w:rsidRDefault="00F239C1" w:rsidP="000617B1">
      <w:pPr>
        <w:numPr>
          <w:ilvl w:val="0"/>
          <w:numId w:val="14"/>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Number of hospitalised </w:t>
      </w:r>
      <w:proofErr w:type="gramStart"/>
      <w:r>
        <w:rPr>
          <w:rFonts w:eastAsia="Arial Unicode MS" w:cs="Tahoma"/>
          <w:kern w:val="22"/>
          <w:szCs w:val="18"/>
        </w:rPr>
        <w:t>cases;</w:t>
      </w:r>
      <w:proofErr w:type="gramEnd"/>
    </w:p>
    <w:p w14:paraId="1C81AD43" w14:textId="77777777" w:rsidR="00F239C1" w:rsidRPr="002173DA" w:rsidRDefault="00F239C1" w:rsidP="000617B1">
      <w:pPr>
        <w:pStyle w:val="EC-Para"/>
        <w:numPr>
          <w:ilvl w:val="0"/>
          <w:numId w:val="14"/>
        </w:numPr>
        <w:spacing w:after="0"/>
        <w:rPr>
          <w:rFonts w:cs="Tahoma"/>
        </w:rPr>
      </w:pPr>
      <w:r>
        <w:rPr>
          <w:rFonts w:cs="Tahoma"/>
        </w:rPr>
        <w:t>Proportion of hospitalised cases among confirmed cases with known history of hospitalisation (%</w:t>
      </w:r>
      <w:proofErr w:type="gramStart"/>
      <w:r>
        <w:rPr>
          <w:rFonts w:cs="Tahoma"/>
        </w:rPr>
        <w:t>);</w:t>
      </w:r>
      <w:proofErr w:type="gramEnd"/>
    </w:p>
    <w:p w14:paraId="35E099D0" w14:textId="77777777" w:rsidR="00F239C1" w:rsidRPr="007B34B1" w:rsidRDefault="00F239C1" w:rsidP="000617B1">
      <w:pPr>
        <w:numPr>
          <w:ilvl w:val="0"/>
          <w:numId w:val="1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04799C6E" w14:textId="77777777" w:rsidR="00F239C1" w:rsidRPr="007B34B1" w:rsidRDefault="00F239C1" w:rsidP="000617B1">
      <w:pPr>
        <w:numPr>
          <w:ilvl w:val="0"/>
          <w:numId w:val="14"/>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Case fatality calculated as proportion of deaths among confirmed cases with known disease</w:t>
      </w:r>
      <w:r w:rsidDel="002D6DE7">
        <w:rPr>
          <w:rFonts w:eastAsia="Arial Unicode MS" w:cs="Tahoma"/>
          <w:kern w:val="22"/>
          <w:szCs w:val="18"/>
        </w:rPr>
        <w:t xml:space="preserv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4872CF99" w14:textId="77777777" w:rsidR="00F239C1" w:rsidRPr="007B34B1" w:rsidRDefault="00F239C1" w:rsidP="000617B1">
      <w:pPr>
        <w:numPr>
          <w:ilvl w:val="0"/>
          <w:numId w:val="1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7792FDCA" w14:textId="77777777" w:rsidR="00F239C1" w:rsidRPr="007B34B1" w:rsidRDefault="00F239C1" w:rsidP="000617B1">
      <w:pPr>
        <w:numPr>
          <w:ilvl w:val="0"/>
          <w:numId w:val="14"/>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5D1F2D16" w14:textId="77777777" w:rsidR="00F239C1" w:rsidRPr="007B34B1" w:rsidRDefault="00F239C1" w:rsidP="00F239C1">
      <w:pPr>
        <w:kinsoku w:val="0"/>
        <w:autoSpaceDE w:val="0"/>
        <w:autoSpaceDN w:val="0"/>
        <w:adjustRightInd w:val="0"/>
        <w:spacing w:line="200" w:lineRule="atLeast"/>
        <w:ind w:left="720"/>
        <w:rPr>
          <w:rFonts w:eastAsia="Arial Unicode MS" w:cs="Tahoma"/>
          <w:kern w:val="22"/>
          <w:szCs w:val="18"/>
        </w:rPr>
      </w:pPr>
    </w:p>
    <w:p w14:paraId="101184D4" w14:textId="77777777" w:rsidR="00F239C1" w:rsidRPr="007B34B1" w:rsidRDefault="00F239C1" w:rsidP="00F239C1">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0B2178B5" w14:textId="77777777" w:rsidR="00F239C1" w:rsidRPr="007B34B1" w:rsidRDefault="00F239C1"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1E207A5E" w14:textId="77777777" w:rsidR="00F239C1" w:rsidRPr="007B34B1" w:rsidRDefault="00F239C1"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5F032DFB" w14:textId="77777777" w:rsidR="00F239C1" w:rsidRDefault="00F239C1" w:rsidP="00F239C1">
      <w:pPr>
        <w:kinsoku w:val="0"/>
        <w:autoSpaceDE w:val="0"/>
        <w:autoSpaceDN w:val="0"/>
        <w:adjustRightInd w:val="0"/>
        <w:spacing w:line="200" w:lineRule="atLeast"/>
        <w:rPr>
          <w:rFonts w:eastAsia="Arial Unicode MS" w:cs="Tahoma"/>
          <w:kern w:val="22"/>
          <w:szCs w:val="18"/>
        </w:rPr>
      </w:pPr>
    </w:p>
    <w:p w14:paraId="1807DB1D" w14:textId="77777777" w:rsidR="00F239C1" w:rsidRPr="007B34B1" w:rsidRDefault="00F239C1" w:rsidP="00F239C1">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006DB4B7" w14:textId="77777777" w:rsidR="00F239C1" w:rsidRPr="007B34B1" w:rsidRDefault="00F239C1"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0BBA8768" w14:textId="77777777" w:rsidR="00F239C1" w:rsidRPr="008C7F87" w:rsidRDefault="00F239C1"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0DE959BB" w14:textId="77777777" w:rsidR="00F239C1" w:rsidRDefault="00F239C1" w:rsidP="000617B1">
      <w:pPr>
        <w:pStyle w:val="ListParagraph"/>
        <w:numPr>
          <w:ilvl w:val="0"/>
          <w:numId w:val="6"/>
        </w:numPr>
        <w:kinsoku w:val="0"/>
        <w:autoSpaceDE w:val="0"/>
        <w:autoSpaceDN w:val="0"/>
        <w:adjustRightInd w:val="0"/>
        <w:spacing w:after="0" w:line="200" w:lineRule="atLeast"/>
        <w:rPr>
          <w:rFonts w:eastAsia="Arial Unicode MS" w:cs="Tahoma"/>
          <w:kern w:val="22"/>
          <w:szCs w:val="18"/>
          <w:lang w:eastAsia="ko-KR"/>
        </w:rPr>
      </w:pPr>
      <w:r>
        <w:rPr>
          <w:rFonts w:eastAsia="Arial Unicode MS" w:cs="Tahoma"/>
          <w:kern w:val="22"/>
          <w:szCs w:val="18"/>
          <w:lang w:eastAsia="ko-KR"/>
        </w:rPr>
        <w:t>Probable country of infection.</w:t>
      </w:r>
    </w:p>
    <w:p w14:paraId="05954B76" w14:textId="77777777" w:rsidR="00B3152F" w:rsidRDefault="00B3152F" w:rsidP="00B2744B">
      <w:pPr>
        <w:pStyle w:val="ListParagraph"/>
        <w:kinsoku w:val="0"/>
        <w:autoSpaceDE w:val="0"/>
        <w:autoSpaceDN w:val="0"/>
        <w:adjustRightInd w:val="0"/>
        <w:spacing w:after="0" w:line="200" w:lineRule="atLeast"/>
        <w:rPr>
          <w:rFonts w:eastAsia="Arial Unicode MS" w:cs="Tahoma"/>
          <w:kern w:val="22"/>
          <w:szCs w:val="18"/>
          <w:lang w:eastAsia="ko-KR"/>
        </w:rPr>
      </w:pPr>
    </w:p>
    <w:p w14:paraId="4C241BB5" w14:textId="77777777" w:rsidR="00F239C1" w:rsidRDefault="00F239C1" w:rsidP="00B3152F">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F239C1" w14:paraId="5416B7B5" w14:textId="77777777" w:rsidTr="00F239C1">
        <w:tc>
          <w:tcPr>
            <w:tcW w:w="1101" w:type="dxa"/>
            <w:tcBorders>
              <w:top w:val="single" w:sz="4" w:space="0" w:color="000000"/>
              <w:left w:val="single" w:sz="4" w:space="0" w:color="000000"/>
              <w:bottom w:val="single" w:sz="4" w:space="0" w:color="000000"/>
              <w:right w:val="single" w:sz="4" w:space="0" w:color="000000"/>
            </w:tcBorders>
            <w:hideMark/>
          </w:tcPr>
          <w:p w14:paraId="2047DCDD" w14:textId="77777777" w:rsidR="00F239C1" w:rsidRDefault="00F239C1" w:rsidP="00F239C1">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7FF0CDDE" w14:textId="77777777" w:rsidR="00F239C1" w:rsidRDefault="00F239C1" w:rsidP="00F239C1">
            <w:pPr>
              <w:pStyle w:val="EC-Para"/>
              <w:rPr>
                <w:lang w:eastAsia="en-US"/>
              </w:rPr>
            </w:pPr>
            <w:r>
              <w:rPr>
                <w:lang w:eastAsia="en-US"/>
              </w:rPr>
              <w:t>Comment</w:t>
            </w:r>
          </w:p>
        </w:tc>
      </w:tr>
      <w:tr w:rsidR="00F239C1" w14:paraId="5173FA1F" w14:textId="77777777" w:rsidTr="00F239C1">
        <w:tc>
          <w:tcPr>
            <w:tcW w:w="1101" w:type="dxa"/>
            <w:tcBorders>
              <w:top w:val="single" w:sz="4" w:space="0" w:color="000000"/>
              <w:left w:val="single" w:sz="4" w:space="0" w:color="000000"/>
              <w:bottom w:val="single" w:sz="4" w:space="0" w:color="000000"/>
              <w:right w:val="single" w:sz="4" w:space="0" w:color="000000"/>
            </w:tcBorders>
            <w:hideMark/>
          </w:tcPr>
          <w:p w14:paraId="0692708D" w14:textId="77777777" w:rsidR="00F239C1" w:rsidRDefault="00F239C1" w:rsidP="00F239C1">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3AF483E0" w14:textId="77777777" w:rsidR="00F239C1" w:rsidRDefault="00F239C1" w:rsidP="00F239C1">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F239C1" w14:paraId="124F68C7" w14:textId="77777777" w:rsidTr="00F239C1">
        <w:tc>
          <w:tcPr>
            <w:tcW w:w="1101" w:type="dxa"/>
            <w:tcBorders>
              <w:top w:val="single" w:sz="4" w:space="0" w:color="000000"/>
              <w:left w:val="single" w:sz="4" w:space="0" w:color="000000"/>
              <w:bottom w:val="single" w:sz="4" w:space="0" w:color="000000"/>
              <w:right w:val="single" w:sz="4" w:space="0" w:color="000000"/>
            </w:tcBorders>
            <w:hideMark/>
          </w:tcPr>
          <w:p w14:paraId="694F579E" w14:textId="77777777" w:rsidR="00F239C1" w:rsidRDefault="00F239C1" w:rsidP="00F239C1">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23E138DE" w14:textId="77777777" w:rsidR="00F239C1" w:rsidRDefault="00F239C1" w:rsidP="00F239C1">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0B7362C1" w14:textId="77777777" w:rsidR="00F239C1" w:rsidRDefault="00F239C1" w:rsidP="00F239C1">
      <w:pPr>
        <w:pStyle w:val="EC-Para"/>
        <w:rPr>
          <w:lang w:eastAsia="en-US"/>
        </w:rPr>
      </w:pPr>
    </w:p>
    <w:p w14:paraId="64A02C06" w14:textId="1C9A890E" w:rsidR="00F239C1" w:rsidRPr="00C82DDE" w:rsidRDefault="00F239C1" w:rsidP="0001197D">
      <w:pPr>
        <w:pStyle w:val="EC-Title-6"/>
      </w:pPr>
      <w:r w:rsidRPr="00C82DDE">
        <w:t xml:space="preserve">Data </w:t>
      </w:r>
      <w:r w:rsidRPr="0001197D">
        <w:t>quality</w:t>
      </w:r>
    </w:p>
    <w:p w14:paraId="3BE515F2" w14:textId="208FA683" w:rsidR="0097253D" w:rsidRDefault="0097253D" w:rsidP="0097253D">
      <w:pPr>
        <w:autoSpaceDE w:val="0"/>
        <w:autoSpaceDN w:val="0"/>
        <w:adjustRightInd w:val="0"/>
        <w:jc w:val="both"/>
        <w:rPr>
          <w:rFonts w:eastAsia="Arial Unicode MS" w:cs="Tahoma"/>
          <w:kern w:val="22"/>
          <w:szCs w:val="18"/>
        </w:rPr>
      </w:pPr>
      <w:r w:rsidRPr="009E3B9F">
        <w:rPr>
          <w:rFonts w:eastAsia="Arial Unicode MS" w:cs="Tahoma"/>
          <w:kern w:val="22"/>
          <w:szCs w:val="18"/>
        </w:rPr>
        <w:t xml:space="preserve">EU/EEA countries reporting data on </w:t>
      </w:r>
      <w:r w:rsidR="00627F8F">
        <w:rPr>
          <w:rFonts w:eastAsia="Arial Unicode MS" w:cs="Tahoma"/>
          <w:kern w:val="22"/>
          <w:szCs w:val="18"/>
        </w:rPr>
        <w:t>cholera</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19969950" w14:textId="2646AE76"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lastRenderedPageBreak/>
        <w:t xml:space="preserve">The Surveillance Atlas indicators for data quality of </w:t>
      </w:r>
      <w:r w:rsidRPr="00E95571">
        <w:rPr>
          <w:rFonts w:eastAsia="Arial Unicode MS" w:cs="Tahoma"/>
          <w:kern w:val="22"/>
          <w:szCs w:val="18"/>
        </w:rPr>
        <w:t xml:space="preserve">confirmed </w:t>
      </w:r>
      <w:r w:rsidR="00627F8F">
        <w:rPr>
          <w:rFonts w:eastAsia="Arial Unicode MS" w:cs="Tahoma"/>
          <w:kern w:val="22"/>
          <w:szCs w:val="18"/>
        </w:rPr>
        <w:t xml:space="preserve">cholera cases </w:t>
      </w:r>
      <w:r>
        <w:rPr>
          <w:rFonts w:eastAsia="Arial Unicode MS" w:cs="Tahoma"/>
          <w:kern w:val="22"/>
          <w:szCs w:val="18"/>
        </w:rPr>
        <w:t>are:</w:t>
      </w:r>
    </w:p>
    <w:p w14:paraId="4184508E" w14:textId="661974E3" w:rsidR="0097253D" w:rsidRPr="00E95571" w:rsidRDefault="0097253D" w:rsidP="000617B1">
      <w:pPr>
        <w:pStyle w:val="ListParagraph"/>
        <w:numPr>
          <w:ilvl w:val="0"/>
          <w:numId w:val="10"/>
        </w:numPr>
        <w:autoSpaceDE w:val="0"/>
        <w:autoSpaceDN w:val="0"/>
        <w:adjustRightInd w:val="0"/>
        <w:jc w:val="both"/>
        <w:rPr>
          <w:rFonts w:eastAsia="Arial Unicode MS" w:cs="Tahoma"/>
          <w:kern w:val="22"/>
          <w:szCs w:val="18"/>
          <w:lang w:eastAsia="ko-KR"/>
        </w:rPr>
      </w:pPr>
      <w:r w:rsidRPr="00E95571">
        <w:rPr>
          <w:rFonts w:eastAsia="Arial Unicode MS" w:cs="Tahoma"/>
          <w:kern w:val="22"/>
          <w:szCs w:val="18"/>
          <w:lang w:eastAsia="ko-KR"/>
        </w:rPr>
        <w:t>Completeness age</w:t>
      </w:r>
      <w:r w:rsidR="00126364">
        <w:rPr>
          <w:rFonts w:eastAsia="Arial Unicode MS" w:cs="Tahoma"/>
          <w:kern w:val="22"/>
          <w:szCs w:val="18"/>
          <w:lang w:eastAsia="ko-KR"/>
        </w:rPr>
        <w:t xml:space="preserve"> (%</w:t>
      </w:r>
      <w:proofErr w:type="gramStart"/>
      <w:r w:rsidR="00126364">
        <w:rPr>
          <w:rFonts w:eastAsia="Arial Unicode MS" w:cs="Tahoma"/>
          <w:kern w:val="22"/>
          <w:szCs w:val="18"/>
          <w:lang w:eastAsia="ko-KR"/>
        </w:rPr>
        <w:t>)</w:t>
      </w:r>
      <w:r w:rsidRPr="00E95571">
        <w:rPr>
          <w:rFonts w:eastAsia="Arial Unicode MS" w:cs="Tahoma"/>
          <w:kern w:val="22"/>
          <w:szCs w:val="18"/>
          <w:lang w:eastAsia="ko-KR"/>
        </w:rPr>
        <w:t>;</w:t>
      </w:r>
      <w:proofErr w:type="gramEnd"/>
    </w:p>
    <w:p w14:paraId="0C131DCC" w14:textId="402652D0" w:rsidR="0097253D" w:rsidRDefault="0097253D"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w:t>
      </w:r>
      <w:r w:rsidRPr="00771981">
        <w:rPr>
          <w:rFonts w:eastAsia="Arial Unicode MS" w:cs="Tahoma"/>
          <w:kern w:val="22"/>
          <w:szCs w:val="18"/>
        </w:rPr>
        <w:t xml:space="preserve"> </w:t>
      </w:r>
      <w:r>
        <w:rPr>
          <w:rFonts w:eastAsia="Arial Unicode MS" w:cs="Tahoma"/>
          <w:kern w:val="22"/>
          <w:szCs w:val="18"/>
        </w:rPr>
        <w:t>gender</w:t>
      </w:r>
      <w:r w:rsidR="00126364">
        <w:rPr>
          <w:rFonts w:eastAsia="Arial Unicode MS" w:cs="Tahoma"/>
          <w:kern w:val="22"/>
          <w:szCs w:val="18"/>
        </w:rPr>
        <w:t xml:space="preserve"> (%</w:t>
      </w:r>
      <w:proofErr w:type="gramStart"/>
      <w:r w:rsidR="00126364">
        <w:rPr>
          <w:rFonts w:eastAsia="Arial Unicode MS" w:cs="Tahoma"/>
          <w:kern w:val="22"/>
          <w:szCs w:val="18"/>
        </w:rPr>
        <w:t>)</w:t>
      </w:r>
      <w:r>
        <w:rPr>
          <w:rFonts w:eastAsia="Arial Unicode MS" w:cs="Tahoma"/>
          <w:kern w:val="22"/>
          <w:szCs w:val="18"/>
        </w:rPr>
        <w:t>;</w:t>
      </w:r>
      <w:proofErr w:type="gramEnd"/>
    </w:p>
    <w:p w14:paraId="546AD627" w14:textId="6EE5DE90" w:rsidR="0097253D" w:rsidRDefault="0097253D"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w:t>
      </w:r>
      <w:r w:rsidRPr="00771981">
        <w:rPr>
          <w:rFonts w:eastAsia="Arial Unicode MS" w:cs="Tahoma"/>
          <w:kern w:val="22"/>
          <w:szCs w:val="18"/>
        </w:rPr>
        <w:t xml:space="preserve"> </w:t>
      </w:r>
      <w:r>
        <w:rPr>
          <w:rFonts w:eastAsia="Arial Unicode MS" w:cs="Tahoma"/>
          <w:kern w:val="22"/>
          <w:szCs w:val="18"/>
        </w:rPr>
        <w:t>disease outcome</w:t>
      </w:r>
      <w:r w:rsidR="00126364">
        <w:rPr>
          <w:rFonts w:eastAsia="Arial Unicode MS" w:cs="Tahoma"/>
          <w:kern w:val="22"/>
          <w:szCs w:val="18"/>
        </w:rPr>
        <w:t xml:space="preserve"> (%</w:t>
      </w:r>
      <w:proofErr w:type="gramStart"/>
      <w:r w:rsidR="00126364">
        <w:rPr>
          <w:rFonts w:eastAsia="Arial Unicode MS" w:cs="Tahoma"/>
          <w:kern w:val="22"/>
          <w:szCs w:val="18"/>
        </w:rPr>
        <w:t>)</w:t>
      </w:r>
      <w:r>
        <w:rPr>
          <w:rFonts w:eastAsia="Arial Unicode MS" w:cs="Tahoma"/>
          <w:kern w:val="22"/>
          <w:szCs w:val="18"/>
        </w:rPr>
        <w:t>;</w:t>
      </w:r>
      <w:proofErr w:type="gramEnd"/>
    </w:p>
    <w:p w14:paraId="21A6751B" w14:textId="782F32C2" w:rsidR="0097253D" w:rsidRDefault="0097253D"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sidR="00126364">
        <w:rPr>
          <w:rFonts w:eastAsia="Arial Unicode MS" w:cs="Tahoma"/>
          <w:kern w:val="22"/>
          <w:szCs w:val="18"/>
        </w:rPr>
        <w:t xml:space="preserve"> (%</w:t>
      </w:r>
      <w:proofErr w:type="gramStart"/>
      <w:r w:rsidR="00126364">
        <w:rPr>
          <w:rFonts w:eastAsia="Arial Unicode MS" w:cs="Tahoma"/>
          <w:kern w:val="22"/>
          <w:szCs w:val="18"/>
        </w:rPr>
        <w:t>)</w:t>
      </w:r>
      <w:r>
        <w:rPr>
          <w:rFonts w:eastAsia="Arial Unicode MS" w:cs="Tahoma"/>
          <w:kern w:val="22"/>
          <w:szCs w:val="18"/>
        </w:rPr>
        <w:t>;</w:t>
      </w:r>
      <w:proofErr w:type="gramEnd"/>
    </w:p>
    <w:p w14:paraId="09E7459C" w14:textId="5711EC55" w:rsidR="0097253D" w:rsidRDefault="0097253D"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w:t>
      </w:r>
      <w:r w:rsidR="00126364">
        <w:rPr>
          <w:rFonts w:eastAsia="Arial Unicode MS" w:cs="Tahoma"/>
          <w:kern w:val="22"/>
          <w:szCs w:val="18"/>
        </w:rPr>
        <w:t xml:space="preserve"> (%</w:t>
      </w:r>
      <w:proofErr w:type="gramStart"/>
      <w:r w:rsidR="00126364">
        <w:rPr>
          <w:rFonts w:eastAsia="Arial Unicode MS" w:cs="Tahoma"/>
          <w:kern w:val="22"/>
          <w:szCs w:val="18"/>
        </w:rPr>
        <w:t>)</w:t>
      </w:r>
      <w:r>
        <w:rPr>
          <w:rFonts w:eastAsia="Arial Unicode MS" w:cs="Tahoma"/>
          <w:kern w:val="22"/>
          <w:szCs w:val="18"/>
        </w:rPr>
        <w:t>;</w:t>
      </w:r>
      <w:proofErr w:type="gramEnd"/>
    </w:p>
    <w:p w14:paraId="08661903" w14:textId="6FAD5EB3" w:rsidR="0097253D" w:rsidRDefault="0097253D"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26364">
        <w:rPr>
          <w:rFonts w:eastAsia="Arial Unicode MS" w:cs="Tahoma"/>
          <w:kern w:val="22"/>
          <w:szCs w:val="18"/>
          <w:lang w:eastAsia="ko-KR"/>
        </w:rPr>
        <w:t>probable country of infection (%)</w:t>
      </w:r>
      <w:r w:rsidR="005C73DF">
        <w:rPr>
          <w:rFonts w:eastAsia="Arial Unicode MS" w:cs="Tahoma"/>
          <w:kern w:val="22"/>
          <w:szCs w:val="18"/>
        </w:rPr>
        <w:t>.</w:t>
      </w:r>
    </w:p>
    <w:p w14:paraId="65C2CF77" w14:textId="77777777" w:rsidR="005C73DF" w:rsidRDefault="005C73DF" w:rsidP="00CC7106">
      <w:pPr>
        <w:pStyle w:val="ListParagraph"/>
        <w:tabs>
          <w:tab w:val="left" w:pos="4111"/>
        </w:tabs>
        <w:autoSpaceDE w:val="0"/>
        <w:autoSpaceDN w:val="0"/>
        <w:adjustRightInd w:val="0"/>
        <w:jc w:val="both"/>
        <w:rPr>
          <w:rFonts w:eastAsia="Arial Unicode MS" w:cs="Tahoma"/>
          <w:kern w:val="22"/>
          <w:szCs w:val="18"/>
        </w:rPr>
      </w:pPr>
    </w:p>
    <w:p w14:paraId="61E18981" w14:textId="77777777" w:rsidR="00F239C1" w:rsidRDefault="00F239C1" w:rsidP="009F5B73">
      <w:pPr>
        <w:pStyle w:val="EC-Title-6"/>
        <w:outlineLvl w:val="1"/>
        <w:rPr>
          <w:rFonts w:cs="Tahoma"/>
        </w:rPr>
      </w:pPr>
      <w:r w:rsidRPr="00C82DDE">
        <w:rPr>
          <w:rFonts w:cs="Tahoma"/>
        </w:rPr>
        <w:t xml:space="preserve">Interpretation </w:t>
      </w:r>
    </w:p>
    <w:p w14:paraId="2465107A" w14:textId="77777777" w:rsidR="00F239C1" w:rsidRDefault="00F239C1" w:rsidP="00F239C1">
      <w:pPr>
        <w:pStyle w:val="EC-Para"/>
        <w:jc w:val="both"/>
        <w:rPr>
          <w:rFonts w:cs="Tahoma"/>
          <w:lang w:eastAsia="en-US"/>
        </w:rPr>
      </w:pPr>
      <w:r w:rsidRPr="00D45E3C">
        <w:rPr>
          <w:rFonts w:eastAsiaTheme="minorHAnsi" w:cs="Tahoma"/>
          <w:lang w:eastAsia="en-US"/>
        </w:rPr>
        <w:t xml:space="preserve">The </w:t>
      </w:r>
      <w:r>
        <w:rPr>
          <w:rFonts w:eastAsiaTheme="minorHAnsi" w:cs="Tahoma"/>
          <w:lang w:eastAsia="en-US"/>
        </w:rPr>
        <w:t>data</w:t>
      </w:r>
      <w:r w:rsidRPr="00D45E3C">
        <w:rPr>
          <w:rFonts w:eastAsiaTheme="minorHAnsi" w:cs="Tahoma"/>
          <w:lang w:eastAsia="en-US"/>
        </w:rPr>
        <w:t xml:space="preserve">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 xml:space="preserve">differ from each other and so does </w:t>
      </w:r>
      <w:r w:rsidRPr="00C845AB">
        <w:rPr>
          <w:rFonts w:cs="Tahoma"/>
          <w:lang w:eastAsia="en-US"/>
        </w:rPr>
        <w:t>case under-ascertainment between countries</w:t>
      </w:r>
      <w:r>
        <w:rPr>
          <w:rFonts w:cs="Tahoma"/>
          <w:lang w:eastAsia="en-US"/>
        </w:rPr>
        <w:t xml:space="preserve">. </w:t>
      </w:r>
    </w:p>
    <w:p w14:paraId="04D2856F" w14:textId="4F230041" w:rsidR="00A305F1" w:rsidRDefault="00A305F1" w:rsidP="00D175CD">
      <w:pPr>
        <w:pStyle w:val="EC-Para"/>
      </w:pPr>
      <w:r>
        <w:t>The notification of cholera</w:t>
      </w:r>
      <w:r w:rsidRPr="007D395C">
        <w:t xml:space="preserve"> is </w:t>
      </w:r>
      <w:proofErr w:type="gramStart"/>
      <w:r w:rsidRPr="007D395C">
        <w:t>mandatory</w:t>
      </w:r>
      <w:proofErr w:type="gramEnd"/>
      <w:r w:rsidR="00FD5FAB">
        <w:t xml:space="preserve"> </w:t>
      </w:r>
      <w:r w:rsidR="0057610B">
        <w:t>and</w:t>
      </w:r>
      <w:r w:rsidR="00AB6AF7">
        <w:t xml:space="preserve"> the surveillance systems</w:t>
      </w:r>
      <w:r w:rsidR="0057610B">
        <w:t xml:space="preserve"> have full national coverage</w:t>
      </w:r>
      <w:r w:rsidRPr="007D395C">
        <w:t xml:space="preserve"> in </w:t>
      </w:r>
      <w:r>
        <w:t>all</w:t>
      </w:r>
      <w:r w:rsidRPr="007D395C">
        <w:t xml:space="preserve"> </w:t>
      </w:r>
      <w:r>
        <w:t>EU</w:t>
      </w:r>
      <w:r w:rsidR="00A26E20">
        <w:t xml:space="preserve">/EEA </w:t>
      </w:r>
      <w:r w:rsidR="008879F4">
        <w:t>countries</w:t>
      </w:r>
      <w:r w:rsidR="00DF432C">
        <w:t>.</w:t>
      </w:r>
      <w:r w:rsidR="003B49F6" w:rsidRPr="007D395C" w:rsidDel="003B49F6">
        <w:t xml:space="preserve"> </w:t>
      </w:r>
      <w:r w:rsidR="00B810E3">
        <w:rPr>
          <w:rFonts w:cs="Tahoma"/>
        </w:rPr>
        <w:t xml:space="preserve">In Belgium, full national coverage was established in 2015 and rates before this date are not </w:t>
      </w:r>
      <w:r w:rsidR="00B810E3" w:rsidRPr="00DF432C">
        <w:rPr>
          <w:rFonts w:cs="Tahoma"/>
        </w:rPr>
        <w:t xml:space="preserve">displayed. </w:t>
      </w:r>
      <w:r w:rsidR="00744D57" w:rsidRPr="00DF432C">
        <w:rPr>
          <w:rFonts w:cs="Tahoma"/>
        </w:rPr>
        <w:t>For 20</w:t>
      </w:r>
      <w:r w:rsidR="007421E3" w:rsidRPr="00DF432C">
        <w:rPr>
          <w:rFonts w:cs="Tahoma"/>
        </w:rPr>
        <w:t>20</w:t>
      </w:r>
      <w:r w:rsidR="0068679A">
        <w:rPr>
          <w:rFonts w:cs="Tahoma"/>
        </w:rPr>
        <w:t xml:space="preserve"> and </w:t>
      </w:r>
      <w:r w:rsidR="00095398" w:rsidRPr="00DF432C">
        <w:rPr>
          <w:rFonts w:cs="Tahoma"/>
        </w:rPr>
        <w:t>2021</w:t>
      </w:r>
      <w:r w:rsidR="00744D57" w:rsidRPr="00DF432C">
        <w:rPr>
          <w:rFonts w:cs="Tahoma"/>
        </w:rPr>
        <w:t>, Spain has</w:t>
      </w:r>
      <w:r w:rsidR="00744D57">
        <w:rPr>
          <w:rFonts w:cs="Tahoma"/>
        </w:rPr>
        <w:t xml:space="preserve"> </w:t>
      </w:r>
      <w:r w:rsidR="00744D57" w:rsidRPr="00DF432C">
        <w:rPr>
          <w:rFonts w:cs="Tahoma"/>
        </w:rPr>
        <w:t>not received data from all regions</w:t>
      </w:r>
      <w:r w:rsidR="00897CAA" w:rsidRPr="00DF432C">
        <w:rPr>
          <w:rFonts w:cs="Tahoma"/>
        </w:rPr>
        <w:t xml:space="preserve"> and r</w:t>
      </w:r>
      <w:r w:rsidR="00744D57" w:rsidRPr="00DF432C">
        <w:rPr>
          <w:rFonts w:cs="Tahoma"/>
        </w:rPr>
        <w:t xml:space="preserve">ates are therefore not displayed for </w:t>
      </w:r>
      <w:r w:rsidR="00EB382F" w:rsidRPr="00DF432C">
        <w:rPr>
          <w:rFonts w:cs="Tahoma"/>
        </w:rPr>
        <w:t>th</w:t>
      </w:r>
      <w:r w:rsidR="00D151F8">
        <w:rPr>
          <w:rFonts w:cs="Tahoma"/>
        </w:rPr>
        <w:t>ese</w:t>
      </w:r>
      <w:r w:rsidR="00EB382F" w:rsidRPr="00DF432C">
        <w:rPr>
          <w:rFonts w:cs="Tahoma"/>
        </w:rPr>
        <w:t xml:space="preserve"> year</w:t>
      </w:r>
      <w:r w:rsidR="00D151F8">
        <w:rPr>
          <w:rFonts w:cs="Tahoma"/>
        </w:rPr>
        <w:t>s</w:t>
      </w:r>
      <w:r w:rsidR="00744D57" w:rsidRPr="00DF432C">
        <w:rPr>
          <w:rFonts w:cs="Tahoma"/>
        </w:rPr>
        <w:t>.</w:t>
      </w:r>
      <w:r w:rsidR="00D175CD">
        <w:rPr>
          <w:rFonts w:cs="Tahoma"/>
        </w:rPr>
        <w:t xml:space="preserve"> </w:t>
      </w:r>
      <w:r w:rsidR="006D2C42" w:rsidRPr="00194CB8">
        <w:t xml:space="preserve">All reporting countries </w:t>
      </w:r>
      <w:r w:rsidR="006D2C42" w:rsidRPr="00194CB8">
        <w:rPr>
          <w:lang w:eastAsia="en-US"/>
        </w:rPr>
        <w:t xml:space="preserve">report case-based data except </w:t>
      </w:r>
      <w:r w:rsidR="006D2C42">
        <w:rPr>
          <w:lang w:eastAsia="en-US"/>
        </w:rPr>
        <w:t>Bulgaria,</w:t>
      </w:r>
      <w:r w:rsidR="006D2C42" w:rsidRPr="00194CB8">
        <w:rPr>
          <w:lang w:eastAsia="en-US"/>
        </w:rPr>
        <w:t xml:space="preserve"> </w:t>
      </w:r>
      <w:r w:rsidR="006D2C42" w:rsidRPr="00194CB8">
        <w:t>which report</w:t>
      </w:r>
      <w:r w:rsidR="006D2C42">
        <w:t>ed</w:t>
      </w:r>
      <w:r w:rsidR="006D2C42" w:rsidRPr="00194CB8">
        <w:t xml:space="preserve"> aggregate data. </w:t>
      </w:r>
      <w:r w:rsidR="006D2C42">
        <w:t>Aggregated</w:t>
      </w:r>
      <w:r w:rsidR="006D2C42" w:rsidRPr="004C1587">
        <w:t xml:space="preserve"> reporting format</w:t>
      </w:r>
      <w:r w:rsidR="006D2C42">
        <w:t xml:space="preserve"> was</w:t>
      </w:r>
      <w:r w:rsidR="006D2C42" w:rsidRPr="004C1587">
        <w:t xml:space="preserve"> included to calculate numbers of cases</w:t>
      </w:r>
      <w:r w:rsidR="006D2C42">
        <w:t xml:space="preserve"> and </w:t>
      </w:r>
      <w:r w:rsidR="006D2C42" w:rsidRPr="004C1587">
        <w:t xml:space="preserve">notification rates, </w:t>
      </w:r>
      <w:r w:rsidR="006D2C42">
        <w:t xml:space="preserve">as well as </w:t>
      </w:r>
      <w:r w:rsidR="006D2C42" w:rsidRPr="004C1587">
        <w:t xml:space="preserve">disease trends, </w:t>
      </w:r>
      <w:r w:rsidR="006D2C42">
        <w:t>a</w:t>
      </w:r>
      <w:r w:rsidR="006D2C42" w:rsidRPr="004C1587">
        <w:t>ge and gender distributions</w:t>
      </w:r>
      <w:r w:rsidR="006D2C42">
        <w:t xml:space="preserve"> when this data was available</w:t>
      </w:r>
      <w:r w:rsidR="006D2C42" w:rsidRPr="00194CB8">
        <w:t>.</w:t>
      </w:r>
      <w:r w:rsidR="006D2C42">
        <w:t xml:space="preserve"> </w:t>
      </w:r>
    </w:p>
    <w:p w14:paraId="1C102BC4" w14:textId="77777777" w:rsidR="00D175CD" w:rsidRDefault="00D175CD" w:rsidP="00D175CD">
      <w:pPr>
        <w:pStyle w:val="EC-Para"/>
        <w:jc w:val="both"/>
        <w:rPr>
          <w:rFonts w:cs="Tahoma"/>
          <w:lang w:eastAsia="en-US"/>
        </w:rPr>
      </w:pPr>
      <w:r w:rsidRPr="00DF432C">
        <w:rPr>
          <w:rFonts w:cs="Tahoma"/>
        </w:rPr>
        <w:t xml:space="preserve">The COVID-19 pandemic significantly impacted on cholera surveillance </w:t>
      </w:r>
      <w:r w:rsidRPr="00CB26EF">
        <w:rPr>
          <w:rFonts w:cs="Tahoma"/>
        </w:rPr>
        <w:t>data in 2020-2021</w:t>
      </w:r>
      <w:r w:rsidRPr="00DF432C">
        <w:rPr>
          <w:rFonts w:cs="Tahoma"/>
        </w:rPr>
        <w:t xml:space="preserve"> as no laboratory-confirmed cases were reported. This most likely due to the travel restrictions implemented.</w:t>
      </w:r>
      <w:r>
        <w:rPr>
          <w:rFonts w:cs="Tahoma"/>
        </w:rPr>
        <w:t xml:space="preserve"> </w:t>
      </w:r>
    </w:p>
    <w:p w14:paraId="31EE9F38" w14:textId="0FB94F8E" w:rsidR="00F239C1" w:rsidRDefault="00F239C1" w:rsidP="00F239C1">
      <w:pPr>
        <w:pStyle w:val="EC-Para"/>
        <w:jc w:val="both"/>
        <w:rPr>
          <w:rFonts w:cs="Tahoma"/>
          <w:lang w:eastAsia="en-US"/>
        </w:rPr>
      </w:pPr>
      <w:r w:rsidRPr="00EA31E5">
        <w:rPr>
          <w:rFonts w:cs="Tahoma"/>
          <w:lang w:eastAsia="en-US"/>
        </w:rPr>
        <w:t>The completeness of some variable</w:t>
      </w:r>
      <w:r>
        <w:rPr>
          <w:rFonts w:cs="Tahoma"/>
          <w:lang w:eastAsia="en-US"/>
        </w:rPr>
        <w:t xml:space="preserve">s such as </w:t>
      </w:r>
      <w:r w:rsidRPr="00EA31E5">
        <w:rPr>
          <w:rFonts w:cs="Tahoma"/>
          <w:lang w:eastAsia="en-US"/>
        </w:rPr>
        <w:t>outcome or importation var</w:t>
      </w:r>
      <w:r>
        <w:rPr>
          <w:rFonts w:cs="Tahoma"/>
          <w:lang w:eastAsia="en-US"/>
        </w:rPr>
        <w:t>ies</w:t>
      </w:r>
      <w:r w:rsidRPr="00EA31E5">
        <w:rPr>
          <w:rFonts w:cs="Tahoma"/>
          <w:lang w:eastAsia="en-US"/>
        </w:rPr>
        <w:t xml:space="preserve"> between countries and years; some countries </w:t>
      </w:r>
      <w:proofErr w:type="gramStart"/>
      <w:r w:rsidRPr="00EA31E5">
        <w:rPr>
          <w:rFonts w:cs="Tahoma"/>
          <w:lang w:eastAsia="en-US"/>
        </w:rPr>
        <w:t>are able to</w:t>
      </w:r>
      <w:proofErr w:type="gramEnd"/>
      <w:r w:rsidRPr="00EA31E5">
        <w:rPr>
          <w:rFonts w:cs="Tahoma"/>
          <w:lang w:eastAsia="en-US"/>
        </w:rPr>
        <w:t xml:space="preserve"> collect and integrate this type of information from different sources, other countries are not. </w:t>
      </w:r>
      <w:r w:rsidRPr="00C845AB">
        <w:rPr>
          <w:rFonts w:cs="Tahoma"/>
          <w:lang w:eastAsia="en-US"/>
        </w:rPr>
        <w:t>Even if overall data completeness is high for some variables, the reader should refrain from direct</w:t>
      </w:r>
      <w:r>
        <w:rPr>
          <w:rFonts w:cs="Tahoma"/>
          <w:lang w:eastAsia="en-US"/>
        </w:rPr>
        <w:t>ly</w:t>
      </w:r>
      <w:r w:rsidRPr="00C845AB">
        <w:rPr>
          <w:rFonts w:cs="Tahoma"/>
          <w:lang w:eastAsia="en-US"/>
        </w:rPr>
        <w:t xml:space="preserve"> compari</w:t>
      </w:r>
      <w:r>
        <w:rPr>
          <w:rFonts w:cs="Tahoma"/>
          <w:lang w:eastAsia="en-US"/>
        </w:rPr>
        <w:t>ng</w:t>
      </w:r>
      <w:r w:rsidRPr="00C845AB">
        <w:rPr>
          <w:rFonts w:cs="Tahoma"/>
          <w:lang w:eastAsia="en-US"/>
        </w:rPr>
        <w:t xml:space="preserve"> countries witho</w:t>
      </w:r>
      <w:r>
        <w:rPr>
          <w:rFonts w:cs="Tahoma"/>
          <w:lang w:eastAsia="en-US"/>
        </w:rPr>
        <w:t xml:space="preserve">ut </w:t>
      </w:r>
      <w:proofErr w:type="gramStart"/>
      <w:r>
        <w:rPr>
          <w:rFonts w:cs="Tahoma"/>
          <w:lang w:eastAsia="en-US"/>
        </w:rPr>
        <w:t>taking into account</w:t>
      </w:r>
      <w:proofErr w:type="gramEnd"/>
      <w:r>
        <w:rPr>
          <w:rFonts w:cs="Tahoma"/>
          <w:lang w:eastAsia="en-US"/>
        </w:rPr>
        <w:t xml:space="preserve"> </w:t>
      </w:r>
      <w:r w:rsidRPr="00C845AB">
        <w:rPr>
          <w:rFonts w:cs="Tahoma"/>
          <w:lang w:eastAsia="en-US"/>
        </w:rPr>
        <w:t>limitations.</w:t>
      </w:r>
    </w:p>
    <w:p w14:paraId="35FCC11E" w14:textId="77777777" w:rsidR="004C23E6" w:rsidRDefault="004C23E6" w:rsidP="00F239C1">
      <w:pPr>
        <w:pStyle w:val="EC-Para"/>
        <w:jc w:val="both"/>
        <w:rPr>
          <w:rFonts w:cs="Tahoma"/>
          <w:lang w:eastAsia="en-US"/>
        </w:rPr>
      </w:pPr>
    </w:p>
    <w:p w14:paraId="2A5EEBFB" w14:textId="77777777" w:rsidR="00F239C1" w:rsidRDefault="00F239C1" w:rsidP="009F5B73">
      <w:pPr>
        <w:pStyle w:val="EC-Title-6"/>
        <w:outlineLvl w:val="1"/>
        <w:rPr>
          <w:rFonts w:cs="Tahoma"/>
          <w:color w:val="FF0000"/>
          <w:sz w:val="20"/>
          <w:szCs w:val="20"/>
        </w:rPr>
      </w:pPr>
      <w:r>
        <w:t>Reports published by ECDC on cholera</w:t>
      </w:r>
    </w:p>
    <w:p w14:paraId="168FBE59" w14:textId="77777777" w:rsidR="00F239C1" w:rsidRDefault="00F239C1" w:rsidP="00F239C1">
      <w:pPr>
        <w:pStyle w:val="EC-Para"/>
      </w:pPr>
      <w:r>
        <w:rPr>
          <w:lang w:eastAsia="en-US"/>
        </w:rPr>
        <w:t>More information is available in ECDC reports. Note that l</w:t>
      </w:r>
      <w:r>
        <w:t xml:space="preserve">ater retrieval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52576EA3" w14:textId="77777777" w:rsidR="00966BAD" w:rsidRDefault="00966BAD" w:rsidP="00CA547B">
      <w:pPr>
        <w:pStyle w:val="EC-Para"/>
        <w:spacing w:after="0"/>
        <w:rPr>
          <w:rFonts w:eastAsiaTheme="minorHAnsi" w:cs="Tahoma"/>
          <w:b/>
          <w:lang w:eastAsia="en-US"/>
        </w:rPr>
      </w:pPr>
    </w:p>
    <w:p w14:paraId="5C6176CE" w14:textId="215844E3" w:rsidR="00A51BAC" w:rsidRPr="000025B6" w:rsidRDefault="00A51BAC" w:rsidP="00CA547B">
      <w:pPr>
        <w:pStyle w:val="EC-Para"/>
        <w:spacing w:after="0"/>
        <w:rPr>
          <w:rFonts w:eastAsiaTheme="minorHAnsi" w:cs="Tahoma"/>
          <w:b/>
          <w:lang w:eastAsia="en-US"/>
        </w:rPr>
      </w:pPr>
      <w:r w:rsidRPr="000025B6">
        <w:rPr>
          <w:rFonts w:eastAsiaTheme="minorHAnsi" w:cs="Tahoma"/>
          <w:b/>
          <w:lang w:eastAsia="en-US"/>
        </w:rPr>
        <w:t xml:space="preserve">Annual epidemiological report </w:t>
      </w:r>
      <w:r w:rsidR="00685F07" w:rsidRPr="000025B6">
        <w:rPr>
          <w:rFonts w:eastAsiaTheme="minorHAnsi" w:cs="Tahoma"/>
          <w:b/>
          <w:lang w:eastAsia="en-US"/>
        </w:rPr>
        <w:t>for 20</w:t>
      </w:r>
      <w:r w:rsidR="00964C92" w:rsidRPr="000025B6">
        <w:rPr>
          <w:rFonts w:eastAsiaTheme="minorHAnsi" w:cs="Tahoma"/>
          <w:b/>
          <w:lang w:eastAsia="en-US"/>
        </w:rPr>
        <w:t>21</w:t>
      </w:r>
      <w:r w:rsidRPr="000025B6">
        <w:rPr>
          <w:rFonts w:eastAsiaTheme="minorHAnsi" w:cs="Tahoma"/>
          <w:b/>
          <w:lang w:eastAsia="en-US"/>
        </w:rPr>
        <w:t xml:space="preserve"> – </w:t>
      </w:r>
      <w:r w:rsidR="00685F07" w:rsidRPr="000025B6">
        <w:rPr>
          <w:rFonts w:eastAsiaTheme="minorHAnsi" w:cs="Tahoma"/>
          <w:b/>
          <w:lang w:eastAsia="en-US"/>
        </w:rPr>
        <w:t>Cholera</w:t>
      </w:r>
      <w:r w:rsidRPr="000025B6">
        <w:rPr>
          <w:rFonts w:eastAsiaTheme="minorHAnsi" w:cs="Tahoma"/>
          <w:b/>
          <w:lang w:eastAsia="en-US"/>
        </w:rPr>
        <w:t>:</w:t>
      </w:r>
    </w:p>
    <w:p w14:paraId="4E5DA82E" w14:textId="2256DCB0" w:rsidR="00A51BAC" w:rsidRPr="009D4D86" w:rsidRDefault="00000000" w:rsidP="00F239C1">
      <w:pPr>
        <w:pStyle w:val="EC-Para"/>
        <w:rPr>
          <w:rStyle w:val="Hyperlink"/>
          <w:sz w:val="18"/>
        </w:rPr>
      </w:pPr>
      <w:hyperlink r:id="rId30" w:history="1">
        <w:r w:rsidR="00964C92" w:rsidRPr="000025B6">
          <w:rPr>
            <w:rStyle w:val="Hyperlink"/>
            <w:sz w:val="18"/>
          </w:rPr>
          <w:t>Cholera Annual Epidemiological Report for 2021 (europa.eu)</w:t>
        </w:r>
      </w:hyperlink>
    </w:p>
    <w:p w14:paraId="68B794A4" w14:textId="1BC70A83" w:rsidR="00ED7762" w:rsidRPr="009D4D86" w:rsidRDefault="000269E1" w:rsidP="00ED7762">
      <w:pPr>
        <w:pStyle w:val="EC-Para"/>
        <w:spacing w:after="0" w:line="240" w:lineRule="auto"/>
        <w:rPr>
          <w:b/>
          <w:bCs/>
        </w:rPr>
      </w:pPr>
      <w:r w:rsidRPr="009D4D86">
        <w:rPr>
          <w:b/>
          <w:bCs/>
        </w:rPr>
        <w:t xml:space="preserve">Monthly </w:t>
      </w:r>
      <w:r w:rsidR="00ED7762" w:rsidRPr="009D4D86">
        <w:rPr>
          <w:b/>
          <w:bCs/>
        </w:rPr>
        <w:t xml:space="preserve">global </w:t>
      </w:r>
      <w:r w:rsidRPr="009D4D86">
        <w:rPr>
          <w:b/>
          <w:bCs/>
        </w:rPr>
        <w:t>cholera outbreak r</w:t>
      </w:r>
      <w:r w:rsidR="00096710" w:rsidRPr="009D4D86">
        <w:rPr>
          <w:b/>
          <w:bCs/>
        </w:rPr>
        <w:t>eport</w:t>
      </w:r>
    </w:p>
    <w:p w14:paraId="57C0FFDC" w14:textId="795ED0A1" w:rsidR="00CC3A60" w:rsidRDefault="00000000" w:rsidP="00ED7762">
      <w:pPr>
        <w:pStyle w:val="EC-Para"/>
        <w:spacing w:after="0" w:line="240" w:lineRule="auto"/>
      </w:pPr>
      <w:hyperlink r:id="rId31" w:history="1">
        <w:r w:rsidR="00ED7762" w:rsidRPr="009D4D86">
          <w:rPr>
            <w:rStyle w:val="Hyperlink"/>
            <w:sz w:val="18"/>
          </w:rPr>
          <w:t>https://www.ecdc.europa.eu/en/all-topics-z/cholera/surveillance-and-disease-data/cholera-monthly</w:t>
        </w:r>
      </w:hyperlink>
      <w:r w:rsidR="00B70488" w:rsidRPr="009D4D86">
        <w:t>.</w:t>
      </w:r>
    </w:p>
    <w:p w14:paraId="4576AE4B" w14:textId="77777777" w:rsidR="00CC3A60" w:rsidRDefault="00CC3A60">
      <w:pPr>
        <w:rPr>
          <w:rFonts w:eastAsia="Arial Unicode MS" w:cs="Times New Roman"/>
          <w:kern w:val="22"/>
          <w:szCs w:val="18"/>
          <w:lang w:eastAsia="ko-KR"/>
        </w:rPr>
      </w:pPr>
      <w:r>
        <w:br w:type="page"/>
      </w:r>
    </w:p>
    <w:p w14:paraId="6496CB96" w14:textId="6A5F368F" w:rsidR="00F239C1" w:rsidRDefault="00F239C1" w:rsidP="009F5B73">
      <w:pPr>
        <w:pStyle w:val="EC-Title-6"/>
        <w:outlineLvl w:val="1"/>
      </w:pPr>
      <w:r>
        <w:lastRenderedPageBreak/>
        <w:t xml:space="preserve">Annex 1. Surveillance systems overview, </w:t>
      </w:r>
      <w:r w:rsidR="002E726A">
        <w:t>202</w:t>
      </w:r>
      <w:r w:rsidR="00966BAD">
        <w:t>3</w:t>
      </w:r>
    </w:p>
    <w:tbl>
      <w:tblPr>
        <w:tblW w:w="9924" w:type="dxa"/>
        <w:tblInd w:w="-5" w:type="dxa"/>
        <w:tblLook w:val="04A0" w:firstRow="1" w:lastRow="0" w:firstColumn="1" w:lastColumn="0" w:noHBand="0" w:noVBand="1"/>
      </w:tblPr>
      <w:tblGrid>
        <w:gridCol w:w="1060"/>
        <w:gridCol w:w="2780"/>
        <w:gridCol w:w="570"/>
        <w:gridCol w:w="570"/>
        <w:gridCol w:w="570"/>
        <w:gridCol w:w="570"/>
        <w:gridCol w:w="570"/>
        <w:gridCol w:w="570"/>
        <w:gridCol w:w="570"/>
        <w:gridCol w:w="570"/>
        <w:gridCol w:w="1587"/>
      </w:tblGrid>
      <w:tr w:rsidR="00D70C92" w:rsidRPr="00CC7106" w14:paraId="493A66C9" w14:textId="77777777" w:rsidTr="00034328">
        <w:trPr>
          <w:trHeight w:val="291"/>
        </w:trPr>
        <w:tc>
          <w:tcPr>
            <w:tcW w:w="106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B63C248" w14:textId="77777777" w:rsidR="00ED7912" w:rsidRPr="00CC7106" w:rsidRDefault="00ED7912" w:rsidP="00ED7912">
            <w:pPr>
              <w:rPr>
                <w:rFonts w:eastAsia="Times New Roman" w:cs="Tahoma"/>
                <w:b/>
                <w:bCs/>
                <w:color w:val="FFFFFF"/>
                <w:sz w:val="14"/>
                <w:szCs w:val="14"/>
                <w:lang w:eastAsia="en-GB"/>
              </w:rPr>
            </w:pPr>
            <w:r w:rsidRPr="00CC7106">
              <w:rPr>
                <w:rFonts w:eastAsia="Times New Roman" w:cs="Tahoma"/>
                <w:b/>
                <w:bCs/>
                <w:color w:val="FFFFFF"/>
                <w:sz w:val="14"/>
                <w:szCs w:val="14"/>
                <w:lang w:eastAsia="en-GB"/>
              </w:rPr>
              <w:t>Country</w:t>
            </w:r>
          </w:p>
        </w:tc>
        <w:tc>
          <w:tcPr>
            <w:tcW w:w="278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1D212172" w14:textId="77777777" w:rsidR="00ED7912" w:rsidRPr="00CC7106" w:rsidRDefault="00ED7912" w:rsidP="00ED7912">
            <w:pPr>
              <w:rPr>
                <w:rFonts w:eastAsia="Times New Roman" w:cs="Tahoma"/>
                <w:b/>
                <w:bCs/>
                <w:color w:val="FFFFFF"/>
                <w:sz w:val="14"/>
                <w:szCs w:val="14"/>
                <w:lang w:eastAsia="en-GB"/>
              </w:rPr>
            </w:pPr>
            <w:r w:rsidRPr="00CC7106">
              <w:rPr>
                <w:rFonts w:eastAsia="Times New Roman" w:cs="Tahoma"/>
                <w:b/>
                <w:bCs/>
                <w:color w:val="FFFFFF"/>
                <w:sz w:val="14"/>
                <w:szCs w:val="14"/>
                <w:lang w:eastAsia="en-GB"/>
              </w:rPr>
              <w:t>Data source</w:t>
            </w:r>
          </w:p>
        </w:tc>
        <w:tc>
          <w:tcPr>
            <w:tcW w:w="563"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B0CCB5D" w14:textId="77777777" w:rsidR="00ED7912" w:rsidRPr="00CC7106" w:rsidRDefault="00ED7912" w:rsidP="00ED7912">
            <w:pPr>
              <w:jc w:val="center"/>
              <w:rPr>
                <w:rFonts w:eastAsia="Times New Roman" w:cs="Tahoma"/>
                <w:b/>
                <w:bCs/>
                <w:color w:val="FFFFFF"/>
                <w:sz w:val="14"/>
                <w:szCs w:val="14"/>
                <w:lang w:eastAsia="en-GB"/>
              </w:rPr>
            </w:pPr>
            <w:r w:rsidRPr="00CC7106">
              <w:rPr>
                <w:rFonts w:eastAsia="Times New Roman" w:cs="Tahoma"/>
                <w:b/>
                <w:bCs/>
                <w:color w:val="FFFFFF"/>
                <w:sz w:val="14"/>
                <w:szCs w:val="14"/>
                <w:lang w:eastAsia="en-GB"/>
              </w:rPr>
              <w:t>Compulsory (Cp), voluntary (V), other(O)</w:t>
            </w:r>
          </w:p>
        </w:tc>
        <w:tc>
          <w:tcPr>
            <w:tcW w:w="562"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54E2640F" w14:textId="77777777" w:rsidR="00ED7912" w:rsidRPr="00CC7106" w:rsidRDefault="00ED7912" w:rsidP="00ED7912">
            <w:pPr>
              <w:jc w:val="center"/>
              <w:rPr>
                <w:rFonts w:eastAsia="Times New Roman" w:cs="Tahoma"/>
                <w:b/>
                <w:bCs/>
                <w:color w:val="FFFFFF"/>
                <w:sz w:val="14"/>
                <w:szCs w:val="14"/>
                <w:lang w:eastAsia="en-GB"/>
              </w:rPr>
            </w:pPr>
            <w:r w:rsidRPr="00CC7106">
              <w:rPr>
                <w:rFonts w:eastAsia="Times New Roman" w:cs="Tahoma"/>
                <w:b/>
                <w:bCs/>
                <w:color w:val="FFFFFF"/>
                <w:sz w:val="14"/>
                <w:szCs w:val="14"/>
                <w:lang w:eastAsia="en-GB"/>
              </w:rPr>
              <w:t>Comprehensive (Co), sentinel (Se), other(O)</w:t>
            </w:r>
          </w:p>
        </w:tc>
        <w:tc>
          <w:tcPr>
            <w:tcW w:w="562"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0C2572E9" w14:textId="77777777" w:rsidR="00ED7912" w:rsidRPr="00CC7106" w:rsidRDefault="00ED7912" w:rsidP="00ED7912">
            <w:pPr>
              <w:jc w:val="center"/>
              <w:rPr>
                <w:rFonts w:eastAsia="Times New Roman" w:cs="Tahoma"/>
                <w:b/>
                <w:bCs/>
                <w:color w:val="FFFFFF"/>
                <w:sz w:val="14"/>
                <w:szCs w:val="14"/>
                <w:lang w:eastAsia="en-GB"/>
              </w:rPr>
            </w:pPr>
            <w:r w:rsidRPr="00CC7106">
              <w:rPr>
                <w:rFonts w:eastAsia="Times New Roman" w:cs="Tahoma"/>
                <w:b/>
                <w:bCs/>
                <w:color w:val="FFFFFF"/>
                <w:sz w:val="14"/>
                <w:szCs w:val="14"/>
                <w:lang w:eastAsia="en-GB"/>
              </w:rPr>
              <w:t>Active (A), passive (P)</w:t>
            </w:r>
          </w:p>
        </w:tc>
        <w:tc>
          <w:tcPr>
            <w:tcW w:w="562"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3B617DC" w14:textId="77777777" w:rsidR="00ED7912" w:rsidRPr="00CC7106" w:rsidRDefault="00ED7912" w:rsidP="00ED7912">
            <w:pPr>
              <w:jc w:val="center"/>
              <w:rPr>
                <w:rFonts w:eastAsia="Times New Roman" w:cs="Tahoma"/>
                <w:b/>
                <w:bCs/>
                <w:color w:val="FFFFFF"/>
                <w:sz w:val="14"/>
                <w:szCs w:val="14"/>
                <w:lang w:eastAsia="en-GB"/>
              </w:rPr>
            </w:pPr>
            <w:r w:rsidRPr="00CC7106">
              <w:rPr>
                <w:rFonts w:eastAsia="Times New Roman" w:cs="Tahoma"/>
                <w:b/>
                <w:bCs/>
                <w:color w:val="FFFFFF"/>
                <w:sz w:val="14"/>
                <w:szCs w:val="14"/>
                <w:lang w:eastAsia="en-GB"/>
              </w:rPr>
              <w:t>Case-based (C), aggregated (A)</w:t>
            </w:r>
          </w:p>
        </w:tc>
        <w:tc>
          <w:tcPr>
            <w:tcW w:w="2248" w:type="dxa"/>
            <w:gridSpan w:val="4"/>
            <w:tcBorders>
              <w:top w:val="single" w:sz="4" w:space="0" w:color="auto"/>
              <w:left w:val="nil"/>
              <w:bottom w:val="single" w:sz="4" w:space="0" w:color="auto"/>
              <w:right w:val="single" w:sz="4" w:space="0" w:color="auto"/>
            </w:tcBorders>
            <w:shd w:val="clear" w:color="000000" w:fill="69AE23"/>
            <w:noWrap/>
            <w:hideMark/>
          </w:tcPr>
          <w:p w14:paraId="4BBE03C6" w14:textId="77777777" w:rsidR="00ED7912" w:rsidRPr="00CC7106" w:rsidRDefault="00ED7912" w:rsidP="00ED7912">
            <w:pPr>
              <w:jc w:val="center"/>
              <w:rPr>
                <w:rFonts w:eastAsia="Times New Roman" w:cs="Tahoma"/>
                <w:b/>
                <w:bCs/>
                <w:color w:val="FFFFFF"/>
                <w:sz w:val="14"/>
                <w:szCs w:val="14"/>
                <w:lang w:eastAsia="en-GB"/>
              </w:rPr>
            </w:pPr>
            <w:r w:rsidRPr="00CC7106">
              <w:rPr>
                <w:rFonts w:eastAsia="Times New Roman" w:cs="Tahoma"/>
                <w:b/>
                <w:bCs/>
                <w:color w:val="FFFFFF"/>
                <w:sz w:val="14"/>
                <w:szCs w:val="14"/>
                <w:lang w:eastAsia="en-GB"/>
              </w:rPr>
              <w:t>Data reported by</w:t>
            </w:r>
          </w:p>
        </w:tc>
        <w:tc>
          <w:tcPr>
            <w:tcW w:w="1587"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3A3AD41" w14:textId="77777777" w:rsidR="00ED7912" w:rsidRPr="00CC7106" w:rsidRDefault="00ED7912" w:rsidP="00ED7912">
            <w:pPr>
              <w:rPr>
                <w:rFonts w:eastAsia="Times New Roman" w:cs="Tahoma"/>
                <w:b/>
                <w:bCs/>
                <w:color w:val="FFFFFF"/>
                <w:sz w:val="14"/>
                <w:szCs w:val="14"/>
                <w:lang w:eastAsia="en-GB"/>
              </w:rPr>
            </w:pPr>
            <w:r w:rsidRPr="00CC7106">
              <w:rPr>
                <w:rFonts w:eastAsia="Times New Roman" w:cs="Tahoma"/>
                <w:b/>
                <w:bCs/>
                <w:color w:val="FFFFFF"/>
                <w:sz w:val="14"/>
                <w:szCs w:val="14"/>
                <w:lang w:eastAsia="en-GB"/>
              </w:rPr>
              <w:t>Case definition used</w:t>
            </w:r>
          </w:p>
        </w:tc>
      </w:tr>
      <w:tr w:rsidR="00D70C92" w:rsidRPr="00CC7106" w14:paraId="776BB4E3" w14:textId="77777777" w:rsidTr="00034328">
        <w:trPr>
          <w:trHeight w:val="2781"/>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6086147E" w14:textId="77777777" w:rsidR="00ED7912" w:rsidRPr="00CC7106" w:rsidRDefault="00ED7912" w:rsidP="00ED7912">
            <w:pPr>
              <w:rPr>
                <w:rFonts w:eastAsia="Times New Roman" w:cs="Tahoma"/>
                <w:b/>
                <w:bCs/>
                <w:color w:val="FFFFFF"/>
                <w:sz w:val="14"/>
                <w:szCs w:val="14"/>
                <w:lang w:eastAsia="en-GB"/>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12CD200F" w14:textId="77777777" w:rsidR="00ED7912" w:rsidRPr="00CC7106" w:rsidRDefault="00ED7912" w:rsidP="00ED7912">
            <w:pPr>
              <w:rPr>
                <w:rFonts w:eastAsia="Times New Roman" w:cs="Tahoma"/>
                <w:b/>
                <w:bCs/>
                <w:color w:val="FFFFFF"/>
                <w:sz w:val="14"/>
                <w:szCs w:val="14"/>
                <w:lang w:eastAsia="en-GB"/>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14:paraId="6253A3B5" w14:textId="77777777" w:rsidR="00ED7912" w:rsidRPr="00CC7106" w:rsidRDefault="00ED7912" w:rsidP="00ED7912">
            <w:pPr>
              <w:rPr>
                <w:rFonts w:eastAsia="Times New Roman" w:cs="Tahoma"/>
                <w:b/>
                <w:bCs/>
                <w:color w:val="FFFFFF"/>
                <w:sz w:val="14"/>
                <w:szCs w:val="14"/>
                <w:lang w:eastAsia="en-GB"/>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DBC42CD" w14:textId="77777777" w:rsidR="00ED7912" w:rsidRPr="00CC7106" w:rsidRDefault="00ED7912" w:rsidP="00ED7912">
            <w:pPr>
              <w:rPr>
                <w:rFonts w:eastAsia="Times New Roman" w:cs="Tahoma"/>
                <w:b/>
                <w:bCs/>
                <w:color w:val="FFFFFF"/>
                <w:sz w:val="14"/>
                <w:szCs w:val="14"/>
                <w:lang w:eastAsia="en-GB"/>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A5B8976" w14:textId="77777777" w:rsidR="00ED7912" w:rsidRPr="00CC7106" w:rsidRDefault="00ED7912" w:rsidP="00ED7912">
            <w:pPr>
              <w:rPr>
                <w:rFonts w:eastAsia="Times New Roman" w:cs="Tahoma"/>
                <w:b/>
                <w:bCs/>
                <w:color w:val="FFFFFF"/>
                <w:sz w:val="14"/>
                <w:szCs w:val="14"/>
                <w:lang w:eastAsia="en-GB"/>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4B56FA7" w14:textId="77777777" w:rsidR="00ED7912" w:rsidRPr="00CC7106" w:rsidRDefault="00ED7912" w:rsidP="00ED7912">
            <w:pPr>
              <w:rPr>
                <w:rFonts w:eastAsia="Times New Roman" w:cs="Tahoma"/>
                <w:b/>
                <w:bCs/>
                <w:color w:val="FFFFFF"/>
                <w:sz w:val="14"/>
                <w:szCs w:val="14"/>
                <w:lang w:eastAsia="en-GB"/>
              </w:rPr>
            </w:pPr>
          </w:p>
        </w:tc>
        <w:tc>
          <w:tcPr>
            <w:tcW w:w="562" w:type="dxa"/>
            <w:tcBorders>
              <w:top w:val="nil"/>
              <w:left w:val="nil"/>
              <w:bottom w:val="nil"/>
              <w:right w:val="single" w:sz="4" w:space="0" w:color="auto"/>
            </w:tcBorders>
            <w:shd w:val="clear" w:color="000000" w:fill="69AE23"/>
            <w:noWrap/>
            <w:textDirection w:val="btLr"/>
            <w:vAlign w:val="bottom"/>
            <w:hideMark/>
          </w:tcPr>
          <w:p w14:paraId="5F890FD7" w14:textId="77777777" w:rsidR="00ED7912" w:rsidRPr="00CC7106" w:rsidRDefault="00ED7912" w:rsidP="00ED7912">
            <w:pPr>
              <w:jc w:val="center"/>
              <w:rPr>
                <w:rFonts w:eastAsia="Times New Roman" w:cs="Tahoma"/>
                <w:b/>
                <w:bCs/>
                <w:color w:val="FFFFFF"/>
                <w:sz w:val="14"/>
                <w:szCs w:val="14"/>
                <w:lang w:eastAsia="en-GB"/>
              </w:rPr>
            </w:pPr>
            <w:r w:rsidRPr="00CC7106">
              <w:rPr>
                <w:rFonts w:eastAsia="Times New Roman" w:cs="Tahoma"/>
                <w:b/>
                <w:bCs/>
                <w:color w:val="FFFFFF"/>
                <w:sz w:val="14"/>
                <w:szCs w:val="14"/>
                <w:lang w:eastAsia="en-GB"/>
              </w:rPr>
              <w:t>Laboratories</w:t>
            </w:r>
          </w:p>
        </w:tc>
        <w:tc>
          <w:tcPr>
            <w:tcW w:w="562" w:type="dxa"/>
            <w:tcBorders>
              <w:top w:val="nil"/>
              <w:left w:val="nil"/>
              <w:bottom w:val="nil"/>
              <w:right w:val="single" w:sz="4" w:space="0" w:color="auto"/>
            </w:tcBorders>
            <w:shd w:val="clear" w:color="000000" w:fill="69AE23"/>
            <w:noWrap/>
            <w:textDirection w:val="btLr"/>
            <w:vAlign w:val="bottom"/>
            <w:hideMark/>
          </w:tcPr>
          <w:p w14:paraId="28319176" w14:textId="77777777" w:rsidR="00ED7912" w:rsidRPr="00CC7106" w:rsidRDefault="00ED7912" w:rsidP="00ED7912">
            <w:pPr>
              <w:jc w:val="center"/>
              <w:rPr>
                <w:rFonts w:eastAsia="Times New Roman" w:cs="Tahoma"/>
                <w:b/>
                <w:bCs/>
                <w:color w:val="FFFFFF"/>
                <w:sz w:val="14"/>
                <w:szCs w:val="14"/>
                <w:lang w:eastAsia="en-GB"/>
              </w:rPr>
            </w:pPr>
            <w:r w:rsidRPr="00CC7106">
              <w:rPr>
                <w:rFonts w:eastAsia="Times New Roman" w:cs="Tahoma"/>
                <w:b/>
                <w:bCs/>
                <w:color w:val="FFFFFF"/>
                <w:sz w:val="14"/>
                <w:szCs w:val="14"/>
                <w:lang w:eastAsia="en-GB"/>
              </w:rPr>
              <w:t>Physicians</w:t>
            </w:r>
          </w:p>
        </w:tc>
        <w:tc>
          <w:tcPr>
            <w:tcW w:w="562" w:type="dxa"/>
            <w:tcBorders>
              <w:top w:val="nil"/>
              <w:left w:val="nil"/>
              <w:bottom w:val="nil"/>
              <w:right w:val="single" w:sz="4" w:space="0" w:color="auto"/>
            </w:tcBorders>
            <w:shd w:val="clear" w:color="000000" w:fill="69AE23"/>
            <w:noWrap/>
            <w:textDirection w:val="btLr"/>
            <w:vAlign w:val="bottom"/>
            <w:hideMark/>
          </w:tcPr>
          <w:p w14:paraId="10A613FE" w14:textId="77777777" w:rsidR="00ED7912" w:rsidRPr="00CC7106" w:rsidRDefault="00ED7912" w:rsidP="00ED7912">
            <w:pPr>
              <w:jc w:val="center"/>
              <w:rPr>
                <w:rFonts w:eastAsia="Times New Roman" w:cs="Tahoma"/>
                <w:b/>
                <w:bCs/>
                <w:color w:val="FFFFFF"/>
                <w:sz w:val="14"/>
                <w:szCs w:val="14"/>
                <w:lang w:eastAsia="en-GB"/>
              </w:rPr>
            </w:pPr>
            <w:r w:rsidRPr="00CC7106">
              <w:rPr>
                <w:rFonts w:eastAsia="Times New Roman" w:cs="Tahoma"/>
                <w:b/>
                <w:bCs/>
                <w:color w:val="FFFFFF"/>
                <w:sz w:val="14"/>
                <w:szCs w:val="14"/>
                <w:lang w:eastAsia="en-GB"/>
              </w:rPr>
              <w:t>Hospitals</w:t>
            </w:r>
          </w:p>
        </w:tc>
        <w:tc>
          <w:tcPr>
            <w:tcW w:w="562" w:type="dxa"/>
            <w:tcBorders>
              <w:top w:val="nil"/>
              <w:left w:val="nil"/>
              <w:bottom w:val="nil"/>
              <w:right w:val="single" w:sz="4" w:space="0" w:color="auto"/>
            </w:tcBorders>
            <w:shd w:val="clear" w:color="000000" w:fill="69AE23"/>
            <w:noWrap/>
            <w:textDirection w:val="btLr"/>
            <w:vAlign w:val="bottom"/>
            <w:hideMark/>
          </w:tcPr>
          <w:p w14:paraId="4E59AC9F" w14:textId="77777777" w:rsidR="00ED7912" w:rsidRPr="00CC7106" w:rsidRDefault="00ED7912" w:rsidP="00ED7912">
            <w:pPr>
              <w:jc w:val="center"/>
              <w:rPr>
                <w:rFonts w:eastAsia="Times New Roman" w:cs="Tahoma"/>
                <w:b/>
                <w:bCs/>
                <w:color w:val="FFFFFF"/>
                <w:sz w:val="14"/>
                <w:szCs w:val="14"/>
                <w:lang w:eastAsia="en-GB"/>
              </w:rPr>
            </w:pPr>
            <w:r w:rsidRPr="00CC7106">
              <w:rPr>
                <w:rFonts w:eastAsia="Times New Roman" w:cs="Tahoma"/>
                <w:b/>
                <w:bCs/>
                <w:color w:val="FFFFFF"/>
                <w:sz w:val="14"/>
                <w:szCs w:val="14"/>
                <w:lang w:eastAsia="en-GB"/>
              </w:rPr>
              <w:t>Others</w:t>
            </w: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61403630" w14:textId="77777777" w:rsidR="00ED7912" w:rsidRPr="00CC7106" w:rsidRDefault="00ED7912" w:rsidP="00ED7912">
            <w:pPr>
              <w:rPr>
                <w:rFonts w:eastAsia="Times New Roman" w:cs="Tahoma"/>
                <w:b/>
                <w:bCs/>
                <w:color w:val="FFFFFF"/>
                <w:sz w:val="14"/>
                <w:szCs w:val="14"/>
                <w:lang w:eastAsia="en-GB"/>
              </w:rPr>
            </w:pPr>
          </w:p>
        </w:tc>
      </w:tr>
      <w:tr w:rsidR="00D70C92" w:rsidRPr="00CC7106" w14:paraId="0ACAD2D9" w14:textId="77777777" w:rsidTr="00034328">
        <w:trPr>
          <w:trHeight w:val="232"/>
        </w:trPr>
        <w:tc>
          <w:tcPr>
            <w:tcW w:w="1060" w:type="dxa"/>
            <w:tcBorders>
              <w:top w:val="single" w:sz="4" w:space="0" w:color="auto"/>
              <w:left w:val="single" w:sz="4" w:space="0" w:color="auto"/>
              <w:bottom w:val="nil"/>
              <w:right w:val="single" w:sz="4" w:space="0" w:color="auto"/>
            </w:tcBorders>
            <w:shd w:val="clear" w:color="000000" w:fill="D9D9D9"/>
            <w:noWrap/>
            <w:vAlign w:val="bottom"/>
            <w:hideMark/>
          </w:tcPr>
          <w:p w14:paraId="7A07666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Austria</w:t>
            </w:r>
          </w:p>
        </w:tc>
        <w:tc>
          <w:tcPr>
            <w:tcW w:w="2780" w:type="dxa"/>
            <w:tcBorders>
              <w:top w:val="single" w:sz="4" w:space="0" w:color="auto"/>
              <w:left w:val="single" w:sz="4" w:space="0" w:color="auto"/>
              <w:bottom w:val="nil"/>
              <w:right w:val="single" w:sz="4" w:space="0" w:color="auto"/>
            </w:tcBorders>
            <w:shd w:val="clear" w:color="000000" w:fill="D9D9D9"/>
            <w:noWrap/>
            <w:vAlign w:val="bottom"/>
            <w:hideMark/>
          </w:tcPr>
          <w:p w14:paraId="08F0FDC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AT-</w:t>
            </w:r>
            <w:proofErr w:type="spellStart"/>
            <w:r w:rsidRPr="00CC7106">
              <w:rPr>
                <w:rFonts w:eastAsia="Times New Roman" w:cs="Tahoma"/>
                <w:sz w:val="14"/>
                <w:szCs w:val="14"/>
                <w:lang w:eastAsia="en-GB"/>
              </w:rPr>
              <w:t>Epidemiegesetz</w:t>
            </w:r>
            <w:proofErr w:type="spellEnd"/>
          </w:p>
        </w:tc>
        <w:tc>
          <w:tcPr>
            <w:tcW w:w="563" w:type="dxa"/>
            <w:tcBorders>
              <w:top w:val="single" w:sz="4" w:space="0" w:color="auto"/>
              <w:left w:val="single" w:sz="4" w:space="0" w:color="auto"/>
              <w:bottom w:val="nil"/>
              <w:right w:val="single" w:sz="4" w:space="0" w:color="auto"/>
            </w:tcBorders>
            <w:shd w:val="clear" w:color="000000" w:fill="D9D9D9"/>
            <w:noWrap/>
            <w:vAlign w:val="bottom"/>
            <w:hideMark/>
          </w:tcPr>
          <w:p w14:paraId="2043715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single" w:sz="4" w:space="0" w:color="auto"/>
              <w:left w:val="single" w:sz="4" w:space="0" w:color="auto"/>
              <w:bottom w:val="nil"/>
              <w:right w:val="single" w:sz="4" w:space="0" w:color="auto"/>
            </w:tcBorders>
            <w:shd w:val="clear" w:color="000000" w:fill="D9D9D9"/>
            <w:noWrap/>
            <w:vAlign w:val="bottom"/>
            <w:hideMark/>
          </w:tcPr>
          <w:p w14:paraId="5660C29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single" w:sz="4" w:space="0" w:color="auto"/>
              <w:left w:val="single" w:sz="4" w:space="0" w:color="auto"/>
              <w:bottom w:val="nil"/>
              <w:right w:val="single" w:sz="4" w:space="0" w:color="auto"/>
            </w:tcBorders>
            <w:shd w:val="clear" w:color="000000" w:fill="D9D9D9"/>
            <w:noWrap/>
            <w:vAlign w:val="bottom"/>
            <w:hideMark/>
          </w:tcPr>
          <w:p w14:paraId="59170C5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single" w:sz="4" w:space="0" w:color="auto"/>
              <w:left w:val="single" w:sz="4" w:space="0" w:color="auto"/>
              <w:bottom w:val="nil"/>
              <w:right w:val="single" w:sz="4" w:space="0" w:color="auto"/>
            </w:tcBorders>
            <w:shd w:val="clear" w:color="000000" w:fill="D9D9D9"/>
            <w:noWrap/>
            <w:vAlign w:val="bottom"/>
            <w:hideMark/>
          </w:tcPr>
          <w:p w14:paraId="6440BFB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single" w:sz="4" w:space="0" w:color="auto"/>
              <w:left w:val="single" w:sz="4" w:space="0" w:color="auto"/>
              <w:bottom w:val="nil"/>
              <w:right w:val="single" w:sz="4" w:space="0" w:color="auto"/>
            </w:tcBorders>
            <w:shd w:val="clear" w:color="000000" w:fill="D9D9D9"/>
            <w:noWrap/>
            <w:vAlign w:val="bottom"/>
            <w:hideMark/>
          </w:tcPr>
          <w:p w14:paraId="2306C69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single" w:sz="4" w:space="0" w:color="auto"/>
              <w:left w:val="single" w:sz="4" w:space="0" w:color="auto"/>
              <w:bottom w:val="nil"/>
              <w:right w:val="single" w:sz="4" w:space="0" w:color="auto"/>
            </w:tcBorders>
            <w:shd w:val="clear" w:color="000000" w:fill="D9D9D9"/>
            <w:noWrap/>
            <w:vAlign w:val="bottom"/>
            <w:hideMark/>
          </w:tcPr>
          <w:p w14:paraId="55FD47C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single" w:sz="4" w:space="0" w:color="auto"/>
              <w:left w:val="single" w:sz="4" w:space="0" w:color="auto"/>
              <w:bottom w:val="nil"/>
              <w:right w:val="single" w:sz="4" w:space="0" w:color="auto"/>
            </w:tcBorders>
            <w:shd w:val="clear" w:color="000000" w:fill="D9D9D9"/>
            <w:noWrap/>
            <w:vAlign w:val="bottom"/>
            <w:hideMark/>
          </w:tcPr>
          <w:p w14:paraId="70B85F1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single" w:sz="4" w:space="0" w:color="auto"/>
              <w:left w:val="single" w:sz="4" w:space="0" w:color="auto"/>
              <w:bottom w:val="nil"/>
              <w:right w:val="single" w:sz="4" w:space="0" w:color="auto"/>
            </w:tcBorders>
            <w:shd w:val="clear" w:color="000000" w:fill="D9D9D9"/>
            <w:noWrap/>
            <w:vAlign w:val="bottom"/>
            <w:hideMark/>
          </w:tcPr>
          <w:p w14:paraId="6C2594A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1587" w:type="dxa"/>
            <w:tcBorders>
              <w:top w:val="single" w:sz="4" w:space="0" w:color="auto"/>
              <w:left w:val="nil"/>
              <w:bottom w:val="nil"/>
              <w:right w:val="single" w:sz="4" w:space="0" w:color="auto"/>
            </w:tcBorders>
            <w:shd w:val="clear" w:color="000000" w:fill="D9D9D9"/>
            <w:noWrap/>
            <w:vAlign w:val="bottom"/>
            <w:hideMark/>
          </w:tcPr>
          <w:p w14:paraId="78C3CE3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EU-2008</w:t>
            </w:r>
          </w:p>
        </w:tc>
      </w:tr>
      <w:tr w:rsidR="00CC7106" w:rsidRPr="00CC7106" w14:paraId="169B223C"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2207919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Belgium</w:t>
            </w:r>
          </w:p>
        </w:tc>
        <w:tc>
          <w:tcPr>
            <w:tcW w:w="2780" w:type="dxa"/>
            <w:tcBorders>
              <w:top w:val="nil"/>
              <w:left w:val="nil"/>
              <w:bottom w:val="nil"/>
              <w:right w:val="single" w:sz="4" w:space="0" w:color="auto"/>
            </w:tcBorders>
            <w:shd w:val="clear" w:color="auto" w:fill="auto"/>
            <w:noWrap/>
            <w:vAlign w:val="bottom"/>
            <w:hideMark/>
          </w:tcPr>
          <w:p w14:paraId="176947F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BE-REFLAB</w:t>
            </w:r>
          </w:p>
        </w:tc>
        <w:tc>
          <w:tcPr>
            <w:tcW w:w="563" w:type="dxa"/>
            <w:tcBorders>
              <w:top w:val="nil"/>
              <w:left w:val="nil"/>
              <w:bottom w:val="nil"/>
              <w:right w:val="single" w:sz="4" w:space="0" w:color="auto"/>
            </w:tcBorders>
            <w:shd w:val="clear" w:color="auto" w:fill="auto"/>
            <w:noWrap/>
            <w:vAlign w:val="bottom"/>
            <w:hideMark/>
          </w:tcPr>
          <w:p w14:paraId="3CFB919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1A0D688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0F6F197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3430ED0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5403117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14C20B3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nil"/>
              <w:bottom w:val="nil"/>
              <w:right w:val="single" w:sz="4" w:space="0" w:color="auto"/>
            </w:tcBorders>
            <w:shd w:val="clear" w:color="auto" w:fill="auto"/>
            <w:noWrap/>
            <w:vAlign w:val="bottom"/>
            <w:hideMark/>
          </w:tcPr>
          <w:p w14:paraId="73347ED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nil"/>
              <w:bottom w:val="nil"/>
              <w:right w:val="single" w:sz="4" w:space="0" w:color="auto"/>
            </w:tcBorders>
            <w:shd w:val="clear" w:color="auto" w:fill="auto"/>
            <w:noWrap/>
            <w:vAlign w:val="bottom"/>
            <w:hideMark/>
          </w:tcPr>
          <w:p w14:paraId="3FF3CE3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073BA7A5" w14:textId="61BD0B2D"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w:t>
            </w:r>
            <w:r w:rsidR="002341EE">
              <w:rPr>
                <w:rFonts w:eastAsia="Times New Roman" w:cs="Tahoma"/>
                <w:sz w:val="14"/>
                <w:szCs w:val="14"/>
                <w:lang w:eastAsia="en-GB"/>
              </w:rPr>
              <w:t>8</w:t>
            </w:r>
          </w:p>
        </w:tc>
      </w:tr>
      <w:tr w:rsidR="00D70C92" w:rsidRPr="00CC7106" w14:paraId="67F3FA40"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587D219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Bulgaria</w:t>
            </w:r>
          </w:p>
        </w:tc>
        <w:tc>
          <w:tcPr>
            <w:tcW w:w="2780" w:type="dxa"/>
            <w:tcBorders>
              <w:top w:val="nil"/>
              <w:left w:val="single" w:sz="4" w:space="0" w:color="auto"/>
              <w:bottom w:val="nil"/>
              <w:right w:val="single" w:sz="4" w:space="0" w:color="auto"/>
            </w:tcBorders>
            <w:shd w:val="clear" w:color="000000" w:fill="D9D9D9"/>
            <w:noWrap/>
            <w:vAlign w:val="bottom"/>
            <w:hideMark/>
          </w:tcPr>
          <w:p w14:paraId="537EE79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BG-NATIONAL_SURVEILLANCE</w:t>
            </w:r>
          </w:p>
        </w:tc>
        <w:tc>
          <w:tcPr>
            <w:tcW w:w="563" w:type="dxa"/>
            <w:tcBorders>
              <w:top w:val="nil"/>
              <w:left w:val="single" w:sz="4" w:space="0" w:color="auto"/>
              <w:bottom w:val="nil"/>
              <w:right w:val="single" w:sz="4" w:space="0" w:color="auto"/>
            </w:tcBorders>
            <w:shd w:val="clear" w:color="000000" w:fill="D9D9D9"/>
            <w:noWrap/>
            <w:vAlign w:val="bottom"/>
            <w:hideMark/>
          </w:tcPr>
          <w:p w14:paraId="4686584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2AF4806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00EE60D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5404AEE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52B7B01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6BEC0AB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5963376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4E51B4F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1587" w:type="dxa"/>
            <w:tcBorders>
              <w:top w:val="nil"/>
              <w:left w:val="nil"/>
              <w:bottom w:val="nil"/>
              <w:right w:val="single" w:sz="4" w:space="0" w:color="auto"/>
            </w:tcBorders>
            <w:shd w:val="clear" w:color="000000" w:fill="D9D9D9"/>
            <w:noWrap/>
            <w:vAlign w:val="bottom"/>
            <w:hideMark/>
          </w:tcPr>
          <w:p w14:paraId="2F97A72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CC7106" w:rsidRPr="00CC7106" w14:paraId="53C32C41"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15D451D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Croatia</w:t>
            </w:r>
          </w:p>
        </w:tc>
        <w:tc>
          <w:tcPr>
            <w:tcW w:w="2780" w:type="dxa"/>
            <w:tcBorders>
              <w:top w:val="nil"/>
              <w:left w:val="nil"/>
              <w:bottom w:val="nil"/>
              <w:right w:val="single" w:sz="4" w:space="0" w:color="auto"/>
            </w:tcBorders>
            <w:shd w:val="clear" w:color="auto" w:fill="auto"/>
            <w:noWrap/>
            <w:vAlign w:val="bottom"/>
            <w:hideMark/>
          </w:tcPr>
          <w:p w14:paraId="0D54E18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HR-CNIPH</w:t>
            </w:r>
          </w:p>
        </w:tc>
        <w:tc>
          <w:tcPr>
            <w:tcW w:w="563" w:type="dxa"/>
            <w:tcBorders>
              <w:top w:val="nil"/>
              <w:left w:val="nil"/>
              <w:bottom w:val="nil"/>
              <w:right w:val="single" w:sz="4" w:space="0" w:color="auto"/>
            </w:tcBorders>
            <w:shd w:val="clear" w:color="auto" w:fill="auto"/>
            <w:noWrap/>
            <w:vAlign w:val="bottom"/>
            <w:hideMark/>
          </w:tcPr>
          <w:p w14:paraId="0C5DB16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016B3B0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09C3112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1B7671D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29FB2F6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2457154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3BD8B24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033C2FB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1587" w:type="dxa"/>
            <w:tcBorders>
              <w:top w:val="nil"/>
              <w:left w:val="nil"/>
              <w:bottom w:val="nil"/>
              <w:right w:val="single" w:sz="4" w:space="0" w:color="auto"/>
            </w:tcBorders>
            <w:shd w:val="clear" w:color="auto" w:fill="auto"/>
            <w:noWrap/>
            <w:vAlign w:val="bottom"/>
            <w:hideMark/>
          </w:tcPr>
          <w:p w14:paraId="36FE45A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EU-2012</w:t>
            </w:r>
          </w:p>
        </w:tc>
      </w:tr>
      <w:tr w:rsidR="00D70C92" w:rsidRPr="00CC7106" w14:paraId="453F303E"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01858B8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Cyprus</w:t>
            </w:r>
          </w:p>
        </w:tc>
        <w:tc>
          <w:tcPr>
            <w:tcW w:w="2780" w:type="dxa"/>
            <w:tcBorders>
              <w:top w:val="nil"/>
              <w:left w:val="single" w:sz="4" w:space="0" w:color="auto"/>
              <w:bottom w:val="nil"/>
              <w:right w:val="single" w:sz="4" w:space="0" w:color="auto"/>
            </w:tcBorders>
            <w:shd w:val="clear" w:color="000000" w:fill="D9D9D9"/>
            <w:noWrap/>
            <w:vAlign w:val="bottom"/>
            <w:hideMark/>
          </w:tcPr>
          <w:p w14:paraId="7B45E88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CY-NOTIFIED_DISEASES</w:t>
            </w:r>
          </w:p>
        </w:tc>
        <w:tc>
          <w:tcPr>
            <w:tcW w:w="563" w:type="dxa"/>
            <w:tcBorders>
              <w:top w:val="nil"/>
              <w:left w:val="single" w:sz="4" w:space="0" w:color="auto"/>
              <w:bottom w:val="nil"/>
              <w:right w:val="single" w:sz="4" w:space="0" w:color="auto"/>
            </w:tcBorders>
            <w:shd w:val="clear" w:color="000000" w:fill="D9D9D9"/>
            <w:noWrap/>
            <w:vAlign w:val="bottom"/>
            <w:hideMark/>
          </w:tcPr>
          <w:p w14:paraId="43F61E8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53FE92F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6859BB3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5571105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6D8DADA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single" w:sz="4" w:space="0" w:color="auto"/>
              <w:bottom w:val="nil"/>
              <w:right w:val="single" w:sz="4" w:space="0" w:color="auto"/>
            </w:tcBorders>
            <w:shd w:val="clear" w:color="000000" w:fill="D9D9D9"/>
            <w:noWrap/>
            <w:vAlign w:val="bottom"/>
            <w:hideMark/>
          </w:tcPr>
          <w:p w14:paraId="6F4ADE4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263DBC6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single" w:sz="4" w:space="0" w:color="auto"/>
              <w:bottom w:val="nil"/>
              <w:right w:val="single" w:sz="4" w:space="0" w:color="auto"/>
            </w:tcBorders>
            <w:shd w:val="clear" w:color="000000" w:fill="D9D9D9"/>
            <w:noWrap/>
            <w:vAlign w:val="bottom"/>
            <w:hideMark/>
          </w:tcPr>
          <w:p w14:paraId="2970C1D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65C8039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EU-2008</w:t>
            </w:r>
          </w:p>
        </w:tc>
      </w:tr>
      <w:tr w:rsidR="00CC7106" w:rsidRPr="00CC7106" w14:paraId="317CA952"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242A99A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Czechia</w:t>
            </w:r>
          </w:p>
        </w:tc>
        <w:tc>
          <w:tcPr>
            <w:tcW w:w="2780" w:type="dxa"/>
            <w:tcBorders>
              <w:top w:val="nil"/>
              <w:left w:val="nil"/>
              <w:bottom w:val="nil"/>
              <w:right w:val="single" w:sz="4" w:space="0" w:color="auto"/>
            </w:tcBorders>
            <w:shd w:val="clear" w:color="auto" w:fill="auto"/>
            <w:noWrap/>
            <w:vAlign w:val="bottom"/>
            <w:hideMark/>
          </w:tcPr>
          <w:p w14:paraId="11569C4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CZ-ISIN</w:t>
            </w:r>
          </w:p>
        </w:tc>
        <w:tc>
          <w:tcPr>
            <w:tcW w:w="563" w:type="dxa"/>
            <w:tcBorders>
              <w:top w:val="nil"/>
              <w:left w:val="nil"/>
              <w:bottom w:val="nil"/>
              <w:right w:val="single" w:sz="4" w:space="0" w:color="auto"/>
            </w:tcBorders>
            <w:shd w:val="clear" w:color="auto" w:fill="auto"/>
            <w:noWrap/>
            <w:vAlign w:val="bottom"/>
            <w:hideMark/>
          </w:tcPr>
          <w:p w14:paraId="42B6112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5DBC07D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118494D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A</w:t>
            </w:r>
          </w:p>
        </w:tc>
        <w:tc>
          <w:tcPr>
            <w:tcW w:w="562" w:type="dxa"/>
            <w:tcBorders>
              <w:top w:val="nil"/>
              <w:left w:val="nil"/>
              <w:bottom w:val="nil"/>
              <w:right w:val="single" w:sz="4" w:space="0" w:color="auto"/>
            </w:tcBorders>
            <w:shd w:val="clear" w:color="auto" w:fill="auto"/>
            <w:noWrap/>
            <w:vAlign w:val="bottom"/>
            <w:hideMark/>
          </w:tcPr>
          <w:p w14:paraId="264E297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1F99604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5A10019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3319468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6BB4B3D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0E641B6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EU-2008</w:t>
            </w:r>
          </w:p>
        </w:tc>
      </w:tr>
      <w:tr w:rsidR="00D70C92" w:rsidRPr="00CC7106" w14:paraId="61F12E82"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1678734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Denmark</w:t>
            </w:r>
          </w:p>
        </w:tc>
        <w:tc>
          <w:tcPr>
            <w:tcW w:w="2780" w:type="dxa"/>
            <w:tcBorders>
              <w:top w:val="nil"/>
              <w:left w:val="single" w:sz="4" w:space="0" w:color="auto"/>
              <w:bottom w:val="nil"/>
              <w:right w:val="single" w:sz="4" w:space="0" w:color="auto"/>
            </w:tcBorders>
            <w:shd w:val="clear" w:color="000000" w:fill="D9D9D9"/>
            <w:noWrap/>
            <w:vAlign w:val="bottom"/>
            <w:hideMark/>
          </w:tcPr>
          <w:p w14:paraId="25EB1F0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DK-MIS</w:t>
            </w:r>
          </w:p>
        </w:tc>
        <w:tc>
          <w:tcPr>
            <w:tcW w:w="563" w:type="dxa"/>
            <w:tcBorders>
              <w:top w:val="nil"/>
              <w:left w:val="single" w:sz="4" w:space="0" w:color="auto"/>
              <w:bottom w:val="nil"/>
              <w:right w:val="single" w:sz="4" w:space="0" w:color="auto"/>
            </w:tcBorders>
            <w:shd w:val="clear" w:color="000000" w:fill="D9D9D9"/>
            <w:noWrap/>
            <w:vAlign w:val="bottom"/>
            <w:hideMark/>
          </w:tcPr>
          <w:p w14:paraId="4811CD7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6E0364F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1344DCF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53DE31D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0E2C03B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single" w:sz="4" w:space="0" w:color="auto"/>
              <w:bottom w:val="nil"/>
              <w:right w:val="single" w:sz="4" w:space="0" w:color="auto"/>
            </w:tcBorders>
            <w:shd w:val="clear" w:color="000000" w:fill="D9D9D9"/>
            <w:noWrap/>
            <w:vAlign w:val="bottom"/>
            <w:hideMark/>
          </w:tcPr>
          <w:p w14:paraId="4996624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294655B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single" w:sz="4" w:space="0" w:color="auto"/>
              <w:bottom w:val="nil"/>
              <w:right w:val="single" w:sz="4" w:space="0" w:color="auto"/>
            </w:tcBorders>
            <w:shd w:val="clear" w:color="000000" w:fill="D9D9D9"/>
            <w:noWrap/>
            <w:vAlign w:val="bottom"/>
            <w:hideMark/>
          </w:tcPr>
          <w:p w14:paraId="0A52AE8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20FE96F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Other</w:t>
            </w:r>
          </w:p>
        </w:tc>
      </w:tr>
      <w:tr w:rsidR="00CC7106" w:rsidRPr="00CC7106" w14:paraId="3DF8610C"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7C92095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Estonia</w:t>
            </w:r>
          </w:p>
        </w:tc>
        <w:tc>
          <w:tcPr>
            <w:tcW w:w="2780" w:type="dxa"/>
            <w:tcBorders>
              <w:top w:val="nil"/>
              <w:left w:val="nil"/>
              <w:bottom w:val="nil"/>
              <w:right w:val="single" w:sz="4" w:space="0" w:color="auto"/>
            </w:tcBorders>
            <w:shd w:val="clear" w:color="auto" w:fill="auto"/>
            <w:noWrap/>
            <w:vAlign w:val="bottom"/>
            <w:hideMark/>
          </w:tcPr>
          <w:p w14:paraId="097D3FD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EE-NAKIS</w:t>
            </w:r>
          </w:p>
        </w:tc>
        <w:tc>
          <w:tcPr>
            <w:tcW w:w="563" w:type="dxa"/>
            <w:tcBorders>
              <w:top w:val="nil"/>
              <w:left w:val="nil"/>
              <w:bottom w:val="nil"/>
              <w:right w:val="single" w:sz="4" w:space="0" w:color="auto"/>
            </w:tcBorders>
            <w:shd w:val="clear" w:color="auto" w:fill="auto"/>
            <w:noWrap/>
            <w:vAlign w:val="bottom"/>
            <w:hideMark/>
          </w:tcPr>
          <w:p w14:paraId="250646D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7CD7662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6E763EF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495AFD2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42AF60A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5D1C583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2371E70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63B8498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2FE9F8B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D70C92" w:rsidRPr="00CC7106" w14:paraId="3816D5AB"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7CAFE2E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Finland</w:t>
            </w:r>
          </w:p>
        </w:tc>
        <w:tc>
          <w:tcPr>
            <w:tcW w:w="2780" w:type="dxa"/>
            <w:tcBorders>
              <w:top w:val="nil"/>
              <w:left w:val="single" w:sz="4" w:space="0" w:color="auto"/>
              <w:bottom w:val="nil"/>
              <w:right w:val="single" w:sz="4" w:space="0" w:color="auto"/>
            </w:tcBorders>
            <w:shd w:val="clear" w:color="000000" w:fill="D9D9D9"/>
            <w:noWrap/>
            <w:vAlign w:val="bottom"/>
            <w:hideMark/>
          </w:tcPr>
          <w:p w14:paraId="02A06DB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FI-NIDR</w:t>
            </w:r>
          </w:p>
        </w:tc>
        <w:tc>
          <w:tcPr>
            <w:tcW w:w="563" w:type="dxa"/>
            <w:tcBorders>
              <w:top w:val="nil"/>
              <w:left w:val="single" w:sz="4" w:space="0" w:color="auto"/>
              <w:bottom w:val="nil"/>
              <w:right w:val="single" w:sz="4" w:space="0" w:color="auto"/>
            </w:tcBorders>
            <w:shd w:val="clear" w:color="000000" w:fill="D9D9D9"/>
            <w:noWrap/>
            <w:vAlign w:val="bottom"/>
            <w:hideMark/>
          </w:tcPr>
          <w:p w14:paraId="5F9DEF8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48FA028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3A3FDDA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3F26CC4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4E7852C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790C8DF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71AEDEE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single" w:sz="4" w:space="0" w:color="auto"/>
              <w:bottom w:val="nil"/>
              <w:right w:val="single" w:sz="4" w:space="0" w:color="auto"/>
            </w:tcBorders>
            <w:shd w:val="clear" w:color="000000" w:fill="D9D9D9"/>
            <w:noWrap/>
            <w:vAlign w:val="bottom"/>
            <w:hideMark/>
          </w:tcPr>
          <w:p w14:paraId="5CA9F0C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7E87BAD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EU-2012</w:t>
            </w:r>
          </w:p>
        </w:tc>
      </w:tr>
      <w:tr w:rsidR="00CC7106" w:rsidRPr="00CC7106" w14:paraId="64EC53D6"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5F0FD0C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France</w:t>
            </w:r>
          </w:p>
        </w:tc>
        <w:tc>
          <w:tcPr>
            <w:tcW w:w="2780" w:type="dxa"/>
            <w:tcBorders>
              <w:top w:val="nil"/>
              <w:left w:val="nil"/>
              <w:bottom w:val="nil"/>
              <w:right w:val="single" w:sz="4" w:space="0" w:color="auto"/>
            </w:tcBorders>
            <w:shd w:val="clear" w:color="auto" w:fill="auto"/>
            <w:noWrap/>
            <w:vAlign w:val="bottom"/>
            <w:hideMark/>
          </w:tcPr>
          <w:p w14:paraId="7CC8F2A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FR-MANDATORY_INFECTIOUS_DISEASES</w:t>
            </w:r>
          </w:p>
        </w:tc>
        <w:tc>
          <w:tcPr>
            <w:tcW w:w="563" w:type="dxa"/>
            <w:tcBorders>
              <w:top w:val="nil"/>
              <w:left w:val="nil"/>
              <w:bottom w:val="nil"/>
              <w:right w:val="single" w:sz="4" w:space="0" w:color="auto"/>
            </w:tcBorders>
            <w:shd w:val="clear" w:color="auto" w:fill="auto"/>
            <w:noWrap/>
            <w:vAlign w:val="bottom"/>
            <w:hideMark/>
          </w:tcPr>
          <w:p w14:paraId="4410D4E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54C416E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01AF813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44FD315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405B857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121C1E6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5BC7AFD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16B16AB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2F582E13" w14:textId="2C62A786" w:rsidR="00ED7912" w:rsidRPr="00CC7106" w:rsidRDefault="00875427"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D70C92" w:rsidRPr="00CC7106" w14:paraId="1F70918B"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595916C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Germany</w:t>
            </w:r>
          </w:p>
        </w:tc>
        <w:tc>
          <w:tcPr>
            <w:tcW w:w="2780" w:type="dxa"/>
            <w:tcBorders>
              <w:top w:val="nil"/>
              <w:left w:val="single" w:sz="4" w:space="0" w:color="auto"/>
              <w:bottom w:val="nil"/>
              <w:right w:val="single" w:sz="4" w:space="0" w:color="auto"/>
            </w:tcBorders>
            <w:shd w:val="clear" w:color="000000" w:fill="D9D9D9"/>
            <w:noWrap/>
            <w:vAlign w:val="bottom"/>
            <w:hideMark/>
          </w:tcPr>
          <w:p w14:paraId="49CBA88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DE-SURVNET@RKI-7.1/6</w:t>
            </w:r>
          </w:p>
        </w:tc>
        <w:tc>
          <w:tcPr>
            <w:tcW w:w="563" w:type="dxa"/>
            <w:tcBorders>
              <w:top w:val="nil"/>
              <w:left w:val="single" w:sz="4" w:space="0" w:color="auto"/>
              <w:bottom w:val="nil"/>
              <w:right w:val="single" w:sz="4" w:space="0" w:color="auto"/>
            </w:tcBorders>
            <w:shd w:val="clear" w:color="000000" w:fill="D9D9D9"/>
            <w:noWrap/>
            <w:vAlign w:val="bottom"/>
            <w:hideMark/>
          </w:tcPr>
          <w:p w14:paraId="250E4EB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30EF8BD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70D58A0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4B1C37B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1491F19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3DEE421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7869449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79793A7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1587" w:type="dxa"/>
            <w:tcBorders>
              <w:top w:val="nil"/>
              <w:left w:val="nil"/>
              <w:bottom w:val="nil"/>
              <w:right w:val="single" w:sz="4" w:space="0" w:color="auto"/>
            </w:tcBorders>
            <w:shd w:val="clear" w:color="000000" w:fill="D9D9D9"/>
            <w:noWrap/>
            <w:vAlign w:val="bottom"/>
            <w:hideMark/>
          </w:tcPr>
          <w:p w14:paraId="3AC4800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Other</w:t>
            </w:r>
          </w:p>
        </w:tc>
      </w:tr>
      <w:tr w:rsidR="00CC7106" w:rsidRPr="00CC7106" w14:paraId="7A210C3A"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3C8C44C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Greece</w:t>
            </w:r>
          </w:p>
        </w:tc>
        <w:tc>
          <w:tcPr>
            <w:tcW w:w="2780" w:type="dxa"/>
            <w:tcBorders>
              <w:top w:val="nil"/>
              <w:left w:val="nil"/>
              <w:bottom w:val="nil"/>
              <w:right w:val="single" w:sz="4" w:space="0" w:color="auto"/>
            </w:tcBorders>
            <w:shd w:val="clear" w:color="auto" w:fill="auto"/>
            <w:noWrap/>
            <w:vAlign w:val="bottom"/>
            <w:hideMark/>
          </w:tcPr>
          <w:p w14:paraId="6C378AD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EL-NOTIFIABLE_DISEASES</w:t>
            </w:r>
          </w:p>
        </w:tc>
        <w:tc>
          <w:tcPr>
            <w:tcW w:w="563" w:type="dxa"/>
            <w:tcBorders>
              <w:top w:val="nil"/>
              <w:left w:val="nil"/>
              <w:bottom w:val="nil"/>
              <w:right w:val="single" w:sz="4" w:space="0" w:color="auto"/>
            </w:tcBorders>
            <w:shd w:val="clear" w:color="auto" w:fill="auto"/>
            <w:noWrap/>
            <w:vAlign w:val="bottom"/>
            <w:hideMark/>
          </w:tcPr>
          <w:p w14:paraId="29D6404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1B6DE74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624D3FD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489700C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6405E52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5134E39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750C945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7EA4929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w:t>
            </w:r>
          </w:p>
        </w:tc>
        <w:tc>
          <w:tcPr>
            <w:tcW w:w="1587" w:type="dxa"/>
            <w:tcBorders>
              <w:top w:val="nil"/>
              <w:left w:val="nil"/>
              <w:bottom w:val="nil"/>
              <w:right w:val="single" w:sz="4" w:space="0" w:color="auto"/>
            </w:tcBorders>
            <w:shd w:val="clear" w:color="auto" w:fill="auto"/>
            <w:noWrap/>
            <w:vAlign w:val="bottom"/>
            <w:hideMark/>
          </w:tcPr>
          <w:p w14:paraId="0A97BC5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D70C92" w:rsidRPr="00CC7106" w14:paraId="44C2D69B"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60DEF6D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Hungary</w:t>
            </w:r>
          </w:p>
        </w:tc>
        <w:tc>
          <w:tcPr>
            <w:tcW w:w="2780" w:type="dxa"/>
            <w:tcBorders>
              <w:top w:val="nil"/>
              <w:left w:val="single" w:sz="4" w:space="0" w:color="auto"/>
              <w:bottom w:val="nil"/>
              <w:right w:val="single" w:sz="4" w:space="0" w:color="auto"/>
            </w:tcBorders>
            <w:shd w:val="clear" w:color="000000" w:fill="D9D9D9"/>
            <w:noWrap/>
            <w:vAlign w:val="bottom"/>
            <w:hideMark/>
          </w:tcPr>
          <w:p w14:paraId="64B18EC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HU-EFRIR</w:t>
            </w:r>
          </w:p>
        </w:tc>
        <w:tc>
          <w:tcPr>
            <w:tcW w:w="563" w:type="dxa"/>
            <w:tcBorders>
              <w:top w:val="nil"/>
              <w:left w:val="single" w:sz="4" w:space="0" w:color="auto"/>
              <w:bottom w:val="nil"/>
              <w:right w:val="single" w:sz="4" w:space="0" w:color="auto"/>
            </w:tcBorders>
            <w:shd w:val="clear" w:color="000000" w:fill="D9D9D9"/>
            <w:noWrap/>
            <w:vAlign w:val="bottom"/>
            <w:hideMark/>
          </w:tcPr>
          <w:p w14:paraId="0ABEF98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5B77815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12A9C38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15BE81C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4885C5E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4F05E62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305AC7E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25B38DB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745039B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EU-2012</w:t>
            </w:r>
          </w:p>
        </w:tc>
      </w:tr>
      <w:tr w:rsidR="00CC7106" w:rsidRPr="00CC7106" w14:paraId="5FF9C7E0"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01AFC9E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Iceland</w:t>
            </w:r>
          </w:p>
        </w:tc>
        <w:tc>
          <w:tcPr>
            <w:tcW w:w="2780" w:type="dxa"/>
            <w:tcBorders>
              <w:top w:val="nil"/>
              <w:left w:val="nil"/>
              <w:bottom w:val="nil"/>
              <w:right w:val="single" w:sz="4" w:space="0" w:color="auto"/>
            </w:tcBorders>
            <w:shd w:val="clear" w:color="auto" w:fill="auto"/>
            <w:noWrap/>
            <w:vAlign w:val="bottom"/>
            <w:hideMark/>
          </w:tcPr>
          <w:p w14:paraId="4FE19BB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IS-SUBJECT_TO_REGISTRATION</w:t>
            </w:r>
          </w:p>
        </w:tc>
        <w:tc>
          <w:tcPr>
            <w:tcW w:w="563" w:type="dxa"/>
            <w:tcBorders>
              <w:top w:val="nil"/>
              <w:left w:val="nil"/>
              <w:bottom w:val="nil"/>
              <w:right w:val="single" w:sz="4" w:space="0" w:color="auto"/>
            </w:tcBorders>
            <w:shd w:val="clear" w:color="auto" w:fill="auto"/>
            <w:noWrap/>
            <w:vAlign w:val="bottom"/>
            <w:hideMark/>
          </w:tcPr>
          <w:p w14:paraId="1D1F1AB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4D51A70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5082176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29C9A6E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38150B3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1A5C1D4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5ADB7CD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w:t>
            </w:r>
          </w:p>
        </w:tc>
        <w:tc>
          <w:tcPr>
            <w:tcW w:w="562" w:type="dxa"/>
            <w:tcBorders>
              <w:top w:val="nil"/>
              <w:left w:val="nil"/>
              <w:bottom w:val="nil"/>
              <w:right w:val="single" w:sz="4" w:space="0" w:color="auto"/>
            </w:tcBorders>
            <w:shd w:val="clear" w:color="auto" w:fill="auto"/>
            <w:noWrap/>
            <w:vAlign w:val="bottom"/>
            <w:hideMark/>
          </w:tcPr>
          <w:p w14:paraId="3151145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w:t>
            </w:r>
          </w:p>
        </w:tc>
        <w:tc>
          <w:tcPr>
            <w:tcW w:w="1587" w:type="dxa"/>
            <w:tcBorders>
              <w:top w:val="nil"/>
              <w:left w:val="nil"/>
              <w:bottom w:val="nil"/>
              <w:right w:val="single" w:sz="4" w:space="0" w:color="auto"/>
            </w:tcBorders>
            <w:shd w:val="clear" w:color="auto" w:fill="auto"/>
            <w:noWrap/>
            <w:vAlign w:val="bottom"/>
            <w:hideMark/>
          </w:tcPr>
          <w:p w14:paraId="0E86AF25" w14:textId="3615746A"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w:t>
            </w:r>
            <w:r w:rsidR="003A12EB" w:rsidRPr="00CC7106">
              <w:rPr>
                <w:rFonts w:eastAsia="Times New Roman" w:cs="Tahoma"/>
                <w:sz w:val="14"/>
                <w:szCs w:val="14"/>
                <w:lang w:eastAsia="en-GB"/>
              </w:rPr>
              <w:t>8</w:t>
            </w:r>
          </w:p>
        </w:tc>
      </w:tr>
      <w:tr w:rsidR="00D70C92" w:rsidRPr="00CC7106" w14:paraId="69537AB1"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0C75C76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Ireland</w:t>
            </w:r>
          </w:p>
        </w:tc>
        <w:tc>
          <w:tcPr>
            <w:tcW w:w="2780" w:type="dxa"/>
            <w:tcBorders>
              <w:top w:val="nil"/>
              <w:left w:val="single" w:sz="4" w:space="0" w:color="auto"/>
              <w:bottom w:val="nil"/>
              <w:right w:val="single" w:sz="4" w:space="0" w:color="auto"/>
            </w:tcBorders>
            <w:shd w:val="clear" w:color="000000" w:fill="D9D9D9"/>
            <w:noWrap/>
            <w:vAlign w:val="bottom"/>
            <w:hideMark/>
          </w:tcPr>
          <w:p w14:paraId="1D6E700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IE-CIDR</w:t>
            </w:r>
          </w:p>
        </w:tc>
        <w:tc>
          <w:tcPr>
            <w:tcW w:w="563" w:type="dxa"/>
            <w:tcBorders>
              <w:top w:val="nil"/>
              <w:left w:val="single" w:sz="4" w:space="0" w:color="auto"/>
              <w:bottom w:val="nil"/>
              <w:right w:val="single" w:sz="4" w:space="0" w:color="auto"/>
            </w:tcBorders>
            <w:shd w:val="clear" w:color="000000" w:fill="D9D9D9"/>
            <w:noWrap/>
            <w:vAlign w:val="bottom"/>
            <w:hideMark/>
          </w:tcPr>
          <w:p w14:paraId="30CCF20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416D811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20FEDA1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6C01E37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1F8166F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4258C87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630F147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5490B22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4E107B3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EU-2008</w:t>
            </w:r>
          </w:p>
        </w:tc>
      </w:tr>
      <w:tr w:rsidR="00CC7106" w:rsidRPr="00CC7106" w14:paraId="00468DF0"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4296BB5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Italy</w:t>
            </w:r>
          </w:p>
        </w:tc>
        <w:tc>
          <w:tcPr>
            <w:tcW w:w="2780" w:type="dxa"/>
            <w:tcBorders>
              <w:top w:val="nil"/>
              <w:left w:val="nil"/>
              <w:bottom w:val="nil"/>
              <w:right w:val="single" w:sz="4" w:space="0" w:color="auto"/>
            </w:tcBorders>
            <w:shd w:val="clear" w:color="auto" w:fill="auto"/>
            <w:noWrap/>
            <w:vAlign w:val="bottom"/>
            <w:hideMark/>
          </w:tcPr>
          <w:p w14:paraId="2B9E70D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IT-NRS</w:t>
            </w:r>
          </w:p>
        </w:tc>
        <w:tc>
          <w:tcPr>
            <w:tcW w:w="563" w:type="dxa"/>
            <w:tcBorders>
              <w:top w:val="nil"/>
              <w:left w:val="nil"/>
              <w:bottom w:val="nil"/>
              <w:right w:val="single" w:sz="4" w:space="0" w:color="auto"/>
            </w:tcBorders>
            <w:shd w:val="clear" w:color="auto" w:fill="auto"/>
            <w:noWrap/>
            <w:vAlign w:val="bottom"/>
            <w:hideMark/>
          </w:tcPr>
          <w:p w14:paraId="785BDFB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77A15F3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04CFB48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2F4E55C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6B3D4A8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nil"/>
              <w:bottom w:val="nil"/>
              <w:right w:val="single" w:sz="4" w:space="0" w:color="auto"/>
            </w:tcBorders>
            <w:shd w:val="clear" w:color="auto" w:fill="auto"/>
            <w:noWrap/>
            <w:vAlign w:val="bottom"/>
            <w:hideMark/>
          </w:tcPr>
          <w:p w14:paraId="2960B5F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7E32BDD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7BA9E8D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4057B84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Other</w:t>
            </w:r>
          </w:p>
        </w:tc>
      </w:tr>
      <w:tr w:rsidR="00D70C92" w:rsidRPr="00CC7106" w14:paraId="329C3561"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2DBFDE7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Latvia</w:t>
            </w:r>
          </w:p>
        </w:tc>
        <w:tc>
          <w:tcPr>
            <w:tcW w:w="2780" w:type="dxa"/>
            <w:tcBorders>
              <w:top w:val="nil"/>
              <w:left w:val="single" w:sz="4" w:space="0" w:color="auto"/>
              <w:bottom w:val="nil"/>
              <w:right w:val="single" w:sz="4" w:space="0" w:color="auto"/>
            </w:tcBorders>
            <w:shd w:val="clear" w:color="000000" w:fill="D9D9D9"/>
            <w:noWrap/>
            <w:vAlign w:val="bottom"/>
            <w:hideMark/>
          </w:tcPr>
          <w:p w14:paraId="34C76B5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LV-BSN</w:t>
            </w:r>
          </w:p>
        </w:tc>
        <w:tc>
          <w:tcPr>
            <w:tcW w:w="563" w:type="dxa"/>
            <w:tcBorders>
              <w:top w:val="nil"/>
              <w:left w:val="single" w:sz="4" w:space="0" w:color="auto"/>
              <w:bottom w:val="nil"/>
              <w:right w:val="single" w:sz="4" w:space="0" w:color="auto"/>
            </w:tcBorders>
            <w:shd w:val="clear" w:color="000000" w:fill="D9D9D9"/>
            <w:noWrap/>
            <w:vAlign w:val="bottom"/>
            <w:hideMark/>
          </w:tcPr>
          <w:p w14:paraId="616E534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607DC71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544BF10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006AAFC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17E6200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7267E2B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16709B7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79083F4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4C715379" w14:textId="5FC181EA" w:rsidR="00ED7912" w:rsidRPr="00CC7106" w:rsidRDefault="00AB495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CC7106" w:rsidRPr="00CC7106" w14:paraId="45D3C92E"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2DB89DB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Liechtenstein</w:t>
            </w:r>
          </w:p>
        </w:tc>
        <w:tc>
          <w:tcPr>
            <w:tcW w:w="2780" w:type="dxa"/>
            <w:tcBorders>
              <w:top w:val="nil"/>
              <w:left w:val="nil"/>
              <w:bottom w:val="nil"/>
              <w:right w:val="single" w:sz="4" w:space="0" w:color="auto"/>
            </w:tcBorders>
            <w:shd w:val="clear" w:color="auto" w:fill="auto"/>
            <w:noWrap/>
            <w:vAlign w:val="bottom"/>
            <w:hideMark/>
          </w:tcPr>
          <w:p w14:paraId="1E870FE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LI-CHOL</w:t>
            </w:r>
          </w:p>
        </w:tc>
        <w:tc>
          <w:tcPr>
            <w:tcW w:w="563" w:type="dxa"/>
            <w:tcBorders>
              <w:top w:val="nil"/>
              <w:left w:val="nil"/>
              <w:bottom w:val="nil"/>
              <w:right w:val="single" w:sz="4" w:space="0" w:color="auto"/>
            </w:tcBorders>
            <w:shd w:val="clear" w:color="auto" w:fill="auto"/>
            <w:noWrap/>
            <w:vAlign w:val="bottom"/>
            <w:hideMark/>
          </w:tcPr>
          <w:p w14:paraId="3E7AFBD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0F1D6EC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772ECCA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596E547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78AB812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6686447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47FCF21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4DDFBE3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w:t>
            </w:r>
          </w:p>
        </w:tc>
        <w:tc>
          <w:tcPr>
            <w:tcW w:w="1587" w:type="dxa"/>
            <w:tcBorders>
              <w:top w:val="nil"/>
              <w:left w:val="nil"/>
              <w:bottom w:val="nil"/>
              <w:right w:val="single" w:sz="4" w:space="0" w:color="auto"/>
            </w:tcBorders>
            <w:shd w:val="clear" w:color="auto" w:fill="auto"/>
            <w:noWrap/>
            <w:vAlign w:val="bottom"/>
            <w:hideMark/>
          </w:tcPr>
          <w:p w14:paraId="1B91DCE4" w14:textId="1DA1DDBA" w:rsidR="00ED7912" w:rsidRPr="00CC7106" w:rsidRDefault="00AB495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D70C92" w:rsidRPr="00CC7106" w14:paraId="75FAE7E1"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68D9C5F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Lithuania</w:t>
            </w:r>
          </w:p>
        </w:tc>
        <w:tc>
          <w:tcPr>
            <w:tcW w:w="2780" w:type="dxa"/>
            <w:tcBorders>
              <w:top w:val="nil"/>
              <w:left w:val="single" w:sz="4" w:space="0" w:color="auto"/>
              <w:bottom w:val="nil"/>
              <w:right w:val="single" w:sz="4" w:space="0" w:color="auto"/>
            </w:tcBorders>
            <w:shd w:val="clear" w:color="000000" w:fill="D9D9D9"/>
            <w:noWrap/>
            <w:vAlign w:val="bottom"/>
            <w:hideMark/>
          </w:tcPr>
          <w:p w14:paraId="058BC5C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LT-COMMUNICABLE_DISEASES</w:t>
            </w:r>
          </w:p>
        </w:tc>
        <w:tc>
          <w:tcPr>
            <w:tcW w:w="563" w:type="dxa"/>
            <w:tcBorders>
              <w:top w:val="nil"/>
              <w:left w:val="single" w:sz="4" w:space="0" w:color="auto"/>
              <w:bottom w:val="nil"/>
              <w:right w:val="single" w:sz="4" w:space="0" w:color="auto"/>
            </w:tcBorders>
            <w:shd w:val="clear" w:color="000000" w:fill="D9D9D9"/>
            <w:noWrap/>
            <w:vAlign w:val="bottom"/>
            <w:hideMark/>
          </w:tcPr>
          <w:p w14:paraId="5E2E6C1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35F53BD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1C059B9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1E2FE78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2ED2B5F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649B588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369F71A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single" w:sz="4" w:space="0" w:color="auto"/>
              <w:bottom w:val="nil"/>
              <w:right w:val="single" w:sz="4" w:space="0" w:color="auto"/>
            </w:tcBorders>
            <w:shd w:val="clear" w:color="000000" w:fill="D9D9D9"/>
            <w:noWrap/>
            <w:vAlign w:val="bottom"/>
            <w:hideMark/>
          </w:tcPr>
          <w:p w14:paraId="1DD717B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5FB676D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CC7106" w:rsidRPr="00CC7106" w14:paraId="63C92071"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359E9CA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Luxembourg</w:t>
            </w:r>
          </w:p>
        </w:tc>
        <w:tc>
          <w:tcPr>
            <w:tcW w:w="2780" w:type="dxa"/>
            <w:tcBorders>
              <w:top w:val="nil"/>
              <w:left w:val="nil"/>
              <w:bottom w:val="nil"/>
              <w:right w:val="single" w:sz="4" w:space="0" w:color="auto"/>
            </w:tcBorders>
            <w:shd w:val="clear" w:color="auto" w:fill="auto"/>
            <w:noWrap/>
            <w:vAlign w:val="bottom"/>
            <w:hideMark/>
          </w:tcPr>
          <w:p w14:paraId="20EC542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LU-SYSTEM1</w:t>
            </w:r>
          </w:p>
        </w:tc>
        <w:tc>
          <w:tcPr>
            <w:tcW w:w="563" w:type="dxa"/>
            <w:tcBorders>
              <w:top w:val="nil"/>
              <w:left w:val="nil"/>
              <w:bottom w:val="nil"/>
              <w:right w:val="single" w:sz="4" w:space="0" w:color="auto"/>
            </w:tcBorders>
            <w:shd w:val="clear" w:color="auto" w:fill="auto"/>
            <w:noWrap/>
            <w:vAlign w:val="bottom"/>
            <w:hideMark/>
          </w:tcPr>
          <w:p w14:paraId="25658A2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4371CB2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7F8BF1A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36C2AD5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6580F7C9" w14:textId="7102CF2E" w:rsidR="00ED7912" w:rsidRPr="00CC7106" w:rsidRDefault="00B1708B"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1FAECCA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0FEE45C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nil"/>
              <w:bottom w:val="nil"/>
              <w:right w:val="single" w:sz="4" w:space="0" w:color="auto"/>
            </w:tcBorders>
            <w:shd w:val="clear" w:color="auto" w:fill="auto"/>
            <w:noWrap/>
            <w:vAlign w:val="bottom"/>
            <w:hideMark/>
          </w:tcPr>
          <w:p w14:paraId="42F81A6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431A5203" w14:textId="5B838DF1"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w:t>
            </w:r>
            <w:r w:rsidR="00B1708B" w:rsidRPr="00CC7106">
              <w:rPr>
                <w:rFonts w:eastAsia="Times New Roman" w:cs="Tahoma"/>
                <w:sz w:val="14"/>
                <w:szCs w:val="14"/>
                <w:lang w:eastAsia="en-GB"/>
              </w:rPr>
              <w:t>18</w:t>
            </w:r>
          </w:p>
        </w:tc>
      </w:tr>
      <w:tr w:rsidR="00D70C92" w:rsidRPr="00CC7106" w14:paraId="3ADE096C"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35EE89B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Malta</w:t>
            </w:r>
          </w:p>
        </w:tc>
        <w:tc>
          <w:tcPr>
            <w:tcW w:w="2780" w:type="dxa"/>
            <w:tcBorders>
              <w:top w:val="nil"/>
              <w:left w:val="single" w:sz="4" w:space="0" w:color="auto"/>
              <w:bottom w:val="nil"/>
              <w:right w:val="single" w:sz="4" w:space="0" w:color="auto"/>
            </w:tcBorders>
            <w:shd w:val="clear" w:color="000000" w:fill="D9D9D9"/>
            <w:noWrap/>
            <w:vAlign w:val="bottom"/>
            <w:hideMark/>
          </w:tcPr>
          <w:p w14:paraId="1B25CBD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MT-DISEASE_SURVEILLANCE</w:t>
            </w:r>
          </w:p>
        </w:tc>
        <w:tc>
          <w:tcPr>
            <w:tcW w:w="563" w:type="dxa"/>
            <w:tcBorders>
              <w:top w:val="nil"/>
              <w:left w:val="single" w:sz="4" w:space="0" w:color="auto"/>
              <w:bottom w:val="nil"/>
              <w:right w:val="single" w:sz="4" w:space="0" w:color="auto"/>
            </w:tcBorders>
            <w:shd w:val="clear" w:color="000000" w:fill="D9D9D9"/>
            <w:noWrap/>
            <w:vAlign w:val="bottom"/>
            <w:hideMark/>
          </w:tcPr>
          <w:p w14:paraId="140A680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6E44A0D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59DC287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6E08F92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694C2A0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29F56A5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46FC977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634B9B9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1587" w:type="dxa"/>
            <w:tcBorders>
              <w:top w:val="nil"/>
              <w:left w:val="nil"/>
              <w:bottom w:val="nil"/>
              <w:right w:val="single" w:sz="4" w:space="0" w:color="auto"/>
            </w:tcBorders>
            <w:shd w:val="clear" w:color="000000" w:fill="D9D9D9"/>
            <w:noWrap/>
            <w:vAlign w:val="bottom"/>
            <w:hideMark/>
          </w:tcPr>
          <w:p w14:paraId="669D47F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CC7106" w:rsidRPr="00CC7106" w14:paraId="32C405B8"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731C4D6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Netherlands</w:t>
            </w:r>
          </w:p>
        </w:tc>
        <w:tc>
          <w:tcPr>
            <w:tcW w:w="2780" w:type="dxa"/>
            <w:tcBorders>
              <w:top w:val="nil"/>
              <w:left w:val="nil"/>
              <w:bottom w:val="nil"/>
              <w:right w:val="single" w:sz="4" w:space="0" w:color="auto"/>
            </w:tcBorders>
            <w:shd w:val="clear" w:color="auto" w:fill="auto"/>
            <w:noWrap/>
            <w:vAlign w:val="bottom"/>
            <w:hideMark/>
          </w:tcPr>
          <w:p w14:paraId="1FD221B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NL-OSIRIS</w:t>
            </w:r>
          </w:p>
        </w:tc>
        <w:tc>
          <w:tcPr>
            <w:tcW w:w="563" w:type="dxa"/>
            <w:tcBorders>
              <w:top w:val="nil"/>
              <w:left w:val="nil"/>
              <w:bottom w:val="nil"/>
              <w:right w:val="single" w:sz="4" w:space="0" w:color="auto"/>
            </w:tcBorders>
            <w:shd w:val="clear" w:color="auto" w:fill="auto"/>
            <w:noWrap/>
            <w:vAlign w:val="bottom"/>
            <w:hideMark/>
          </w:tcPr>
          <w:p w14:paraId="5B6527D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52B6A80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445888C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138426A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4FCB2E1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40B3A09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4623925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nil"/>
              <w:bottom w:val="nil"/>
              <w:right w:val="single" w:sz="4" w:space="0" w:color="auto"/>
            </w:tcBorders>
            <w:shd w:val="clear" w:color="auto" w:fill="auto"/>
            <w:noWrap/>
            <w:vAlign w:val="bottom"/>
            <w:hideMark/>
          </w:tcPr>
          <w:p w14:paraId="5DB2389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19321E60" w14:textId="6AB66EBC"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w:t>
            </w:r>
            <w:r w:rsidR="00936B31">
              <w:rPr>
                <w:rFonts w:eastAsia="Times New Roman" w:cs="Tahoma"/>
                <w:sz w:val="14"/>
                <w:szCs w:val="14"/>
                <w:lang w:eastAsia="en-GB"/>
              </w:rPr>
              <w:t>1</w:t>
            </w:r>
            <w:r w:rsidRPr="00CC7106">
              <w:rPr>
                <w:rFonts w:eastAsia="Times New Roman" w:cs="Tahoma"/>
                <w:sz w:val="14"/>
                <w:szCs w:val="14"/>
                <w:lang w:eastAsia="en-GB"/>
              </w:rPr>
              <w:t>8</w:t>
            </w:r>
          </w:p>
        </w:tc>
      </w:tr>
      <w:tr w:rsidR="00D70C92" w:rsidRPr="00CC7106" w14:paraId="70D185E6"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251C2A3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Norway</w:t>
            </w:r>
          </w:p>
        </w:tc>
        <w:tc>
          <w:tcPr>
            <w:tcW w:w="2780" w:type="dxa"/>
            <w:tcBorders>
              <w:top w:val="nil"/>
              <w:left w:val="single" w:sz="4" w:space="0" w:color="auto"/>
              <w:bottom w:val="nil"/>
              <w:right w:val="single" w:sz="4" w:space="0" w:color="auto"/>
            </w:tcBorders>
            <w:shd w:val="clear" w:color="000000" w:fill="D9D9D9"/>
            <w:noWrap/>
            <w:vAlign w:val="bottom"/>
            <w:hideMark/>
          </w:tcPr>
          <w:p w14:paraId="448BD5D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NO-MSIS_A</w:t>
            </w:r>
          </w:p>
        </w:tc>
        <w:tc>
          <w:tcPr>
            <w:tcW w:w="563" w:type="dxa"/>
            <w:tcBorders>
              <w:top w:val="nil"/>
              <w:left w:val="single" w:sz="4" w:space="0" w:color="auto"/>
              <w:bottom w:val="nil"/>
              <w:right w:val="single" w:sz="4" w:space="0" w:color="auto"/>
            </w:tcBorders>
            <w:shd w:val="clear" w:color="000000" w:fill="D9D9D9"/>
            <w:noWrap/>
            <w:vAlign w:val="bottom"/>
            <w:hideMark/>
          </w:tcPr>
          <w:p w14:paraId="4398A2B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51A6B34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033957A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49E3A05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3C8B162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3EDEB4C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00C94C5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4582ABF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410B7D4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CC7106" w:rsidRPr="00CC7106" w14:paraId="3FDE0DAC"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310AAD7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Poland</w:t>
            </w:r>
          </w:p>
        </w:tc>
        <w:tc>
          <w:tcPr>
            <w:tcW w:w="2780" w:type="dxa"/>
            <w:tcBorders>
              <w:top w:val="nil"/>
              <w:left w:val="nil"/>
              <w:bottom w:val="nil"/>
              <w:right w:val="single" w:sz="4" w:space="0" w:color="auto"/>
            </w:tcBorders>
            <w:shd w:val="clear" w:color="auto" w:fill="auto"/>
            <w:noWrap/>
            <w:vAlign w:val="bottom"/>
            <w:hideMark/>
          </w:tcPr>
          <w:p w14:paraId="01AE3B4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PL-NATIONAL_SURVEILLANCE</w:t>
            </w:r>
          </w:p>
        </w:tc>
        <w:tc>
          <w:tcPr>
            <w:tcW w:w="563" w:type="dxa"/>
            <w:tcBorders>
              <w:top w:val="nil"/>
              <w:left w:val="nil"/>
              <w:bottom w:val="nil"/>
              <w:right w:val="single" w:sz="4" w:space="0" w:color="auto"/>
            </w:tcBorders>
            <w:shd w:val="clear" w:color="auto" w:fill="auto"/>
            <w:noWrap/>
            <w:vAlign w:val="bottom"/>
            <w:hideMark/>
          </w:tcPr>
          <w:p w14:paraId="1425B6D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05E5177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40C26FF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7E4E765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231E4A5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5C1591C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4286CB1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482A5A5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1BD7C64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EU-2008</w:t>
            </w:r>
          </w:p>
        </w:tc>
      </w:tr>
      <w:tr w:rsidR="00D70C92" w:rsidRPr="00CC7106" w14:paraId="73E8B817"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44BF59B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Portugal</w:t>
            </w:r>
          </w:p>
        </w:tc>
        <w:tc>
          <w:tcPr>
            <w:tcW w:w="2780" w:type="dxa"/>
            <w:tcBorders>
              <w:top w:val="nil"/>
              <w:left w:val="single" w:sz="4" w:space="0" w:color="auto"/>
              <w:bottom w:val="nil"/>
              <w:right w:val="single" w:sz="4" w:space="0" w:color="auto"/>
            </w:tcBorders>
            <w:shd w:val="clear" w:color="000000" w:fill="D9D9D9"/>
            <w:noWrap/>
            <w:vAlign w:val="bottom"/>
            <w:hideMark/>
          </w:tcPr>
          <w:p w14:paraId="7BE0F62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PT-CHOLERA</w:t>
            </w:r>
          </w:p>
        </w:tc>
        <w:tc>
          <w:tcPr>
            <w:tcW w:w="563" w:type="dxa"/>
            <w:tcBorders>
              <w:top w:val="nil"/>
              <w:left w:val="single" w:sz="4" w:space="0" w:color="auto"/>
              <w:bottom w:val="nil"/>
              <w:right w:val="single" w:sz="4" w:space="0" w:color="auto"/>
            </w:tcBorders>
            <w:shd w:val="clear" w:color="000000" w:fill="D9D9D9"/>
            <w:noWrap/>
            <w:vAlign w:val="bottom"/>
            <w:hideMark/>
          </w:tcPr>
          <w:p w14:paraId="0051078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3F99636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7A86950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1810CB8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575D79C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single" w:sz="4" w:space="0" w:color="auto"/>
              <w:bottom w:val="nil"/>
              <w:right w:val="single" w:sz="4" w:space="0" w:color="auto"/>
            </w:tcBorders>
            <w:shd w:val="clear" w:color="000000" w:fill="D9D9D9"/>
            <w:noWrap/>
            <w:vAlign w:val="bottom"/>
            <w:hideMark/>
          </w:tcPr>
          <w:p w14:paraId="3815787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2ABA8D4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single" w:sz="4" w:space="0" w:color="auto"/>
              <w:bottom w:val="nil"/>
              <w:right w:val="single" w:sz="4" w:space="0" w:color="auto"/>
            </w:tcBorders>
            <w:shd w:val="clear" w:color="000000" w:fill="D9D9D9"/>
            <w:noWrap/>
            <w:vAlign w:val="bottom"/>
            <w:hideMark/>
          </w:tcPr>
          <w:p w14:paraId="51C98FF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3CA3D32A" w14:textId="6CFC4E6C"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w:t>
            </w:r>
            <w:r w:rsidR="00E02C3B" w:rsidRPr="00CC7106">
              <w:rPr>
                <w:rFonts w:eastAsia="Times New Roman" w:cs="Tahoma"/>
                <w:sz w:val="14"/>
                <w:szCs w:val="14"/>
                <w:lang w:eastAsia="en-GB"/>
              </w:rPr>
              <w:t>1</w:t>
            </w:r>
            <w:r w:rsidRPr="00CC7106">
              <w:rPr>
                <w:rFonts w:eastAsia="Times New Roman" w:cs="Tahoma"/>
                <w:sz w:val="14"/>
                <w:szCs w:val="14"/>
                <w:lang w:eastAsia="en-GB"/>
              </w:rPr>
              <w:t>8</w:t>
            </w:r>
          </w:p>
        </w:tc>
      </w:tr>
      <w:tr w:rsidR="00CC7106" w:rsidRPr="00CC7106" w14:paraId="31BC790F"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41EB2F4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Romania</w:t>
            </w:r>
          </w:p>
        </w:tc>
        <w:tc>
          <w:tcPr>
            <w:tcW w:w="2780" w:type="dxa"/>
            <w:tcBorders>
              <w:top w:val="nil"/>
              <w:left w:val="nil"/>
              <w:bottom w:val="nil"/>
              <w:right w:val="single" w:sz="4" w:space="0" w:color="auto"/>
            </w:tcBorders>
            <w:shd w:val="clear" w:color="auto" w:fill="auto"/>
            <w:noWrap/>
            <w:vAlign w:val="bottom"/>
            <w:hideMark/>
          </w:tcPr>
          <w:p w14:paraId="7681D0C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RO-</w:t>
            </w:r>
            <w:proofErr w:type="spellStart"/>
            <w:r w:rsidRPr="00CC7106">
              <w:rPr>
                <w:rFonts w:eastAsia="Times New Roman" w:cs="Tahoma"/>
                <w:sz w:val="14"/>
                <w:szCs w:val="14"/>
                <w:lang w:eastAsia="en-GB"/>
              </w:rPr>
              <w:t>RNSSy</w:t>
            </w:r>
            <w:proofErr w:type="spellEnd"/>
          </w:p>
        </w:tc>
        <w:tc>
          <w:tcPr>
            <w:tcW w:w="563" w:type="dxa"/>
            <w:tcBorders>
              <w:top w:val="nil"/>
              <w:left w:val="nil"/>
              <w:bottom w:val="nil"/>
              <w:right w:val="single" w:sz="4" w:space="0" w:color="auto"/>
            </w:tcBorders>
            <w:shd w:val="clear" w:color="auto" w:fill="auto"/>
            <w:noWrap/>
            <w:vAlign w:val="bottom"/>
            <w:hideMark/>
          </w:tcPr>
          <w:p w14:paraId="6D32F9D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57A6C8A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346B8C2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1CEC687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3470953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nil"/>
              <w:bottom w:val="nil"/>
              <w:right w:val="single" w:sz="4" w:space="0" w:color="auto"/>
            </w:tcBorders>
            <w:shd w:val="clear" w:color="auto" w:fill="auto"/>
            <w:noWrap/>
            <w:vAlign w:val="bottom"/>
            <w:hideMark/>
          </w:tcPr>
          <w:p w14:paraId="5E184B3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nil"/>
              <w:bottom w:val="nil"/>
              <w:right w:val="single" w:sz="4" w:space="0" w:color="auto"/>
            </w:tcBorders>
            <w:shd w:val="clear" w:color="auto" w:fill="auto"/>
            <w:noWrap/>
            <w:vAlign w:val="bottom"/>
            <w:hideMark/>
          </w:tcPr>
          <w:p w14:paraId="650A9C0D"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6311907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33DFF4B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D70C92" w:rsidRPr="00CC7106" w14:paraId="0D5F8D5A"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267D071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Slovakia</w:t>
            </w:r>
          </w:p>
        </w:tc>
        <w:tc>
          <w:tcPr>
            <w:tcW w:w="2780" w:type="dxa"/>
            <w:tcBorders>
              <w:top w:val="nil"/>
              <w:left w:val="single" w:sz="4" w:space="0" w:color="auto"/>
              <w:bottom w:val="nil"/>
              <w:right w:val="single" w:sz="4" w:space="0" w:color="auto"/>
            </w:tcBorders>
            <w:shd w:val="clear" w:color="000000" w:fill="D9D9D9"/>
            <w:noWrap/>
            <w:vAlign w:val="bottom"/>
            <w:hideMark/>
          </w:tcPr>
          <w:p w14:paraId="25860AF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SK-EPIS</w:t>
            </w:r>
          </w:p>
        </w:tc>
        <w:tc>
          <w:tcPr>
            <w:tcW w:w="563" w:type="dxa"/>
            <w:tcBorders>
              <w:top w:val="nil"/>
              <w:left w:val="single" w:sz="4" w:space="0" w:color="auto"/>
              <w:bottom w:val="nil"/>
              <w:right w:val="single" w:sz="4" w:space="0" w:color="auto"/>
            </w:tcBorders>
            <w:shd w:val="clear" w:color="000000" w:fill="D9D9D9"/>
            <w:noWrap/>
            <w:vAlign w:val="bottom"/>
            <w:hideMark/>
          </w:tcPr>
          <w:p w14:paraId="225FB17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4C283F9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3F1BFBB0"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A</w:t>
            </w:r>
          </w:p>
        </w:tc>
        <w:tc>
          <w:tcPr>
            <w:tcW w:w="562" w:type="dxa"/>
            <w:tcBorders>
              <w:top w:val="nil"/>
              <w:left w:val="single" w:sz="4" w:space="0" w:color="auto"/>
              <w:bottom w:val="nil"/>
              <w:right w:val="single" w:sz="4" w:space="0" w:color="auto"/>
            </w:tcBorders>
            <w:shd w:val="clear" w:color="000000" w:fill="D9D9D9"/>
            <w:noWrap/>
            <w:vAlign w:val="bottom"/>
            <w:hideMark/>
          </w:tcPr>
          <w:p w14:paraId="2F93707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464F7EA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72BA56D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71A3045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15EB913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092FE48C" w14:textId="5215BDB2"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w:t>
            </w:r>
            <w:r w:rsidR="00042549">
              <w:rPr>
                <w:rFonts w:eastAsia="Times New Roman" w:cs="Tahoma"/>
                <w:sz w:val="14"/>
                <w:szCs w:val="14"/>
                <w:lang w:eastAsia="en-GB"/>
              </w:rPr>
              <w:t>8</w:t>
            </w:r>
          </w:p>
        </w:tc>
      </w:tr>
      <w:tr w:rsidR="00CC7106" w:rsidRPr="00CC7106" w14:paraId="1220B29B" w14:textId="77777777" w:rsidTr="00034328">
        <w:trPr>
          <w:trHeight w:val="232"/>
        </w:trPr>
        <w:tc>
          <w:tcPr>
            <w:tcW w:w="1060" w:type="dxa"/>
            <w:tcBorders>
              <w:top w:val="nil"/>
              <w:left w:val="single" w:sz="4" w:space="0" w:color="auto"/>
              <w:bottom w:val="nil"/>
              <w:right w:val="single" w:sz="4" w:space="0" w:color="auto"/>
            </w:tcBorders>
            <w:shd w:val="clear" w:color="auto" w:fill="auto"/>
            <w:noWrap/>
            <w:vAlign w:val="bottom"/>
            <w:hideMark/>
          </w:tcPr>
          <w:p w14:paraId="25BE7BE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Slovenia</w:t>
            </w:r>
          </w:p>
        </w:tc>
        <w:tc>
          <w:tcPr>
            <w:tcW w:w="2780" w:type="dxa"/>
            <w:tcBorders>
              <w:top w:val="nil"/>
              <w:left w:val="nil"/>
              <w:bottom w:val="nil"/>
              <w:right w:val="single" w:sz="4" w:space="0" w:color="auto"/>
            </w:tcBorders>
            <w:shd w:val="clear" w:color="auto" w:fill="auto"/>
            <w:noWrap/>
            <w:vAlign w:val="bottom"/>
            <w:hideMark/>
          </w:tcPr>
          <w:p w14:paraId="17A42E5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SI-SURVIVAL</w:t>
            </w:r>
          </w:p>
        </w:tc>
        <w:tc>
          <w:tcPr>
            <w:tcW w:w="563" w:type="dxa"/>
            <w:tcBorders>
              <w:top w:val="nil"/>
              <w:left w:val="nil"/>
              <w:bottom w:val="nil"/>
              <w:right w:val="single" w:sz="4" w:space="0" w:color="auto"/>
            </w:tcBorders>
            <w:shd w:val="clear" w:color="auto" w:fill="auto"/>
            <w:noWrap/>
            <w:vAlign w:val="bottom"/>
            <w:hideMark/>
          </w:tcPr>
          <w:p w14:paraId="1092051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nil"/>
              <w:bottom w:val="nil"/>
              <w:right w:val="single" w:sz="4" w:space="0" w:color="auto"/>
            </w:tcBorders>
            <w:shd w:val="clear" w:color="auto" w:fill="auto"/>
            <w:noWrap/>
            <w:vAlign w:val="bottom"/>
            <w:hideMark/>
          </w:tcPr>
          <w:p w14:paraId="4CD9FC2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nil"/>
              <w:bottom w:val="nil"/>
              <w:right w:val="single" w:sz="4" w:space="0" w:color="auto"/>
            </w:tcBorders>
            <w:shd w:val="clear" w:color="auto" w:fill="auto"/>
            <w:noWrap/>
            <w:vAlign w:val="bottom"/>
            <w:hideMark/>
          </w:tcPr>
          <w:p w14:paraId="61AB31D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nil"/>
              <w:bottom w:val="nil"/>
              <w:right w:val="single" w:sz="4" w:space="0" w:color="auto"/>
            </w:tcBorders>
            <w:shd w:val="clear" w:color="auto" w:fill="auto"/>
            <w:noWrap/>
            <w:vAlign w:val="bottom"/>
            <w:hideMark/>
          </w:tcPr>
          <w:p w14:paraId="7FA4F95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nil"/>
              <w:bottom w:val="nil"/>
              <w:right w:val="single" w:sz="4" w:space="0" w:color="auto"/>
            </w:tcBorders>
            <w:shd w:val="clear" w:color="auto" w:fill="auto"/>
            <w:noWrap/>
            <w:vAlign w:val="bottom"/>
            <w:hideMark/>
          </w:tcPr>
          <w:p w14:paraId="76FEB42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245240D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028F528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nil"/>
              <w:bottom w:val="nil"/>
              <w:right w:val="single" w:sz="4" w:space="0" w:color="auto"/>
            </w:tcBorders>
            <w:shd w:val="clear" w:color="auto" w:fill="auto"/>
            <w:noWrap/>
            <w:vAlign w:val="bottom"/>
            <w:hideMark/>
          </w:tcPr>
          <w:p w14:paraId="4F5CC7C6"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auto" w:fill="auto"/>
            <w:noWrap/>
            <w:vAlign w:val="bottom"/>
            <w:hideMark/>
          </w:tcPr>
          <w:p w14:paraId="3568D784"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EU-2008</w:t>
            </w:r>
          </w:p>
        </w:tc>
      </w:tr>
      <w:tr w:rsidR="00D70C92" w:rsidRPr="00CC7106" w14:paraId="30B61679" w14:textId="77777777" w:rsidTr="00034328">
        <w:trPr>
          <w:trHeight w:val="232"/>
        </w:trPr>
        <w:tc>
          <w:tcPr>
            <w:tcW w:w="1060" w:type="dxa"/>
            <w:tcBorders>
              <w:top w:val="nil"/>
              <w:left w:val="single" w:sz="4" w:space="0" w:color="auto"/>
              <w:bottom w:val="nil"/>
              <w:right w:val="single" w:sz="4" w:space="0" w:color="auto"/>
            </w:tcBorders>
            <w:shd w:val="clear" w:color="000000" w:fill="D9D9D9"/>
            <w:noWrap/>
            <w:vAlign w:val="bottom"/>
            <w:hideMark/>
          </w:tcPr>
          <w:p w14:paraId="0B709B0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Spain</w:t>
            </w:r>
          </w:p>
        </w:tc>
        <w:tc>
          <w:tcPr>
            <w:tcW w:w="2780" w:type="dxa"/>
            <w:tcBorders>
              <w:top w:val="nil"/>
              <w:left w:val="single" w:sz="4" w:space="0" w:color="auto"/>
              <w:bottom w:val="nil"/>
              <w:right w:val="single" w:sz="4" w:space="0" w:color="auto"/>
            </w:tcBorders>
            <w:shd w:val="clear" w:color="000000" w:fill="D9D9D9"/>
            <w:noWrap/>
            <w:vAlign w:val="bottom"/>
            <w:hideMark/>
          </w:tcPr>
          <w:p w14:paraId="79F7662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ES-STATUTORY_DISEASES</w:t>
            </w:r>
          </w:p>
        </w:tc>
        <w:tc>
          <w:tcPr>
            <w:tcW w:w="563" w:type="dxa"/>
            <w:tcBorders>
              <w:top w:val="nil"/>
              <w:left w:val="single" w:sz="4" w:space="0" w:color="auto"/>
              <w:bottom w:val="nil"/>
              <w:right w:val="single" w:sz="4" w:space="0" w:color="auto"/>
            </w:tcBorders>
            <w:shd w:val="clear" w:color="000000" w:fill="D9D9D9"/>
            <w:noWrap/>
            <w:vAlign w:val="bottom"/>
            <w:hideMark/>
          </w:tcPr>
          <w:p w14:paraId="2315E7FE"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nil"/>
              <w:right w:val="single" w:sz="4" w:space="0" w:color="auto"/>
            </w:tcBorders>
            <w:shd w:val="clear" w:color="000000" w:fill="D9D9D9"/>
            <w:noWrap/>
            <w:vAlign w:val="bottom"/>
            <w:hideMark/>
          </w:tcPr>
          <w:p w14:paraId="1A71B33F"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nil"/>
              <w:right w:val="single" w:sz="4" w:space="0" w:color="auto"/>
            </w:tcBorders>
            <w:shd w:val="clear" w:color="000000" w:fill="D9D9D9"/>
            <w:noWrap/>
            <w:vAlign w:val="bottom"/>
            <w:hideMark/>
          </w:tcPr>
          <w:p w14:paraId="16F645A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nil"/>
              <w:right w:val="single" w:sz="4" w:space="0" w:color="auto"/>
            </w:tcBorders>
            <w:shd w:val="clear" w:color="000000" w:fill="D9D9D9"/>
            <w:noWrap/>
            <w:vAlign w:val="bottom"/>
            <w:hideMark/>
          </w:tcPr>
          <w:p w14:paraId="00DB531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nil"/>
              <w:right w:val="single" w:sz="4" w:space="0" w:color="auto"/>
            </w:tcBorders>
            <w:shd w:val="clear" w:color="000000" w:fill="D9D9D9"/>
            <w:noWrap/>
            <w:vAlign w:val="bottom"/>
            <w:hideMark/>
          </w:tcPr>
          <w:p w14:paraId="790E718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3A25B39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536776C1"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nil"/>
              <w:right w:val="single" w:sz="4" w:space="0" w:color="auto"/>
            </w:tcBorders>
            <w:shd w:val="clear" w:color="000000" w:fill="D9D9D9"/>
            <w:noWrap/>
            <w:vAlign w:val="bottom"/>
            <w:hideMark/>
          </w:tcPr>
          <w:p w14:paraId="4343AE38"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nil"/>
              <w:right w:val="single" w:sz="4" w:space="0" w:color="auto"/>
            </w:tcBorders>
            <w:shd w:val="clear" w:color="000000" w:fill="D9D9D9"/>
            <w:noWrap/>
            <w:vAlign w:val="bottom"/>
            <w:hideMark/>
          </w:tcPr>
          <w:p w14:paraId="167F679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EU-2018</w:t>
            </w:r>
          </w:p>
        </w:tc>
      </w:tr>
      <w:tr w:rsidR="00CC7106" w:rsidRPr="00CC7106" w14:paraId="66D2D318" w14:textId="77777777" w:rsidTr="00034328">
        <w:trPr>
          <w:trHeight w:val="232"/>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488FB2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Sweden</w:t>
            </w:r>
          </w:p>
        </w:tc>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26179675"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SE-SMINET</w:t>
            </w: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1F3BC13"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Cp</w:t>
            </w:r>
          </w:p>
        </w:tc>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83203C"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Co</w:t>
            </w:r>
          </w:p>
        </w:tc>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78770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P</w:t>
            </w:r>
          </w:p>
        </w:tc>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7B7AEB"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C</w:t>
            </w:r>
          </w:p>
        </w:tc>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2783E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FB27E7"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Y</w:t>
            </w:r>
          </w:p>
        </w:tc>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36A89A"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EEF422"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N</w:t>
            </w:r>
          </w:p>
        </w:tc>
        <w:tc>
          <w:tcPr>
            <w:tcW w:w="1587" w:type="dxa"/>
            <w:tcBorders>
              <w:top w:val="nil"/>
              <w:left w:val="nil"/>
              <w:bottom w:val="single" w:sz="4" w:space="0" w:color="auto"/>
              <w:right w:val="single" w:sz="4" w:space="0" w:color="auto"/>
            </w:tcBorders>
            <w:shd w:val="clear" w:color="auto" w:fill="auto"/>
            <w:noWrap/>
            <w:vAlign w:val="bottom"/>
            <w:hideMark/>
          </w:tcPr>
          <w:p w14:paraId="7818B489" w14:textId="77777777" w:rsidR="00ED7912" w:rsidRPr="00CC7106" w:rsidRDefault="00ED7912" w:rsidP="00AF4AD6">
            <w:pPr>
              <w:spacing w:before="120" w:after="0"/>
              <w:rPr>
                <w:rFonts w:eastAsia="Times New Roman" w:cs="Tahoma"/>
                <w:sz w:val="14"/>
                <w:szCs w:val="14"/>
                <w:lang w:eastAsia="en-GB"/>
              </w:rPr>
            </w:pPr>
            <w:r w:rsidRPr="00CC7106">
              <w:rPr>
                <w:rFonts w:eastAsia="Times New Roman" w:cs="Tahoma"/>
                <w:sz w:val="14"/>
                <w:szCs w:val="14"/>
                <w:lang w:eastAsia="en-GB"/>
              </w:rPr>
              <w:t>EU-2012</w:t>
            </w:r>
          </w:p>
        </w:tc>
      </w:tr>
    </w:tbl>
    <w:p w14:paraId="4EBC3B73" w14:textId="101C00D4" w:rsidR="00CC3A60" w:rsidRDefault="00CC3A60" w:rsidP="00F239C1">
      <w:pPr>
        <w:pStyle w:val="EC-Para"/>
        <w:rPr>
          <w:lang w:eastAsia="en-US"/>
        </w:rPr>
      </w:pPr>
    </w:p>
    <w:p w14:paraId="1D588F0C" w14:textId="77777777" w:rsidR="00CC3A60" w:rsidRDefault="00CC3A60">
      <w:pPr>
        <w:rPr>
          <w:rFonts w:eastAsia="Arial Unicode MS" w:cs="Times New Roman"/>
          <w:kern w:val="22"/>
          <w:szCs w:val="18"/>
        </w:rPr>
      </w:pPr>
      <w:r>
        <w:br w:type="page"/>
      </w:r>
    </w:p>
    <w:p w14:paraId="0486DBB4" w14:textId="1D38E47F" w:rsidR="00AC0043" w:rsidRDefault="00AC0043" w:rsidP="009F5B73">
      <w:pPr>
        <w:pStyle w:val="EC-Title-5"/>
        <w:outlineLvl w:val="0"/>
        <w:rPr>
          <w:i/>
        </w:rPr>
      </w:pPr>
      <w:bookmarkStart w:id="29" w:name="_Toc437442011"/>
      <w:bookmarkStart w:id="30" w:name="_Toc127531821"/>
      <w:r w:rsidRPr="00560A60">
        <w:lastRenderedPageBreak/>
        <w:t>Cryptosporidiosis</w:t>
      </w:r>
      <w:bookmarkEnd w:id="29"/>
      <w:bookmarkEnd w:id="30"/>
    </w:p>
    <w:p w14:paraId="23E7E701" w14:textId="146AA0A4" w:rsidR="00EE1F3C" w:rsidRPr="00A32FE1" w:rsidRDefault="00CB3144" w:rsidP="00EE1F3C">
      <w:pPr>
        <w:pStyle w:val="EC-Para"/>
        <w:jc w:val="right"/>
        <w:rPr>
          <w:b/>
          <w:lang w:eastAsia="en-US"/>
        </w:rPr>
      </w:pPr>
      <w:r>
        <w:rPr>
          <w:b/>
          <w:lang w:eastAsia="en-US"/>
        </w:rPr>
        <w:t>Last updated: 13 August 2024</w:t>
      </w:r>
    </w:p>
    <w:p w14:paraId="44A7453C" w14:textId="3F348FDF" w:rsidR="00AC0043" w:rsidRPr="009A768D" w:rsidRDefault="0045529D" w:rsidP="00AC0043">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6017D527" w14:textId="77777777" w:rsidR="00AC0043" w:rsidRPr="00A725CB" w:rsidRDefault="00AC0043" w:rsidP="00AC0043">
      <w:pPr>
        <w:autoSpaceDE w:val="0"/>
        <w:autoSpaceDN w:val="0"/>
        <w:adjustRightInd w:val="0"/>
        <w:spacing w:after="120"/>
        <w:jc w:val="both"/>
        <w:rPr>
          <w:rFonts w:cs="Tahoma"/>
          <w:szCs w:val="18"/>
        </w:rPr>
      </w:pPr>
      <w:r>
        <w:rPr>
          <w:rFonts w:eastAsiaTheme="minorHAnsi" w:cs="Tahoma"/>
          <w:szCs w:val="18"/>
        </w:rPr>
        <w:t xml:space="preserve">Cryptosporidiosis is an acute diarrhoeal disease caused by an intracellular protozoan parasite </w:t>
      </w:r>
      <w:r w:rsidRPr="009A48AC">
        <w:rPr>
          <w:rFonts w:eastAsiaTheme="minorHAnsi" w:cs="Tahoma"/>
          <w:i/>
          <w:szCs w:val="18"/>
        </w:rPr>
        <w:t>Cryptosporidium spp</w:t>
      </w:r>
      <w:r w:rsidRPr="009A48AC">
        <w:rPr>
          <w:rFonts w:eastAsiaTheme="minorHAnsi" w:cs="Tahoma"/>
          <w:szCs w:val="18"/>
        </w:rPr>
        <w:t>.</w:t>
      </w:r>
      <w:r>
        <w:rPr>
          <w:rFonts w:eastAsiaTheme="minorHAnsi" w:cs="Tahoma"/>
          <w:szCs w:val="18"/>
        </w:rPr>
        <w:t xml:space="preserve"> </w:t>
      </w:r>
      <w:r w:rsidRPr="00213041">
        <w:rPr>
          <w:rFonts w:eastAsiaTheme="minorHAnsi" w:cs="Tahoma"/>
          <w:szCs w:val="18"/>
        </w:rPr>
        <w:t>For a more detailed description of the disease and its epidemiology</w:t>
      </w:r>
      <w:r>
        <w:rPr>
          <w:rFonts w:eastAsiaTheme="minorHAnsi" w:cs="Tahoma"/>
          <w:szCs w:val="18"/>
        </w:rPr>
        <w:t>,</w:t>
      </w:r>
      <w:r w:rsidRPr="00213041">
        <w:rPr>
          <w:rFonts w:eastAsiaTheme="minorHAnsi" w:cs="Tahoma"/>
          <w:szCs w:val="18"/>
        </w:rPr>
        <w:t xml:space="preserve"> </w:t>
      </w:r>
      <w:r w:rsidRPr="009D4D86">
        <w:rPr>
          <w:rFonts w:eastAsiaTheme="minorHAnsi" w:cs="Tahoma"/>
          <w:szCs w:val="18"/>
        </w:rPr>
        <w:t>please click</w:t>
      </w:r>
      <w:r w:rsidRPr="009D4D86">
        <w:rPr>
          <w:rFonts w:cs="Tahoma"/>
          <w:szCs w:val="18"/>
        </w:rPr>
        <w:t xml:space="preserve"> </w:t>
      </w:r>
      <w:hyperlink r:id="rId32" w:history="1">
        <w:r w:rsidRPr="009D4D86">
          <w:rPr>
            <w:rStyle w:val="Hyperlink"/>
            <w:i/>
            <w:sz w:val="18"/>
            <w:szCs w:val="18"/>
          </w:rPr>
          <w:t>here</w:t>
        </w:r>
      </w:hyperlink>
      <w:r w:rsidRPr="009D4D86">
        <w:rPr>
          <w:rStyle w:val="Hyperlink"/>
          <w:i/>
          <w:sz w:val="18"/>
          <w:szCs w:val="18"/>
        </w:rPr>
        <w:t>.</w:t>
      </w:r>
      <w:r>
        <w:rPr>
          <w:rStyle w:val="Hyperlink"/>
          <w:i/>
        </w:rPr>
        <w:t xml:space="preserve">  </w:t>
      </w:r>
    </w:p>
    <w:p w14:paraId="0D592884" w14:textId="77777777" w:rsidR="00AC0043" w:rsidRDefault="00AC0043" w:rsidP="009F5B73">
      <w:pPr>
        <w:pStyle w:val="EC-Title-6"/>
        <w:outlineLvl w:val="1"/>
        <w:rPr>
          <w:rFonts w:cs="Tahoma"/>
        </w:rPr>
      </w:pPr>
      <w:r>
        <w:rPr>
          <w:rFonts w:cs="Tahoma"/>
        </w:rPr>
        <w:t>Data</w:t>
      </w:r>
    </w:p>
    <w:p w14:paraId="30740048" w14:textId="7DF28B92" w:rsidR="00AC0043" w:rsidRDefault="00AC0043" w:rsidP="00AC0043">
      <w:pPr>
        <w:pStyle w:val="EC-Para"/>
        <w:jc w:val="both"/>
        <w:rPr>
          <w:rFonts w:cs="Tahoma"/>
        </w:rPr>
      </w:pPr>
      <w:r>
        <w:rPr>
          <w:rFonts w:cs="Tahoma"/>
        </w:rPr>
        <w:t xml:space="preserve">The Surveillance Atlas of Infectious Diseases displays data on cryptosporidiosis reported by the </w:t>
      </w:r>
      <w:r w:rsidR="00E75405">
        <w:rPr>
          <w:rFonts w:cs="Tahoma"/>
        </w:rPr>
        <w:t>EU/EEA countries</w:t>
      </w:r>
      <w:r>
        <w:rPr>
          <w:rFonts w:cs="Tahoma"/>
        </w:rPr>
        <w:t>. Cases should be reported according to the 201</w:t>
      </w:r>
      <w:r w:rsidR="00F53BCA">
        <w:rPr>
          <w:rFonts w:cs="Tahoma"/>
        </w:rPr>
        <w:t>8</w:t>
      </w:r>
      <w:r>
        <w:rPr>
          <w:rFonts w:cs="Tahoma"/>
        </w:rPr>
        <w:t xml:space="preserve"> EU case definition for cryptosporidiosis</w:t>
      </w:r>
      <w:r>
        <w:rPr>
          <w:rStyle w:val="FootnoteReference"/>
          <w:rFonts w:eastAsiaTheme="minorHAnsi" w:cs="Tahoma"/>
          <w:szCs w:val="20"/>
          <w:lang w:eastAsia="en-US"/>
        </w:rPr>
        <w:footnoteReference w:id="14"/>
      </w:r>
      <w:r>
        <w:rPr>
          <w:rFonts w:cs="Tahoma"/>
        </w:rPr>
        <w:t xml:space="preserve">: </w:t>
      </w:r>
    </w:p>
    <w:p w14:paraId="6D3BAA10"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b/>
          <w:bCs/>
          <w:color w:val="000000"/>
          <w:szCs w:val="18"/>
        </w:rPr>
        <w:t xml:space="preserve">Clinical criteria </w:t>
      </w:r>
    </w:p>
    <w:p w14:paraId="24F814D6" w14:textId="3D05E16A"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Any person with </w:t>
      </w:r>
      <w:r w:rsidR="009E7C24" w:rsidRPr="00184880">
        <w:rPr>
          <w:rFonts w:eastAsiaTheme="minorHAnsi" w:cs="Tahoma"/>
          <w:color w:val="000000"/>
          <w:szCs w:val="18"/>
        </w:rPr>
        <w:t xml:space="preserve">at least one of </w:t>
      </w:r>
      <w:r w:rsidRPr="00184880">
        <w:rPr>
          <w:rFonts w:eastAsiaTheme="minorHAnsi" w:cs="Tahoma"/>
          <w:color w:val="000000"/>
          <w:szCs w:val="18"/>
        </w:rPr>
        <w:t xml:space="preserve">the following two: </w:t>
      </w:r>
    </w:p>
    <w:p w14:paraId="5C44144E" w14:textId="77777777" w:rsidR="00AC0043" w:rsidRPr="00F92824"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 </w:t>
      </w:r>
      <w:proofErr w:type="gramStart"/>
      <w:r w:rsidRPr="00184880">
        <w:rPr>
          <w:rFonts w:eastAsiaTheme="minorHAnsi" w:cs="Tahoma"/>
          <w:color w:val="000000"/>
          <w:szCs w:val="18"/>
        </w:rPr>
        <w:t>Diarrhoea;</w:t>
      </w:r>
      <w:proofErr w:type="gramEnd"/>
      <w:r w:rsidRPr="00F92824">
        <w:rPr>
          <w:rFonts w:eastAsiaTheme="minorHAnsi" w:cs="Tahoma"/>
          <w:color w:val="000000"/>
          <w:szCs w:val="18"/>
        </w:rPr>
        <w:t xml:space="preserve"> </w:t>
      </w:r>
    </w:p>
    <w:p w14:paraId="3ACBE7E0"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 Abdominal pain. </w:t>
      </w:r>
    </w:p>
    <w:p w14:paraId="3B8B59A9"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b/>
          <w:bCs/>
          <w:color w:val="000000"/>
          <w:szCs w:val="18"/>
        </w:rPr>
        <w:t xml:space="preserve">Laboratory criteria </w:t>
      </w:r>
    </w:p>
    <w:p w14:paraId="6BFB87B3"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At least one of the following four: </w:t>
      </w:r>
    </w:p>
    <w:p w14:paraId="2B91E008"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 Demonstration of </w:t>
      </w:r>
      <w:r w:rsidRPr="00184880">
        <w:rPr>
          <w:rFonts w:eastAsiaTheme="minorHAnsi" w:cs="Tahoma"/>
          <w:i/>
          <w:iCs/>
          <w:color w:val="000000"/>
          <w:szCs w:val="18"/>
        </w:rPr>
        <w:t xml:space="preserve">Cryptosporidium </w:t>
      </w:r>
      <w:r w:rsidRPr="00184880">
        <w:rPr>
          <w:rFonts w:eastAsiaTheme="minorHAnsi" w:cs="Tahoma"/>
          <w:color w:val="000000"/>
          <w:szCs w:val="18"/>
        </w:rPr>
        <w:t xml:space="preserve">oocysts in </w:t>
      </w:r>
      <w:proofErr w:type="gramStart"/>
      <w:r w:rsidRPr="00184880">
        <w:rPr>
          <w:rFonts w:eastAsiaTheme="minorHAnsi" w:cs="Tahoma"/>
          <w:color w:val="000000"/>
          <w:szCs w:val="18"/>
        </w:rPr>
        <w:t>stool;</w:t>
      </w:r>
      <w:proofErr w:type="gramEnd"/>
      <w:r w:rsidRPr="00184880">
        <w:rPr>
          <w:rFonts w:eastAsiaTheme="minorHAnsi" w:cs="Tahoma"/>
          <w:color w:val="000000"/>
          <w:szCs w:val="18"/>
        </w:rPr>
        <w:t xml:space="preserve"> </w:t>
      </w:r>
    </w:p>
    <w:p w14:paraId="164C4C14"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 Demonstration of </w:t>
      </w:r>
      <w:r w:rsidRPr="00184880">
        <w:rPr>
          <w:rFonts w:eastAsiaTheme="minorHAnsi" w:cs="Tahoma"/>
          <w:i/>
          <w:iCs/>
          <w:color w:val="000000"/>
          <w:szCs w:val="18"/>
        </w:rPr>
        <w:t xml:space="preserve">Cryptosporidium </w:t>
      </w:r>
      <w:r w:rsidRPr="00184880">
        <w:rPr>
          <w:rFonts w:eastAsiaTheme="minorHAnsi" w:cs="Tahoma"/>
          <w:color w:val="000000"/>
          <w:szCs w:val="18"/>
        </w:rPr>
        <w:t xml:space="preserve">in intestinal fluid or small-bowel biopsy </w:t>
      </w:r>
      <w:proofErr w:type="gramStart"/>
      <w:r w:rsidRPr="00184880">
        <w:rPr>
          <w:rFonts w:eastAsiaTheme="minorHAnsi" w:cs="Tahoma"/>
          <w:color w:val="000000"/>
          <w:szCs w:val="18"/>
        </w:rPr>
        <w:t>specimens;</w:t>
      </w:r>
      <w:proofErr w:type="gramEnd"/>
      <w:r w:rsidRPr="00184880">
        <w:rPr>
          <w:rFonts w:eastAsiaTheme="minorHAnsi" w:cs="Tahoma"/>
          <w:color w:val="000000"/>
          <w:szCs w:val="18"/>
        </w:rPr>
        <w:t xml:space="preserve"> </w:t>
      </w:r>
    </w:p>
    <w:p w14:paraId="080F6573"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 Detection of </w:t>
      </w:r>
      <w:r w:rsidRPr="00184880">
        <w:rPr>
          <w:rFonts w:eastAsiaTheme="minorHAnsi" w:cs="Tahoma"/>
          <w:i/>
          <w:iCs/>
          <w:color w:val="000000"/>
          <w:szCs w:val="18"/>
        </w:rPr>
        <w:t xml:space="preserve">Cryptosporidium </w:t>
      </w:r>
      <w:r w:rsidRPr="00184880">
        <w:rPr>
          <w:rFonts w:eastAsiaTheme="minorHAnsi" w:cs="Tahoma"/>
          <w:color w:val="000000"/>
          <w:szCs w:val="18"/>
        </w:rPr>
        <w:t xml:space="preserve">nucleic acid in </w:t>
      </w:r>
      <w:proofErr w:type="gramStart"/>
      <w:r w:rsidRPr="00184880">
        <w:rPr>
          <w:rFonts w:eastAsiaTheme="minorHAnsi" w:cs="Tahoma"/>
          <w:color w:val="000000"/>
          <w:szCs w:val="18"/>
        </w:rPr>
        <w:t>stool;</w:t>
      </w:r>
      <w:proofErr w:type="gramEnd"/>
    </w:p>
    <w:p w14:paraId="51B39982"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cs="Tahoma"/>
          <w:color w:val="000000"/>
          <w:szCs w:val="18"/>
        </w:rPr>
        <w:t xml:space="preserve">— Detection of </w:t>
      </w:r>
      <w:r w:rsidRPr="00184880">
        <w:rPr>
          <w:rFonts w:cs="Tahoma"/>
          <w:i/>
          <w:iCs/>
          <w:color w:val="000000"/>
          <w:szCs w:val="18"/>
        </w:rPr>
        <w:t xml:space="preserve">Cryptosporidium </w:t>
      </w:r>
      <w:r w:rsidRPr="00184880">
        <w:rPr>
          <w:rFonts w:cs="Tahoma"/>
          <w:color w:val="000000"/>
          <w:szCs w:val="18"/>
        </w:rPr>
        <w:t xml:space="preserve">antigen in stool. </w:t>
      </w:r>
      <w:r w:rsidRPr="00184880">
        <w:rPr>
          <w:rFonts w:eastAsiaTheme="minorHAnsi" w:cs="Tahoma"/>
          <w:color w:val="000000"/>
          <w:szCs w:val="18"/>
        </w:rPr>
        <w:t xml:space="preserve"> </w:t>
      </w:r>
    </w:p>
    <w:p w14:paraId="7214FAEC"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b/>
          <w:bCs/>
          <w:color w:val="000000"/>
          <w:szCs w:val="18"/>
        </w:rPr>
        <w:t xml:space="preserve">Epidemiological criteria </w:t>
      </w:r>
    </w:p>
    <w:p w14:paraId="29EB22C0"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At least one of the following five epidemiological links: </w:t>
      </w:r>
    </w:p>
    <w:p w14:paraId="3CA0F2B2" w14:textId="4A813B83"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Human</w:t>
      </w:r>
      <w:r w:rsidR="009E7C24" w:rsidRPr="00184880">
        <w:rPr>
          <w:rFonts w:eastAsiaTheme="minorHAnsi" w:cs="Tahoma"/>
          <w:color w:val="000000"/>
          <w:szCs w:val="18"/>
        </w:rPr>
        <w:t xml:space="preserve"> </w:t>
      </w:r>
      <w:r w:rsidRPr="00184880">
        <w:rPr>
          <w:rFonts w:eastAsiaTheme="minorHAnsi" w:cs="Tahoma"/>
          <w:color w:val="000000"/>
          <w:szCs w:val="18"/>
        </w:rPr>
        <w:t>to</w:t>
      </w:r>
      <w:r w:rsidR="009E7C24" w:rsidRPr="00184880">
        <w:rPr>
          <w:rFonts w:eastAsiaTheme="minorHAnsi" w:cs="Tahoma"/>
          <w:color w:val="000000"/>
          <w:szCs w:val="18"/>
        </w:rPr>
        <w:t xml:space="preserve"> </w:t>
      </w:r>
      <w:r w:rsidRPr="00184880">
        <w:rPr>
          <w:rFonts w:eastAsiaTheme="minorHAnsi" w:cs="Tahoma"/>
          <w:color w:val="000000"/>
          <w:szCs w:val="18"/>
        </w:rPr>
        <w:t xml:space="preserve">human </w:t>
      </w:r>
      <w:proofErr w:type="gramStart"/>
      <w:r w:rsidRPr="00184880">
        <w:rPr>
          <w:rFonts w:eastAsiaTheme="minorHAnsi" w:cs="Tahoma"/>
          <w:color w:val="000000"/>
          <w:szCs w:val="18"/>
        </w:rPr>
        <w:t>transmission;</w:t>
      </w:r>
      <w:proofErr w:type="gramEnd"/>
      <w:r w:rsidRPr="00184880">
        <w:rPr>
          <w:rFonts w:eastAsiaTheme="minorHAnsi" w:cs="Tahoma"/>
          <w:color w:val="000000"/>
          <w:szCs w:val="18"/>
        </w:rPr>
        <w:t xml:space="preserve"> </w:t>
      </w:r>
    </w:p>
    <w:p w14:paraId="058B736E"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 Exposure to a common </w:t>
      </w:r>
      <w:proofErr w:type="gramStart"/>
      <w:r w:rsidRPr="00184880">
        <w:rPr>
          <w:rFonts w:eastAsiaTheme="minorHAnsi" w:cs="Tahoma"/>
          <w:color w:val="000000"/>
          <w:szCs w:val="18"/>
        </w:rPr>
        <w:t>source;</w:t>
      </w:r>
      <w:proofErr w:type="gramEnd"/>
      <w:r w:rsidRPr="00184880">
        <w:rPr>
          <w:rFonts w:eastAsiaTheme="minorHAnsi" w:cs="Tahoma"/>
          <w:color w:val="000000"/>
          <w:szCs w:val="18"/>
        </w:rPr>
        <w:t xml:space="preserve"> </w:t>
      </w:r>
    </w:p>
    <w:p w14:paraId="51D7F17E" w14:textId="3693DFBA"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Animal</w:t>
      </w:r>
      <w:r w:rsidR="009E7C24" w:rsidRPr="00184880">
        <w:rPr>
          <w:rFonts w:eastAsiaTheme="minorHAnsi" w:cs="Tahoma"/>
          <w:color w:val="000000"/>
          <w:szCs w:val="18"/>
        </w:rPr>
        <w:t xml:space="preserve"> </w:t>
      </w:r>
      <w:r w:rsidRPr="00184880">
        <w:rPr>
          <w:rFonts w:eastAsiaTheme="minorHAnsi" w:cs="Tahoma"/>
          <w:color w:val="000000"/>
          <w:szCs w:val="18"/>
        </w:rPr>
        <w:t>to</w:t>
      </w:r>
      <w:r w:rsidR="009E7C24" w:rsidRPr="00184880">
        <w:rPr>
          <w:rFonts w:eastAsiaTheme="minorHAnsi" w:cs="Tahoma"/>
          <w:color w:val="000000"/>
          <w:szCs w:val="18"/>
        </w:rPr>
        <w:t xml:space="preserve"> </w:t>
      </w:r>
      <w:r w:rsidRPr="00184880">
        <w:rPr>
          <w:rFonts w:eastAsiaTheme="minorHAnsi" w:cs="Tahoma"/>
          <w:color w:val="000000"/>
          <w:szCs w:val="18"/>
        </w:rPr>
        <w:t xml:space="preserve">human </w:t>
      </w:r>
      <w:proofErr w:type="gramStart"/>
      <w:r w:rsidRPr="00184880">
        <w:rPr>
          <w:rFonts w:eastAsiaTheme="minorHAnsi" w:cs="Tahoma"/>
          <w:color w:val="000000"/>
          <w:szCs w:val="18"/>
        </w:rPr>
        <w:t>transmission;</w:t>
      </w:r>
      <w:proofErr w:type="gramEnd"/>
    </w:p>
    <w:p w14:paraId="645840E5"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xml:space="preserve">— Exposure to contaminated food/drinking </w:t>
      </w:r>
      <w:proofErr w:type="gramStart"/>
      <w:r w:rsidRPr="00184880">
        <w:rPr>
          <w:rFonts w:eastAsiaTheme="minorHAnsi" w:cs="Tahoma"/>
          <w:color w:val="000000"/>
          <w:szCs w:val="18"/>
        </w:rPr>
        <w:t>water;</w:t>
      </w:r>
      <w:proofErr w:type="gramEnd"/>
      <w:r w:rsidRPr="00184880">
        <w:rPr>
          <w:rFonts w:eastAsiaTheme="minorHAnsi" w:cs="Tahoma"/>
          <w:color w:val="000000"/>
          <w:szCs w:val="18"/>
        </w:rPr>
        <w:t xml:space="preserve"> </w:t>
      </w:r>
    </w:p>
    <w:p w14:paraId="28BE6E08" w14:textId="77777777" w:rsidR="00AC0043" w:rsidRPr="00184880" w:rsidRDefault="00AC0043"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 Environmental exposure.</w:t>
      </w:r>
    </w:p>
    <w:p w14:paraId="2C8FDE68" w14:textId="77777777" w:rsidR="00AC0043" w:rsidRPr="00184880" w:rsidRDefault="00AC0043" w:rsidP="00AC0043">
      <w:pPr>
        <w:pStyle w:val="CM4"/>
        <w:spacing w:before="60" w:after="60"/>
        <w:rPr>
          <w:rFonts w:ascii="Tahoma" w:hAnsi="Tahoma" w:cs="Tahoma"/>
          <w:b/>
          <w:sz w:val="18"/>
          <w:szCs w:val="18"/>
        </w:rPr>
      </w:pPr>
    </w:p>
    <w:p w14:paraId="265409C9" w14:textId="44EA2863" w:rsidR="00AC0043" w:rsidRPr="00184880" w:rsidRDefault="00AC0043" w:rsidP="00AC0043">
      <w:pPr>
        <w:pStyle w:val="CM4"/>
        <w:spacing w:before="60" w:after="60"/>
        <w:rPr>
          <w:rFonts w:ascii="Tahoma" w:hAnsi="Tahoma" w:cs="Tahoma"/>
          <w:color w:val="000000"/>
          <w:sz w:val="18"/>
          <w:szCs w:val="18"/>
        </w:rPr>
      </w:pPr>
      <w:r w:rsidRPr="00184880">
        <w:rPr>
          <w:rFonts w:ascii="Tahoma" w:hAnsi="Tahoma" w:cs="Tahoma"/>
          <w:b/>
          <w:sz w:val="18"/>
          <w:szCs w:val="18"/>
        </w:rPr>
        <w:t>Case classification</w:t>
      </w:r>
      <w:r w:rsidR="009E7C24" w:rsidRPr="00184880">
        <w:rPr>
          <w:rFonts w:ascii="Tahoma" w:hAnsi="Tahoma" w:cs="Tahoma"/>
          <w:b/>
          <w:sz w:val="18"/>
          <w:szCs w:val="18"/>
        </w:rPr>
        <w:br/>
      </w:r>
      <w:r w:rsidR="009E7C24" w:rsidRPr="00805F81">
        <w:rPr>
          <w:rFonts w:ascii="Tahoma" w:hAnsi="Tahoma" w:cs="Tahoma"/>
          <w:sz w:val="18"/>
          <w:szCs w:val="18"/>
        </w:rPr>
        <w:t>A. Possible case: NA</w:t>
      </w:r>
    </w:p>
    <w:p w14:paraId="01081ADF" w14:textId="61FAB3CA" w:rsidR="00AC0043" w:rsidRPr="00184880" w:rsidRDefault="009E7C24"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B</w:t>
      </w:r>
      <w:r w:rsidR="00AC0043" w:rsidRPr="00184880">
        <w:rPr>
          <w:rFonts w:eastAsiaTheme="minorHAnsi" w:cs="Tahoma"/>
          <w:color w:val="000000"/>
          <w:szCs w:val="18"/>
        </w:rPr>
        <w:t xml:space="preserve">. </w:t>
      </w:r>
      <w:r w:rsidR="00AC0043" w:rsidRPr="00184880">
        <w:rPr>
          <w:rFonts w:eastAsiaTheme="minorHAnsi" w:cs="Tahoma"/>
          <w:bCs/>
          <w:color w:val="000000"/>
          <w:szCs w:val="18"/>
        </w:rPr>
        <w:t xml:space="preserve">Probable case: </w:t>
      </w:r>
      <w:r w:rsidR="00AC0043" w:rsidRPr="00184880">
        <w:rPr>
          <w:rFonts w:eastAsiaTheme="minorHAnsi" w:cs="Tahoma"/>
          <w:color w:val="000000"/>
          <w:szCs w:val="18"/>
        </w:rPr>
        <w:t>Any person meeting the clinical criteria with an epidemiological link</w:t>
      </w:r>
    </w:p>
    <w:p w14:paraId="2EFB8EFE" w14:textId="69D048B0" w:rsidR="00AC0043" w:rsidRPr="00184880" w:rsidRDefault="009E7C24" w:rsidP="00AC0043">
      <w:pPr>
        <w:autoSpaceDE w:val="0"/>
        <w:autoSpaceDN w:val="0"/>
        <w:adjustRightInd w:val="0"/>
        <w:spacing w:before="60" w:after="60"/>
        <w:rPr>
          <w:rFonts w:eastAsiaTheme="minorHAnsi" w:cs="Tahoma"/>
          <w:color w:val="000000"/>
          <w:szCs w:val="18"/>
        </w:rPr>
      </w:pPr>
      <w:r w:rsidRPr="00184880">
        <w:rPr>
          <w:rFonts w:eastAsiaTheme="minorHAnsi" w:cs="Tahoma"/>
          <w:color w:val="000000"/>
          <w:szCs w:val="18"/>
        </w:rPr>
        <w:t>C</w:t>
      </w:r>
      <w:r w:rsidR="00AC0043" w:rsidRPr="00184880">
        <w:rPr>
          <w:rFonts w:eastAsiaTheme="minorHAnsi" w:cs="Tahoma"/>
          <w:color w:val="000000"/>
          <w:szCs w:val="18"/>
        </w:rPr>
        <w:t xml:space="preserve">. </w:t>
      </w:r>
      <w:r w:rsidR="00AC0043" w:rsidRPr="00184880">
        <w:rPr>
          <w:rFonts w:eastAsiaTheme="minorHAnsi" w:cs="Tahoma"/>
          <w:bCs/>
          <w:color w:val="000000"/>
          <w:szCs w:val="18"/>
        </w:rPr>
        <w:t xml:space="preserve">Confirmed case: </w:t>
      </w:r>
      <w:r w:rsidR="00AC0043" w:rsidRPr="00184880">
        <w:rPr>
          <w:rFonts w:eastAsiaTheme="minorHAnsi" w:cs="Tahoma"/>
          <w:szCs w:val="18"/>
        </w:rPr>
        <w:t>Any person meeting the clinical and the laboratory criteria</w:t>
      </w:r>
    </w:p>
    <w:p w14:paraId="03A95FAC" w14:textId="5F622F98" w:rsidR="00AC0043" w:rsidRPr="00184880" w:rsidRDefault="00AC0043" w:rsidP="00AC0043">
      <w:pPr>
        <w:pStyle w:val="Default"/>
        <w:rPr>
          <w:rFonts w:ascii="Tahoma" w:eastAsiaTheme="minorHAnsi" w:hAnsi="Tahoma" w:cs="Tahoma"/>
          <w:sz w:val="18"/>
          <w:szCs w:val="18"/>
          <w:lang w:eastAsia="en-US"/>
        </w:rPr>
      </w:pPr>
    </w:p>
    <w:p w14:paraId="54C8D40D" w14:textId="2C503697" w:rsidR="009E7C24" w:rsidRPr="009E7C24" w:rsidRDefault="009E7C24" w:rsidP="00AC0043">
      <w:pPr>
        <w:pStyle w:val="Default"/>
        <w:rPr>
          <w:rFonts w:ascii="Tahoma" w:eastAsiaTheme="minorHAnsi" w:hAnsi="Tahoma" w:cs="Tahoma"/>
          <w:sz w:val="18"/>
          <w:szCs w:val="18"/>
          <w:lang w:eastAsia="en-US"/>
        </w:rPr>
      </w:pPr>
      <w:r w:rsidRPr="00184880">
        <w:rPr>
          <w:rFonts w:ascii="Tahoma" w:hAnsi="Tahoma" w:cs="Tahoma"/>
          <w:sz w:val="18"/>
          <w:szCs w:val="18"/>
        </w:rPr>
        <w:t>Note: If the national surveillance system is not capturing clinical symptoms, all laboratory-confirmed individuals should be reported as confirmed cases.</w:t>
      </w:r>
    </w:p>
    <w:p w14:paraId="18489282" w14:textId="77777777" w:rsidR="00184880" w:rsidRDefault="00184880" w:rsidP="00AC0043">
      <w:pPr>
        <w:pStyle w:val="Default"/>
        <w:rPr>
          <w:rFonts w:ascii="Tahoma" w:eastAsiaTheme="minorHAnsi" w:hAnsi="Tahoma" w:cs="Tahoma"/>
          <w:sz w:val="18"/>
          <w:szCs w:val="18"/>
          <w:highlight w:val="yellow"/>
        </w:rPr>
      </w:pPr>
    </w:p>
    <w:p w14:paraId="13500ACE" w14:textId="77777777" w:rsidR="00184880" w:rsidRDefault="00184880" w:rsidP="00184880">
      <w:pPr>
        <w:pStyle w:val="EC-Para"/>
        <w:spacing w:after="0" w:line="240" w:lineRule="auto"/>
        <w:jc w:val="both"/>
        <w:rPr>
          <w:rFonts w:cs="Tahoma"/>
        </w:rPr>
      </w:pPr>
      <w:r>
        <w:rPr>
          <w:rFonts w:cs="Tahoma"/>
        </w:rPr>
        <w:t>------------------------</w:t>
      </w:r>
    </w:p>
    <w:p w14:paraId="7CC2AE22" w14:textId="64F7D1BA" w:rsidR="00AC0043" w:rsidRDefault="00184880" w:rsidP="00184880">
      <w:pPr>
        <w:pStyle w:val="EC-Para"/>
        <w:rPr>
          <w:lang w:eastAsia="en-US"/>
        </w:rPr>
      </w:pPr>
      <w:r>
        <w:rPr>
          <w:rFonts w:eastAsiaTheme="minorHAnsi" w:cs="Tahoma"/>
          <w:lang w:eastAsia="en-US"/>
        </w:rPr>
        <w:t>(</w:t>
      </w:r>
      <w:r w:rsidR="00FC3983">
        <w:rPr>
          <w:lang w:eastAsia="en-US"/>
        </w:rPr>
        <w:t>Requirements for only one of two clinical criteria and t</w:t>
      </w:r>
      <w:r w:rsidR="00FC3983" w:rsidRPr="00B960F7">
        <w:rPr>
          <w:lang w:eastAsia="en-US"/>
        </w:rPr>
        <w:t xml:space="preserve">he </w:t>
      </w:r>
      <w:r w:rsidR="00FC3983">
        <w:rPr>
          <w:lang w:eastAsia="en-US"/>
        </w:rPr>
        <w:t>note are the changes in the 2018</w:t>
      </w:r>
      <w:r w:rsidR="00FC3983" w:rsidRPr="00B960F7">
        <w:rPr>
          <w:lang w:eastAsia="en-US"/>
        </w:rPr>
        <w:t xml:space="preserve"> EU cas</w:t>
      </w:r>
      <w:r w:rsidR="00FC3983">
        <w:rPr>
          <w:lang w:eastAsia="en-US"/>
        </w:rPr>
        <w:t>e definition compared to the</w:t>
      </w:r>
      <w:r w:rsidR="00FC3983" w:rsidRPr="00B960F7">
        <w:rPr>
          <w:lang w:eastAsia="en-US"/>
        </w:rPr>
        <w:t xml:space="preserve"> </w:t>
      </w:r>
      <w:r w:rsidR="00FC3983">
        <w:rPr>
          <w:lang w:eastAsia="en-US"/>
        </w:rPr>
        <w:t xml:space="preserve">2012 and </w:t>
      </w:r>
      <w:r w:rsidR="00FC3983" w:rsidRPr="00B960F7">
        <w:rPr>
          <w:lang w:eastAsia="en-US"/>
        </w:rPr>
        <w:t xml:space="preserve">2008 </w:t>
      </w:r>
      <w:r w:rsidR="00FC3983">
        <w:rPr>
          <w:lang w:eastAsia="en-US"/>
        </w:rPr>
        <w:t>EU case definitions.</w:t>
      </w:r>
      <w:r>
        <w:rPr>
          <w:lang w:eastAsia="en-US"/>
        </w:rPr>
        <w:t>)</w:t>
      </w:r>
    </w:p>
    <w:p w14:paraId="1235AE81" w14:textId="77777777" w:rsidR="00E36904" w:rsidRDefault="00E36904" w:rsidP="00184880">
      <w:pPr>
        <w:pStyle w:val="EC-Para"/>
        <w:rPr>
          <w:lang w:eastAsia="en-US"/>
        </w:rPr>
      </w:pPr>
    </w:p>
    <w:p w14:paraId="539F3A96" w14:textId="77777777" w:rsidR="00AC0043" w:rsidRPr="00452AF8" w:rsidRDefault="00AC0043" w:rsidP="00660148">
      <w:pPr>
        <w:pStyle w:val="EC-Title-6"/>
      </w:pPr>
      <w:r w:rsidRPr="00BD0ACE">
        <w:t xml:space="preserve">Data collection and </w:t>
      </w:r>
      <w:r w:rsidRPr="00660148">
        <w:t>analysis</w:t>
      </w:r>
      <w:r w:rsidRPr="00BD0ACE">
        <w:t xml:space="preserve"> </w:t>
      </w:r>
    </w:p>
    <w:p w14:paraId="1E9761D6" w14:textId="003DBB44" w:rsidR="00AC0043" w:rsidRDefault="00AC0043" w:rsidP="00AC004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A51BAC">
        <w:rPr>
          <w:rFonts w:cs="Tahoma"/>
        </w:rPr>
        <w:t>EU/EEA countries</w:t>
      </w:r>
      <w:r>
        <w:rPr>
          <w:rFonts w:cs="Tahoma"/>
        </w:rPr>
        <w:t>. C</w:t>
      </w:r>
      <w:r>
        <w:t>ountry population denominators by age group for the calculation of notification rates were obtained from Eurostat</w:t>
      </w:r>
      <w:r>
        <w:rPr>
          <w:rStyle w:val="FootnoteReference"/>
        </w:rPr>
        <w:footnoteReference w:id="15"/>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30912450" w14:textId="77777777" w:rsidR="00AC0043" w:rsidRDefault="00AC0043" w:rsidP="00AC0043">
      <w:pPr>
        <w:pStyle w:val="EC-Para"/>
        <w:jc w:val="both"/>
      </w:pPr>
      <w:r>
        <w:lastRenderedPageBreak/>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4B2AD52C" w14:textId="77777777" w:rsidR="00AC0043" w:rsidRDefault="00AC0043" w:rsidP="00AC0043">
      <w:pPr>
        <w:pStyle w:val="EC-Para"/>
        <w:jc w:val="both"/>
        <w:rPr>
          <w:rFonts w:cs="Tahoma"/>
        </w:rPr>
      </w:pPr>
      <w:r>
        <w:rPr>
          <w:rFonts w:cs="Tahoma"/>
        </w:rPr>
        <w:t>Surveillance systems across the EU/EEA countries are heterogeneous and a surveillance systems overview is displayed in Annex 1.</w:t>
      </w:r>
    </w:p>
    <w:p w14:paraId="4C4F1FF6" w14:textId="77777777" w:rsidR="00875EB1" w:rsidRDefault="00875EB1" w:rsidP="00AC0043">
      <w:pPr>
        <w:pStyle w:val="EC-Para"/>
        <w:jc w:val="both"/>
        <w:rPr>
          <w:rFonts w:cs="Tahoma"/>
        </w:rPr>
      </w:pPr>
    </w:p>
    <w:p w14:paraId="4540D718" w14:textId="77777777" w:rsidR="00AC0043" w:rsidRPr="0072746F" w:rsidRDefault="00AC0043" w:rsidP="00875EB1">
      <w:pPr>
        <w:pStyle w:val="EC-Title-6"/>
      </w:pPr>
      <w:r w:rsidRPr="0072746F">
        <w:t xml:space="preserve">Surveillance Atlas </w:t>
      </w:r>
      <w:r w:rsidRPr="00875EB1">
        <w:t>indicators</w:t>
      </w:r>
    </w:p>
    <w:p w14:paraId="638892F3" w14:textId="77777777" w:rsidR="00AC0043" w:rsidRPr="007B34B1" w:rsidRDefault="00AC0043" w:rsidP="00AC0043">
      <w:pPr>
        <w:pStyle w:val="EC-Para"/>
        <w:rPr>
          <w:rFonts w:cs="Tahoma"/>
        </w:rPr>
      </w:pPr>
      <w:r w:rsidRPr="005E139C">
        <w:rPr>
          <w:rFonts w:cs="Tahoma"/>
        </w:rPr>
        <w:t xml:space="preserve">The Surveillance Atlas indicators for </w:t>
      </w:r>
      <w:r>
        <w:rPr>
          <w:rFonts w:cs="Tahoma"/>
        </w:rPr>
        <w:t>confirmed cryptosporidiosis</w:t>
      </w:r>
      <w:r w:rsidRPr="005E139C">
        <w:rPr>
          <w:rFonts w:cs="Tahoma"/>
        </w:rPr>
        <w:t xml:space="preserve"> </w:t>
      </w:r>
      <w:r>
        <w:rPr>
          <w:rFonts w:cs="Tahoma"/>
        </w:rPr>
        <w:t>cases</w:t>
      </w:r>
      <w:r w:rsidRPr="005E139C">
        <w:rPr>
          <w:rFonts w:cs="Tahoma"/>
        </w:rPr>
        <w:t xml:space="preserve"> are:</w:t>
      </w:r>
    </w:p>
    <w:p w14:paraId="097A6F50" w14:textId="77777777" w:rsidR="00AC0043" w:rsidRPr="007B34B1" w:rsidRDefault="00AC0043" w:rsidP="000617B1">
      <w:pPr>
        <w:numPr>
          <w:ilvl w:val="0"/>
          <w:numId w:val="16"/>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390D0D48" w14:textId="77777777" w:rsidR="00AC0043" w:rsidRDefault="00AC0043" w:rsidP="000617B1">
      <w:pPr>
        <w:numPr>
          <w:ilvl w:val="0"/>
          <w:numId w:val="16"/>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44C345FE" w14:textId="77777777" w:rsidR="00AC0043" w:rsidRDefault="00AC0043" w:rsidP="000617B1">
      <w:pPr>
        <w:numPr>
          <w:ilvl w:val="0"/>
          <w:numId w:val="16"/>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Age-standardised rate per 100 000 </w:t>
      </w:r>
      <w:proofErr w:type="gramStart"/>
      <w:r>
        <w:rPr>
          <w:rFonts w:eastAsia="Arial Unicode MS" w:cs="Tahoma"/>
          <w:kern w:val="22"/>
          <w:szCs w:val="18"/>
        </w:rPr>
        <w:t>population;</w:t>
      </w:r>
      <w:proofErr w:type="gramEnd"/>
    </w:p>
    <w:p w14:paraId="1260FC04" w14:textId="77777777" w:rsidR="00AC0043" w:rsidRPr="007B34B1" w:rsidRDefault="00AC0043" w:rsidP="000617B1">
      <w:pPr>
        <w:numPr>
          <w:ilvl w:val="0"/>
          <w:numId w:val="16"/>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2DB0D7A8" w14:textId="77777777" w:rsidR="00AC0043" w:rsidRPr="00C31313" w:rsidRDefault="00AC0043" w:rsidP="000617B1">
      <w:pPr>
        <w:numPr>
          <w:ilvl w:val="0"/>
          <w:numId w:val="16"/>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 xml:space="preserve">cases </w:t>
      </w:r>
      <w:r w:rsidRPr="002F58C3">
        <w:rPr>
          <w:rFonts w:eastAsia="Arial Unicode MS" w:cs="Tahoma"/>
          <w:kern w:val="22"/>
          <w:szCs w:val="18"/>
        </w:rPr>
        <w:t>with known history of hospitalisation</w:t>
      </w:r>
      <w:r w:rsidRPr="007B34B1">
        <w:rPr>
          <w:rFonts w:eastAsia="Arial Unicode MS" w:cs="Tahoma"/>
          <w:kern w:val="22"/>
          <w:szCs w:val="18"/>
        </w:rPr>
        <w:t xml:space="preserve"> (%</w:t>
      </w:r>
      <w:proofErr w:type="gramStart"/>
      <w:r w:rsidRPr="007B34B1">
        <w:rPr>
          <w:rFonts w:eastAsia="Arial Unicode MS" w:cs="Tahoma"/>
          <w:kern w:val="22"/>
          <w:szCs w:val="18"/>
        </w:rPr>
        <w:t>);</w:t>
      </w:r>
      <w:proofErr w:type="gramEnd"/>
    </w:p>
    <w:p w14:paraId="744E1654" w14:textId="77777777" w:rsidR="00AC0043" w:rsidRPr="007B34B1" w:rsidRDefault="00AC0043" w:rsidP="000617B1">
      <w:pPr>
        <w:numPr>
          <w:ilvl w:val="0"/>
          <w:numId w:val="16"/>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72BB8D99" w14:textId="77777777" w:rsidR="00AC0043" w:rsidRPr="007B34B1" w:rsidRDefault="00AC0043" w:rsidP="000617B1">
      <w:pPr>
        <w:numPr>
          <w:ilvl w:val="0"/>
          <w:numId w:val="16"/>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Case fatality calculated as proportion of deaths among confirmed cases with known disease</w:t>
      </w:r>
      <w:r w:rsidDel="007B4999">
        <w:rPr>
          <w:rFonts w:eastAsia="Arial Unicode MS" w:cs="Tahoma"/>
          <w:kern w:val="22"/>
          <w:szCs w:val="18"/>
        </w:rPr>
        <w:t xml:space="preserv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203414CE" w14:textId="77777777" w:rsidR="00AC0043" w:rsidRPr="007B34B1" w:rsidRDefault="00AC0043" w:rsidP="000617B1">
      <w:pPr>
        <w:numPr>
          <w:ilvl w:val="0"/>
          <w:numId w:val="16"/>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090EDDCF" w14:textId="77777777" w:rsidR="00AC0043" w:rsidRPr="00E54925" w:rsidRDefault="00AC0043" w:rsidP="000617B1">
      <w:pPr>
        <w:numPr>
          <w:ilvl w:val="0"/>
          <w:numId w:val="16"/>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1A5FFFCE" w14:textId="77777777" w:rsidR="00AC0043" w:rsidRDefault="00AC0043" w:rsidP="00AC0043">
      <w:pPr>
        <w:kinsoku w:val="0"/>
        <w:autoSpaceDE w:val="0"/>
        <w:autoSpaceDN w:val="0"/>
        <w:adjustRightInd w:val="0"/>
        <w:spacing w:line="200" w:lineRule="atLeast"/>
        <w:rPr>
          <w:rFonts w:eastAsia="Arial Unicode MS"/>
          <w:b/>
          <w:bCs/>
          <w:kern w:val="22"/>
          <w:szCs w:val="18"/>
        </w:rPr>
      </w:pPr>
    </w:p>
    <w:p w14:paraId="6FE53EC0"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48A53F70"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067F96EA"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67CD3FB6"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48120581"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7669FE47"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5B4CD085" w14:textId="0FE79DFD" w:rsidR="00AC0043" w:rsidRPr="00B42372"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sidR="00660148">
        <w:rPr>
          <w:rFonts w:eastAsia="Arial Unicode MS" w:cs="Tahoma"/>
          <w:kern w:val="22"/>
          <w:szCs w:val="18"/>
        </w:rPr>
        <w:t>.</w:t>
      </w:r>
    </w:p>
    <w:p w14:paraId="2CE8595B" w14:textId="77777777" w:rsidR="00AC0043" w:rsidRPr="00E8283A" w:rsidRDefault="00AC0043" w:rsidP="00AC0043">
      <w:pPr>
        <w:kinsoku w:val="0"/>
        <w:autoSpaceDE w:val="0"/>
        <w:autoSpaceDN w:val="0"/>
        <w:adjustRightInd w:val="0"/>
        <w:spacing w:line="200" w:lineRule="atLeast"/>
        <w:rPr>
          <w:rFonts w:eastAsia="Arial Unicode MS" w:cs="Tahoma"/>
          <w:color w:val="000000"/>
          <w:kern w:val="22"/>
          <w:szCs w:val="18"/>
        </w:rPr>
      </w:pPr>
    </w:p>
    <w:p w14:paraId="68B8C622" w14:textId="77777777" w:rsidR="00AC0043" w:rsidRDefault="00AC0043" w:rsidP="00AC004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AC0043" w14:paraId="0889D543"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1395EA89" w14:textId="77777777" w:rsidR="00AC0043" w:rsidRDefault="00AC0043" w:rsidP="00AC004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7953379F" w14:textId="77777777" w:rsidR="00AC0043" w:rsidRDefault="00AC0043" w:rsidP="00AC0043">
            <w:pPr>
              <w:pStyle w:val="EC-Para"/>
              <w:rPr>
                <w:lang w:eastAsia="en-US"/>
              </w:rPr>
            </w:pPr>
            <w:r>
              <w:rPr>
                <w:lang w:eastAsia="en-US"/>
              </w:rPr>
              <w:t>Comment</w:t>
            </w:r>
          </w:p>
        </w:tc>
      </w:tr>
      <w:tr w:rsidR="00AC0043" w14:paraId="5774F959"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2AC7209E" w14:textId="77777777" w:rsidR="00AC0043" w:rsidRDefault="00AC0043" w:rsidP="00AC004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343B067F" w14:textId="77777777" w:rsidR="00AC0043" w:rsidRDefault="00AC0043" w:rsidP="00AC004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AC0043" w14:paraId="7EF93E3E"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3D8EA28D" w14:textId="77777777" w:rsidR="00AC0043" w:rsidRDefault="00AC0043" w:rsidP="00AC004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23FEBF2F" w14:textId="77777777" w:rsidR="00AC0043" w:rsidRDefault="00AC0043" w:rsidP="00AC004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3AD5DE5D" w14:textId="77777777" w:rsidR="00AC0043" w:rsidRDefault="00AC0043" w:rsidP="00AC0043">
      <w:pPr>
        <w:pStyle w:val="EC-Para"/>
        <w:rPr>
          <w:lang w:eastAsia="en-US"/>
        </w:rPr>
      </w:pPr>
    </w:p>
    <w:p w14:paraId="39C069C8" w14:textId="2059022C" w:rsidR="00AC0043" w:rsidRPr="0072746F" w:rsidRDefault="00AC0043" w:rsidP="00875EB1">
      <w:pPr>
        <w:pStyle w:val="EC-Title-6"/>
      </w:pPr>
      <w:r w:rsidRPr="0072746F">
        <w:t xml:space="preserve">Data </w:t>
      </w:r>
      <w:r w:rsidRPr="00875EB1">
        <w:t>quality</w:t>
      </w:r>
    </w:p>
    <w:p w14:paraId="59EE95AF" w14:textId="44F68DE6" w:rsidR="0097253D" w:rsidRDefault="0097253D" w:rsidP="0097253D">
      <w:pPr>
        <w:autoSpaceDE w:val="0"/>
        <w:autoSpaceDN w:val="0"/>
        <w:adjustRightInd w:val="0"/>
        <w:jc w:val="both"/>
        <w:rPr>
          <w:rFonts w:eastAsia="Arial Unicode MS" w:cs="Tahoma"/>
          <w:kern w:val="22"/>
          <w:szCs w:val="18"/>
        </w:rPr>
      </w:pPr>
      <w:bookmarkStart w:id="31" w:name="_Toc437442012"/>
      <w:r w:rsidRPr="009E3B9F">
        <w:rPr>
          <w:rFonts w:eastAsia="Arial Unicode MS" w:cs="Tahoma"/>
          <w:kern w:val="22"/>
          <w:szCs w:val="18"/>
        </w:rPr>
        <w:t xml:space="preserve">EU/EEA countries reporting data on </w:t>
      </w:r>
      <w:r w:rsidR="00542AC9" w:rsidRPr="00542AC9">
        <w:rPr>
          <w:rFonts w:cs="Tahoma"/>
          <w:szCs w:val="18"/>
        </w:rPr>
        <w:t>cryptosporidiosis</w:t>
      </w:r>
      <w:r w:rsidRPr="00542AC9">
        <w:rPr>
          <w:rFonts w:cs="Tahoma"/>
          <w:szCs w:val="18"/>
        </w:rPr>
        <w:t xml:space="preserve"> </w:t>
      </w:r>
      <w:r w:rsidRPr="009E3B9F">
        <w:rPr>
          <w:rFonts w:eastAsia="Arial Unicode MS" w:cs="Tahoma"/>
          <w:kern w:val="22"/>
          <w:szCs w:val="18"/>
        </w:rPr>
        <w:t xml:space="preserve">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30F12D85" w14:textId="23C1C3CA"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Pr="00E95571">
        <w:rPr>
          <w:rFonts w:eastAsia="Arial Unicode MS" w:cs="Tahoma"/>
          <w:kern w:val="22"/>
          <w:szCs w:val="18"/>
        </w:rPr>
        <w:t xml:space="preserve">confirmed </w:t>
      </w:r>
      <w:r w:rsidR="00542AC9" w:rsidRPr="00542AC9">
        <w:rPr>
          <w:rFonts w:cs="Tahoma"/>
          <w:szCs w:val="18"/>
        </w:rPr>
        <w:t>cryptosporidiosis</w:t>
      </w:r>
      <w:r w:rsidR="00542AC9">
        <w:rPr>
          <w:rFonts w:cs="Tahoma"/>
          <w:szCs w:val="18"/>
        </w:rPr>
        <w:t xml:space="preserve"> cases</w:t>
      </w:r>
      <w:r>
        <w:rPr>
          <w:rFonts w:eastAsia="Arial Unicode MS" w:cs="Tahoma"/>
          <w:kern w:val="22"/>
          <w:szCs w:val="18"/>
        </w:rPr>
        <w:t xml:space="preserve"> are:</w:t>
      </w:r>
    </w:p>
    <w:p w14:paraId="2F6C2414" w14:textId="715D503A"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62B0E828" w14:textId="69C25B5D"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lastRenderedPageBreak/>
        <w:t>Completeness gender (%</w:t>
      </w:r>
      <w:proofErr w:type="gramStart"/>
      <w:r>
        <w:rPr>
          <w:rFonts w:eastAsia="Arial Unicode MS" w:cs="Tahoma"/>
          <w:kern w:val="22"/>
          <w:szCs w:val="18"/>
        </w:rPr>
        <w:t>);</w:t>
      </w:r>
      <w:proofErr w:type="gramEnd"/>
    </w:p>
    <w:p w14:paraId="37C73F04" w14:textId="6EAEA8FA"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71C95949" w14:textId="3847F13C"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547347BE" w14:textId="01F0BFF1"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r w:rsidR="00875EB1">
        <w:rPr>
          <w:rFonts w:eastAsia="Arial Unicode MS" w:cs="Tahoma"/>
          <w:kern w:val="22"/>
          <w:szCs w:val="18"/>
        </w:rPr>
        <w:t>.</w:t>
      </w:r>
    </w:p>
    <w:p w14:paraId="32FB4554" w14:textId="77777777" w:rsidR="009D4D86" w:rsidRDefault="009D4D86" w:rsidP="009D4D86">
      <w:pPr>
        <w:pStyle w:val="ListParagraph"/>
        <w:autoSpaceDE w:val="0"/>
        <w:autoSpaceDN w:val="0"/>
        <w:adjustRightInd w:val="0"/>
        <w:jc w:val="both"/>
        <w:rPr>
          <w:rFonts w:eastAsia="Arial Unicode MS" w:cs="Tahoma"/>
          <w:kern w:val="22"/>
          <w:szCs w:val="18"/>
        </w:rPr>
      </w:pPr>
    </w:p>
    <w:p w14:paraId="6091F3D1" w14:textId="18F12DCE" w:rsidR="00AC0043" w:rsidRDefault="00AC0043" w:rsidP="00AC0043">
      <w:pPr>
        <w:pStyle w:val="EC-Title-6"/>
        <w:outlineLvl w:val="1"/>
        <w:rPr>
          <w:rFonts w:cs="Tahoma"/>
        </w:rPr>
      </w:pPr>
      <w:r w:rsidRPr="00C82DDE">
        <w:rPr>
          <w:rFonts w:cs="Tahoma"/>
        </w:rPr>
        <w:t>Interpretation</w:t>
      </w:r>
      <w:bookmarkEnd w:id="31"/>
      <w:r w:rsidRPr="00C82DDE">
        <w:rPr>
          <w:rFonts w:cs="Tahoma"/>
        </w:rPr>
        <w:t xml:space="preserve"> </w:t>
      </w:r>
    </w:p>
    <w:p w14:paraId="5A4388B8" w14:textId="0F450D88" w:rsidR="00AC0043" w:rsidRDefault="00AC0043" w:rsidP="00AC0043">
      <w:pPr>
        <w:pStyle w:val="EC-Para"/>
        <w:jc w:val="both"/>
        <w:rPr>
          <w:rFonts w:cs="Tahoma"/>
        </w:rPr>
      </w:pPr>
      <w:r w:rsidRPr="00D45E3C">
        <w:rPr>
          <w:rFonts w:eastAsiaTheme="minorHAnsi" w:cs="Tahoma"/>
          <w:lang w:eastAsia="en-US"/>
        </w:rPr>
        <w:t xml:space="preserve">The results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 and so does</w:t>
      </w:r>
      <w:r w:rsidRPr="00D45E3C">
        <w:rPr>
          <w:rFonts w:cs="Tahoma"/>
        </w:rPr>
        <w:t xml:space="preserve"> t</w:t>
      </w:r>
      <w:r>
        <w:rPr>
          <w:rFonts w:cs="Tahoma"/>
        </w:rPr>
        <w:t xml:space="preserve">he </w:t>
      </w:r>
      <w:r w:rsidR="00047428">
        <w:rPr>
          <w:rFonts w:cs="Tahoma"/>
        </w:rPr>
        <w:t xml:space="preserve">number </w:t>
      </w:r>
      <w:r>
        <w:rPr>
          <w:rFonts w:cs="Tahoma"/>
        </w:rPr>
        <w:t>of samples tested</w:t>
      </w:r>
      <w:r w:rsidRPr="00D45E3C">
        <w:rPr>
          <w:rFonts w:cs="Tahoma"/>
        </w:rPr>
        <w:t xml:space="preserve">. </w:t>
      </w:r>
    </w:p>
    <w:p w14:paraId="4E44C3D2" w14:textId="1E07A5A8" w:rsidR="001F4158" w:rsidRDefault="00701B5C" w:rsidP="00D700E5">
      <w:pPr>
        <w:pStyle w:val="EC-Para"/>
        <w:jc w:val="both"/>
      </w:pPr>
      <w:r w:rsidRPr="00DF586A">
        <w:t xml:space="preserve">The notification of cryptosporidiosis is mandatory in </w:t>
      </w:r>
      <w:r w:rsidR="00E473A3">
        <w:t>2</w:t>
      </w:r>
      <w:r w:rsidR="009424C2">
        <w:t>3</w:t>
      </w:r>
      <w:r w:rsidRPr="00DF586A">
        <w:t xml:space="preserve"> EU</w:t>
      </w:r>
      <w:r w:rsidR="00875EB1">
        <w:t>/EEA</w:t>
      </w:r>
      <w:r w:rsidRPr="00DF586A">
        <w:t xml:space="preserve"> </w:t>
      </w:r>
      <w:r w:rsidR="00C0404A">
        <w:t>countries</w:t>
      </w:r>
      <w:r w:rsidR="00DF586A" w:rsidRPr="00DF586A">
        <w:t xml:space="preserve">. In </w:t>
      </w:r>
      <w:r w:rsidR="009424C2">
        <w:t>three</w:t>
      </w:r>
      <w:r w:rsidRPr="00DF586A">
        <w:t xml:space="preserve"> </w:t>
      </w:r>
      <w:r w:rsidR="00C0404A">
        <w:t>countries</w:t>
      </w:r>
      <w:r w:rsidR="00D700E5">
        <w:t xml:space="preserve"> </w:t>
      </w:r>
      <w:r w:rsidR="00E473A3" w:rsidRPr="00DF586A">
        <w:t>(Belgium</w:t>
      </w:r>
      <w:r w:rsidR="00021AD0">
        <w:t>, France</w:t>
      </w:r>
      <w:r w:rsidR="00E473A3">
        <w:t xml:space="preserve"> and Greece</w:t>
      </w:r>
      <w:r w:rsidR="00E473A3" w:rsidRPr="00DF586A">
        <w:t>)</w:t>
      </w:r>
      <w:r w:rsidR="00DF586A" w:rsidRPr="00DF586A">
        <w:t xml:space="preserve"> the</w:t>
      </w:r>
      <w:r w:rsidRPr="00DF586A">
        <w:t xml:space="preserve"> notification is voluntary. </w:t>
      </w:r>
      <w:r w:rsidR="003E79C5">
        <w:rPr>
          <w:rFonts w:cs="Tahoma"/>
        </w:rPr>
        <w:t xml:space="preserve">France and Italy report cryptosporidiosis data from 2023 onwards. </w:t>
      </w:r>
      <w:r w:rsidR="00763FC6" w:rsidRPr="00DF586A">
        <w:t>No surveillance system exists in</w:t>
      </w:r>
      <w:r w:rsidR="007836E6">
        <w:t xml:space="preserve"> </w:t>
      </w:r>
      <w:r w:rsidR="00763FC6" w:rsidRPr="00DF586A">
        <w:t>Austria, Denmark</w:t>
      </w:r>
      <w:proofErr w:type="gramStart"/>
      <w:r w:rsidR="00763FC6" w:rsidRPr="00DF586A">
        <w:t xml:space="preserve">, </w:t>
      </w:r>
      <w:r w:rsidR="002C0C66">
        <w:t>,</w:t>
      </w:r>
      <w:proofErr w:type="gramEnd"/>
      <w:r w:rsidR="002C0C66">
        <w:t xml:space="preserve"> Liechtenstein</w:t>
      </w:r>
      <w:r w:rsidR="002C0C66" w:rsidRPr="00DF586A">
        <w:t xml:space="preserve"> </w:t>
      </w:r>
      <w:r w:rsidR="002C0C66">
        <w:t xml:space="preserve">and </w:t>
      </w:r>
      <w:r w:rsidR="00C772AF" w:rsidRPr="00DF586A">
        <w:t>the Netherlands</w:t>
      </w:r>
      <w:r w:rsidR="00763FC6" w:rsidRPr="00DF586A">
        <w:t xml:space="preserve">. </w:t>
      </w:r>
      <w:r w:rsidRPr="00DF586A">
        <w:t xml:space="preserve">The surveillance systems for </w:t>
      </w:r>
      <w:r w:rsidR="00DF586A" w:rsidRPr="00DF586A">
        <w:t xml:space="preserve">cryptosporidiosis </w:t>
      </w:r>
      <w:r w:rsidRPr="00DF586A">
        <w:t>have full national coverage</w:t>
      </w:r>
      <w:r w:rsidR="00E473A3">
        <w:t xml:space="preserve"> in all reporting countries</w:t>
      </w:r>
      <w:r w:rsidRPr="00DF586A">
        <w:t xml:space="preserve"> </w:t>
      </w:r>
      <w:r w:rsidR="00DF586A" w:rsidRPr="00DF586A">
        <w:t xml:space="preserve">except </w:t>
      </w:r>
      <w:r w:rsidR="00E96D27">
        <w:t>in</w:t>
      </w:r>
      <w:r w:rsidR="00DF586A" w:rsidRPr="00DF586A">
        <w:t xml:space="preserve"> Spain</w:t>
      </w:r>
      <w:r w:rsidR="001A1039">
        <w:t xml:space="preserve"> and no information </w:t>
      </w:r>
      <w:r w:rsidR="00192E52">
        <w:t>on coverage from France</w:t>
      </w:r>
      <w:r w:rsidRPr="00DF586A">
        <w:t>.</w:t>
      </w:r>
      <w:r w:rsidR="006F1520" w:rsidRPr="007B34B1">
        <w:rPr>
          <w:rFonts w:cs="Tahoma"/>
        </w:rPr>
        <w:t xml:space="preserve"> </w:t>
      </w:r>
      <w:r w:rsidR="0035024E">
        <w:rPr>
          <w:rFonts w:cs="Tahoma"/>
        </w:rPr>
        <w:t xml:space="preserve">For 2020, not all regions in Spain have reported and case numbers </w:t>
      </w:r>
      <w:r w:rsidR="0035024E" w:rsidRPr="0031626F">
        <w:rPr>
          <w:rFonts w:cs="Tahoma"/>
        </w:rPr>
        <w:t xml:space="preserve">might therefore </w:t>
      </w:r>
      <w:r w:rsidR="0035024E">
        <w:rPr>
          <w:rFonts w:cs="Tahoma"/>
        </w:rPr>
        <w:t xml:space="preserve">be lower than expected. </w:t>
      </w:r>
      <w:r w:rsidR="0035024E" w:rsidRPr="00E23A35">
        <w:t xml:space="preserve">The coverage of the surveillance system </w:t>
      </w:r>
      <w:r w:rsidR="0035024E" w:rsidRPr="000378C4">
        <w:t xml:space="preserve">in </w:t>
      </w:r>
      <w:r w:rsidR="0035024E">
        <w:t xml:space="preserve">2023 and in </w:t>
      </w:r>
      <w:r w:rsidR="0035024E" w:rsidRPr="000378C4">
        <w:t>2021-2022 is estimated to be 9</w:t>
      </w:r>
      <w:r w:rsidR="0035024E">
        <w:t>2</w:t>
      </w:r>
      <w:r w:rsidR="0035024E" w:rsidRPr="0095399E">
        <w:t xml:space="preserve">% </w:t>
      </w:r>
      <w:r w:rsidR="0035024E">
        <w:t xml:space="preserve">and 91%, respectively </w:t>
      </w:r>
      <w:r w:rsidR="0035024E" w:rsidRPr="0095399E">
        <w:t>in in Spain. Th</w:t>
      </w:r>
      <w:r w:rsidR="0035024E">
        <w:t>ese</w:t>
      </w:r>
      <w:r w:rsidR="0035024E" w:rsidRPr="00E23A35">
        <w:t xml:space="preserve"> proportion</w:t>
      </w:r>
      <w:r w:rsidR="0035024E">
        <w:t>s</w:t>
      </w:r>
      <w:r w:rsidR="0035024E" w:rsidRPr="00E23A35">
        <w:t xml:space="preserve"> w</w:t>
      </w:r>
      <w:r w:rsidR="0035024E">
        <w:t xml:space="preserve">ere </w:t>
      </w:r>
      <w:r w:rsidR="0035024E" w:rsidRPr="00E23A35">
        <w:t>used when calculating notification rate</w:t>
      </w:r>
      <w:r w:rsidR="0035024E">
        <w:t>s for these years</w:t>
      </w:r>
      <w:r w:rsidR="0035024E" w:rsidRPr="00420717">
        <w:t xml:space="preserve">. </w:t>
      </w:r>
      <w:r w:rsidR="0035024E">
        <w:rPr>
          <w:rFonts w:cs="Tahoma"/>
        </w:rPr>
        <w:t xml:space="preserve">No estimate of population coverage in Spain was provided prior 2021, so notification rates were not calculated. </w:t>
      </w:r>
      <w:r w:rsidR="00B810E3">
        <w:rPr>
          <w:rFonts w:cs="Tahoma"/>
        </w:rPr>
        <w:t xml:space="preserve">In Belgium, full national coverage was established in 2015 and rates before this date are not displayed. </w:t>
      </w:r>
      <w:r w:rsidR="00D700E5">
        <w:t xml:space="preserve">In the Netherlands, </w:t>
      </w:r>
      <w:r w:rsidR="00D700E5" w:rsidRPr="00D700E5">
        <w:t>a crypto</w:t>
      </w:r>
      <w:r w:rsidR="00D700E5">
        <w:t>sporidiosis project</w:t>
      </w:r>
      <w:r w:rsidR="00D700E5" w:rsidRPr="00D700E5">
        <w:t xml:space="preserve"> was </w:t>
      </w:r>
      <w:r w:rsidR="0035024E" w:rsidRPr="00D700E5">
        <w:t>performed,</w:t>
      </w:r>
      <w:r w:rsidR="00D700E5" w:rsidRPr="00D700E5">
        <w:t xml:space="preserve"> and available data </w:t>
      </w:r>
      <w:r w:rsidR="00D700E5">
        <w:t xml:space="preserve">was </w:t>
      </w:r>
      <w:r w:rsidR="00D700E5" w:rsidRPr="00D700E5">
        <w:t>reported to ECDC</w:t>
      </w:r>
      <w:r w:rsidR="001F4158">
        <w:t xml:space="preserve"> from</w:t>
      </w:r>
      <w:r w:rsidR="001F4158" w:rsidRPr="00D700E5">
        <w:t xml:space="preserve"> 2013</w:t>
      </w:r>
      <w:r w:rsidR="001F4158">
        <w:t xml:space="preserve"> to </w:t>
      </w:r>
      <w:r w:rsidR="00D55AD2">
        <w:t>2018</w:t>
      </w:r>
      <w:r w:rsidR="00D700E5" w:rsidRPr="00D700E5">
        <w:t xml:space="preserve">. </w:t>
      </w:r>
      <w:r w:rsidR="001F4158">
        <w:t xml:space="preserve">Greece reports data on laboratory-confirmed cases collected from </w:t>
      </w:r>
      <w:r w:rsidR="001F4158" w:rsidRPr="00805F81">
        <w:t>public hospitals from 2018 onwards.</w:t>
      </w:r>
      <w:r w:rsidR="001F4158">
        <w:t xml:space="preserve"> In Luxembourg in 2020, t</w:t>
      </w:r>
      <w:r w:rsidR="001F4158" w:rsidRPr="00C065A2">
        <w:t>he notification system changed to include all electronic laboratory reports</w:t>
      </w:r>
      <w:r w:rsidR="001F4158">
        <w:t xml:space="preserve"> and not only reports from general practitioners and this change resulted in a major increase in cases.</w:t>
      </w:r>
      <w:r w:rsidR="001F4158" w:rsidRPr="00C065A2">
        <w:t xml:space="preserve"> </w:t>
      </w:r>
    </w:p>
    <w:p w14:paraId="32B14C88" w14:textId="106C95DD" w:rsidR="00D700E5" w:rsidRDefault="00D700E5" w:rsidP="00D700E5">
      <w:pPr>
        <w:pStyle w:val="EC-Para"/>
        <w:jc w:val="both"/>
        <w:rPr>
          <w:rFonts w:cs="Tahoma"/>
          <w:lang w:eastAsia="en-US"/>
        </w:rPr>
      </w:pPr>
      <w:r w:rsidRPr="00194CB8">
        <w:t xml:space="preserve">All reporting countries </w:t>
      </w:r>
      <w:r w:rsidRPr="00194CB8">
        <w:rPr>
          <w:lang w:eastAsia="en-US"/>
        </w:rPr>
        <w:t xml:space="preserve">report case-based data except </w:t>
      </w:r>
      <w:r>
        <w:rPr>
          <w:lang w:eastAsia="en-US"/>
        </w:rPr>
        <w:t xml:space="preserve">Belgium, Bulgaria, and Greece </w:t>
      </w:r>
      <w:r w:rsidRPr="00194CB8">
        <w:t>which report</w:t>
      </w:r>
      <w:r>
        <w:t>s</w:t>
      </w:r>
      <w:r w:rsidRPr="00194CB8">
        <w:t xml:space="preserve"> aggregate data. </w:t>
      </w:r>
      <w:r w:rsidR="00BB2FEF">
        <w:t>Aggregated</w:t>
      </w:r>
      <w:r w:rsidR="00BB2FEF" w:rsidRPr="004C1587">
        <w:t xml:space="preserve"> reporting format</w:t>
      </w:r>
      <w:r w:rsidR="00C96C10">
        <w:t xml:space="preserve"> was</w:t>
      </w:r>
      <w:r w:rsidR="00BB2FEF" w:rsidRPr="004C1587">
        <w:t xml:space="preserve"> included to calculate numbers of cases</w:t>
      </w:r>
      <w:r w:rsidR="00BB2FEF">
        <w:t xml:space="preserve"> and </w:t>
      </w:r>
      <w:r w:rsidR="00BB2FEF" w:rsidRPr="004C1587">
        <w:t xml:space="preserve">notification rates, </w:t>
      </w:r>
      <w:r w:rsidR="00BB2FEF">
        <w:t xml:space="preserve">as well as </w:t>
      </w:r>
      <w:r w:rsidR="00BB2FEF" w:rsidRPr="004C1587">
        <w:t xml:space="preserve">disease trends, </w:t>
      </w:r>
      <w:r w:rsidR="00BB2FEF">
        <w:t>a</w:t>
      </w:r>
      <w:r w:rsidR="00BB2FEF" w:rsidRPr="004C1587">
        <w:t>ge and gender distributions</w:t>
      </w:r>
      <w:r w:rsidR="00BB2FEF">
        <w:t xml:space="preserve"> when this data was available</w:t>
      </w:r>
      <w:r w:rsidR="00BB2FEF" w:rsidRPr="004C1587">
        <w:t>.</w:t>
      </w:r>
    </w:p>
    <w:p w14:paraId="72809CA6" w14:textId="336A9603" w:rsidR="00C065A2" w:rsidRDefault="00D700E5" w:rsidP="00C065A2">
      <w:pPr>
        <w:pStyle w:val="EC-Para"/>
        <w:jc w:val="both"/>
        <w:rPr>
          <w:rFonts w:cs="Tahoma"/>
          <w:lang w:eastAsia="en-US"/>
        </w:rPr>
      </w:pPr>
      <w:r>
        <w:rPr>
          <w:rFonts w:cs="Tahoma"/>
        </w:rPr>
        <w:t>T</w:t>
      </w:r>
      <w:r w:rsidR="00C065A2" w:rsidRPr="002E0B1E">
        <w:rPr>
          <w:rFonts w:cs="Tahoma"/>
        </w:rPr>
        <w:t xml:space="preserve">he COVID-19 pandemic </w:t>
      </w:r>
      <w:r w:rsidR="00C065A2">
        <w:rPr>
          <w:rFonts w:cs="Tahoma"/>
        </w:rPr>
        <w:t xml:space="preserve">resulted in a significant drop in cases </w:t>
      </w:r>
      <w:r w:rsidR="00C065A2" w:rsidRPr="002E0B1E">
        <w:rPr>
          <w:rFonts w:cs="Tahoma"/>
        </w:rPr>
        <w:t>in 2020</w:t>
      </w:r>
      <w:r w:rsidR="009B1B74">
        <w:rPr>
          <w:rFonts w:cs="Tahoma"/>
        </w:rPr>
        <w:t>-2021</w:t>
      </w:r>
      <w:r w:rsidR="001F4158">
        <w:rPr>
          <w:rFonts w:cs="Tahoma"/>
        </w:rPr>
        <w:t xml:space="preserve"> at the EU level</w:t>
      </w:r>
      <w:r w:rsidR="00C065A2" w:rsidRPr="002E0B1E">
        <w:rPr>
          <w:rFonts w:cs="Tahoma"/>
        </w:rPr>
        <w:t xml:space="preserve">. </w:t>
      </w:r>
      <w:r w:rsidR="00C065A2">
        <w:rPr>
          <w:rFonts w:cs="Tahoma"/>
        </w:rPr>
        <w:t xml:space="preserve">Reasons for this could be due to less travel due to travel restrictions, </w:t>
      </w:r>
      <w:r w:rsidR="00C065A2" w:rsidRPr="002E0B1E">
        <w:rPr>
          <w:rFonts w:cs="Tahoma"/>
        </w:rPr>
        <w:t xml:space="preserve">people avoiding </w:t>
      </w:r>
      <w:r w:rsidR="00D151F8" w:rsidRPr="002E0B1E">
        <w:rPr>
          <w:rFonts w:cs="Tahoma"/>
        </w:rPr>
        <w:t>seeking</w:t>
      </w:r>
      <w:r w:rsidR="00C065A2" w:rsidRPr="002E0B1E">
        <w:rPr>
          <w:rFonts w:cs="Tahoma"/>
        </w:rPr>
        <w:t xml:space="preserve"> medical care for mild symptoms </w:t>
      </w:r>
      <w:r w:rsidR="00C065A2" w:rsidRPr="001C4E99">
        <w:rPr>
          <w:rFonts w:cs="Tahoma"/>
        </w:rPr>
        <w:t>due to risk of exposure to COVID-19 in health care facilities</w:t>
      </w:r>
      <w:r w:rsidR="00C065A2">
        <w:rPr>
          <w:rFonts w:cs="Tahoma"/>
        </w:rPr>
        <w:t xml:space="preserve">, </w:t>
      </w:r>
      <w:r w:rsidR="00C065A2" w:rsidRPr="002E0B1E">
        <w:rPr>
          <w:rFonts w:cs="Tahoma"/>
        </w:rPr>
        <w:t xml:space="preserve">limited </w:t>
      </w:r>
      <w:r w:rsidR="00C065A2">
        <w:rPr>
          <w:rFonts w:cs="Tahoma"/>
        </w:rPr>
        <w:t>laboratory capacity due to reallocation of resources to SARS-CoV-2 and regions not having sufficient resources to report data to the national level.</w:t>
      </w:r>
    </w:p>
    <w:p w14:paraId="2129BAD3" w14:textId="77777777" w:rsidR="009D4D86" w:rsidRDefault="00AC0043" w:rsidP="00AC0043">
      <w:pPr>
        <w:pStyle w:val="EC-Para"/>
        <w:jc w:val="both"/>
        <w:rPr>
          <w:rFonts w:cs="Tahoma"/>
          <w:lang w:eastAsia="en-US"/>
        </w:rPr>
      </w:pPr>
      <w:r w:rsidRPr="00EA31E5">
        <w:rPr>
          <w:rFonts w:cs="Tahoma"/>
          <w:lang w:eastAsia="en-US"/>
        </w:rPr>
        <w:t>The completeness of some variable</w:t>
      </w:r>
      <w:r>
        <w:rPr>
          <w:rFonts w:cs="Tahoma"/>
          <w:lang w:eastAsia="en-US"/>
        </w:rPr>
        <w:t xml:space="preserve">s such as </w:t>
      </w:r>
      <w:r w:rsidRPr="00EA31E5">
        <w:rPr>
          <w:rFonts w:cs="Tahoma"/>
          <w:lang w:eastAsia="en-US"/>
        </w:rPr>
        <w:t xml:space="preserve">outcome or </w:t>
      </w:r>
      <w:r>
        <w:rPr>
          <w:rFonts w:cs="Tahoma"/>
          <w:lang w:eastAsia="en-US"/>
        </w:rPr>
        <w:t xml:space="preserve">travel history </w:t>
      </w:r>
      <w:r w:rsidRPr="00EA31E5">
        <w:rPr>
          <w:rFonts w:cs="Tahoma"/>
          <w:lang w:eastAsia="en-US"/>
        </w:rPr>
        <w:t>var</w:t>
      </w:r>
      <w:r>
        <w:rPr>
          <w:rFonts w:cs="Tahoma"/>
          <w:lang w:eastAsia="en-US"/>
        </w:rPr>
        <w:t>ies</w:t>
      </w:r>
      <w:r w:rsidRPr="00EA31E5">
        <w:rPr>
          <w:rFonts w:cs="Tahoma"/>
          <w:lang w:eastAsia="en-US"/>
        </w:rPr>
        <w:t xml:space="preserve"> between countries and years; some countries </w:t>
      </w:r>
      <w:proofErr w:type="gramStart"/>
      <w:r w:rsidRPr="00EA31E5">
        <w:rPr>
          <w:rFonts w:cs="Tahoma"/>
          <w:lang w:eastAsia="en-US"/>
        </w:rPr>
        <w:t>are able to</w:t>
      </w:r>
      <w:proofErr w:type="gramEnd"/>
      <w:r w:rsidRPr="00EA31E5">
        <w:rPr>
          <w:rFonts w:cs="Tahoma"/>
          <w:lang w:eastAsia="en-US"/>
        </w:rPr>
        <w:t xml:space="preserve"> collect and integrate this type of information from different sources, other countries are not.</w:t>
      </w:r>
    </w:p>
    <w:p w14:paraId="6BE0D4FB" w14:textId="39703839" w:rsidR="00AC0043" w:rsidRPr="00EA31E5" w:rsidRDefault="00AC0043" w:rsidP="00AC0043">
      <w:pPr>
        <w:pStyle w:val="EC-Para"/>
        <w:jc w:val="both"/>
        <w:rPr>
          <w:rFonts w:cs="Tahoma"/>
          <w:lang w:eastAsia="en-US"/>
        </w:rPr>
      </w:pPr>
      <w:r w:rsidRPr="00EA31E5">
        <w:rPr>
          <w:rFonts w:cs="Tahoma"/>
          <w:lang w:eastAsia="en-US"/>
        </w:rPr>
        <w:t xml:space="preserve"> </w:t>
      </w:r>
    </w:p>
    <w:p w14:paraId="2B578EBB" w14:textId="77777777" w:rsidR="00AC0043" w:rsidRDefault="00AC0043" w:rsidP="009F5B73">
      <w:pPr>
        <w:pStyle w:val="EC-Title-6"/>
        <w:outlineLvl w:val="1"/>
        <w:rPr>
          <w:rFonts w:cs="Tahoma"/>
          <w:color w:val="FF0000"/>
          <w:sz w:val="20"/>
          <w:szCs w:val="20"/>
        </w:rPr>
      </w:pPr>
      <w:r>
        <w:t>Reports published by ECDC on cryptosporidiosis</w:t>
      </w:r>
    </w:p>
    <w:p w14:paraId="590B64FD" w14:textId="77777777" w:rsidR="00AC0043" w:rsidRDefault="00AC0043" w:rsidP="00AC0043">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59939D76" w14:textId="3481E6C4" w:rsidR="00A51BAC" w:rsidRPr="00E62D31" w:rsidRDefault="00A51BAC" w:rsidP="009578FE">
      <w:pPr>
        <w:pStyle w:val="EC-Para"/>
        <w:spacing w:after="0"/>
        <w:rPr>
          <w:rFonts w:eastAsiaTheme="minorHAnsi" w:cs="Tahoma"/>
          <w:b/>
          <w:lang w:eastAsia="en-US"/>
        </w:rPr>
      </w:pPr>
      <w:r w:rsidRPr="00E62D31">
        <w:rPr>
          <w:rFonts w:eastAsiaTheme="minorHAnsi" w:cs="Tahoma"/>
          <w:b/>
          <w:lang w:eastAsia="en-US"/>
        </w:rPr>
        <w:t xml:space="preserve">Annual epidemiological report </w:t>
      </w:r>
      <w:r w:rsidR="007F0DDF" w:rsidRPr="00E62D31">
        <w:rPr>
          <w:rFonts w:eastAsiaTheme="minorHAnsi" w:cs="Tahoma"/>
          <w:b/>
          <w:lang w:eastAsia="en-US"/>
        </w:rPr>
        <w:t>for 20</w:t>
      </w:r>
      <w:r w:rsidR="00AF7219" w:rsidRPr="00E62D31">
        <w:rPr>
          <w:rFonts w:eastAsiaTheme="minorHAnsi" w:cs="Tahoma"/>
          <w:b/>
          <w:lang w:eastAsia="en-US"/>
        </w:rPr>
        <w:t>21</w:t>
      </w:r>
      <w:r w:rsidRPr="00E62D31">
        <w:rPr>
          <w:rFonts w:eastAsiaTheme="minorHAnsi" w:cs="Tahoma"/>
          <w:b/>
          <w:lang w:eastAsia="en-US"/>
        </w:rPr>
        <w:t xml:space="preserve"> – </w:t>
      </w:r>
      <w:r w:rsidR="007F0DDF" w:rsidRPr="00E62D31">
        <w:rPr>
          <w:rFonts w:eastAsiaTheme="minorHAnsi" w:cs="Tahoma"/>
          <w:b/>
          <w:lang w:eastAsia="en-US"/>
        </w:rPr>
        <w:t>Cryptosporidiosis</w:t>
      </w:r>
      <w:r w:rsidRPr="00E62D31">
        <w:rPr>
          <w:rFonts w:eastAsiaTheme="minorHAnsi" w:cs="Tahoma"/>
          <w:b/>
          <w:lang w:eastAsia="en-US"/>
        </w:rPr>
        <w:t>:</w:t>
      </w:r>
    </w:p>
    <w:p w14:paraId="7EE5D67E" w14:textId="009E3675" w:rsidR="00E36904" w:rsidRPr="007A1F37" w:rsidRDefault="00000000" w:rsidP="009578FE">
      <w:pPr>
        <w:pStyle w:val="EC-Para"/>
        <w:spacing w:after="0"/>
      </w:pPr>
      <w:hyperlink r:id="rId33" w:history="1">
        <w:r w:rsidR="007A1F37" w:rsidRPr="00E62D31">
          <w:rPr>
            <w:rStyle w:val="Hyperlink"/>
            <w:sz w:val="18"/>
          </w:rPr>
          <w:t>Cryptosporidiosis – Annual Epidemiological Report 2021 (europa.eu)</w:t>
        </w:r>
      </w:hyperlink>
      <w:hyperlink w:history="1"/>
    </w:p>
    <w:p w14:paraId="5E0B1A21" w14:textId="2F428BE0" w:rsidR="003E7F52" w:rsidRDefault="00124851" w:rsidP="009578FE">
      <w:pPr>
        <w:pStyle w:val="EC-Para"/>
        <w:spacing w:after="0"/>
        <w:rPr>
          <w:rStyle w:val="Hyperlink"/>
        </w:rPr>
      </w:pPr>
      <w:r>
        <w:rPr>
          <w:rStyle w:val="Hyperlink"/>
        </w:rPr>
        <w:t xml:space="preserve"> </w:t>
      </w:r>
    </w:p>
    <w:p w14:paraId="26FCD589" w14:textId="77777777" w:rsidR="003E7F52" w:rsidRDefault="003E7F52">
      <w:pPr>
        <w:rPr>
          <w:rStyle w:val="Hyperlink"/>
          <w:rFonts w:eastAsia="Arial Unicode MS" w:cs="Times New Roman"/>
          <w:kern w:val="22"/>
          <w:szCs w:val="18"/>
          <w:lang w:eastAsia="ko-KR"/>
        </w:rPr>
      </w:pPr>
      <w:r>
        <w:rPr>
          <w:rStyle w:val="Hyperlink"/>
        </w:rPr>
        <w:br w:type="page"/>
      </w:r>
    </w:p>
    <w:p w14:paraId="5B1C760A" w14:textId="72E25269" w:rsidR="000F5241" w:rsidRPr="000F5241" w:rsidRDefault="00AC0043" w:rsidP="000F5241">
      <w:pPr>
        <w:pStyle w:val="EC-Title-6"/>
        <w:outlineLvl w:val="1"/>
      </w:pPr>
      <w:r>
        <w:lastRenderedPageBreak/>
        <w:t>Annex 1.</w:t>
      </w:r>
      <w:r w:rsidR="007A332C">
        <w:t xml:space="preserve"> </w:t>
      </w:r>
      <w:r>
        <w:t xml:space="preserve">Surveillance systems overview, </w:t>
      </w:r>
      <w:r w:rsidR="00110AC8">
        <w:t>202</w:t>
      </w:r>
      <w:r w:rsidR="00560A60">
        <w:t>3</w:t>
      </w:r>
    </w:p>
    <w:tbl>
      <w:tblPr>
        <w:tblW w:w="9738" w:type="dxa"/>
        <w:tblInd w:w="-5" w:type="dxa"/>
        <w:tblLook w:val="04A0" w:firstRow="1" w:lastRow="0" w:firstColumn="1" w:lastColumn="0" w:noHBand="0" w:noVBand="1"/>
      </w:tblPr>
      <w:tblGrid>
        <w:gridCol w:w="1220"/>
        <w:gridCol w:w="2575"/>
        <w:gridCol w:w="570"/>
        <w:gridCol w:w="570"/>
        <w:gridCol w:w="570"/>
        <w:gridCol w:w="570"/>
        <w:gridCol w:w="570"/>
        <w:gridCol w:w="570"/>
        <w:gridCol w:w="570"/>
        <w:gridCol w:w="570"/>
        <w:gridCol w:w="1383"/>
      </w:tblGrid>
      <w:tr w:rsidR="00D70C92" w:rsidRPr="006431D0" w14:paraId="2C9D32A3" w14:textId="77777777" w:rsidTr="00BD5169">
        <w:trPr>
          <w:trHeight w:val="293"/>
        </w:trPr>
        <w:tc>
          <w:tcPr>
            <w:tcW w:w="122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192D739F" w14:textId="77777777" w:rsidR="00613DEC" w:rsidRPr="006431D0" w:rsidRDefault="00613DEC" w:rsidP="00613DEC">
            <w:pPr>
              <w:rPr>
                <w:rFonts w:eastAsia="Times New Roman" w:cs="Tahoma"/>
                <w:b/>
                <w:bCs/>
                <w:color w:val="FFFFFF"/>
                <w:sz w:val="14"/>
                <w:szCs w:val="14"/>
                <w:lang w:eastAsia="en-GB"/>
              </w:rPr>
            </w:pPr>
            <w:r w:rsidRPr="006431D0">
              <w:rPr>
                <w:rFonts w:eastAsia="Times New Roman" w:cs="Tahoma"/>
                <w:b/>
                <w:bCs/>
                <w:color w:val="FFFFFF"/>
                <w:sz w:val="14"/>
                <w:szCs w:val="14"/>
                <w:lang w:eastAsia="en-GB"/>
              </w:rPr>
              <w:t>Country</w:t>
            </w:r>
          </w:p>
        </w:tc>
        <w:tc>
          <w:tcPr>
            <w:tcW w:w="2575"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7FB96C21" w14:textId="77777777" w:rsidR="00613DEC" w:rsidRPr="006431D0" w:rsidRDefault="00613DEC" w:rsidP="00613DEC">
            <w:pPr>
              <w:rPr>
                <w:rFonts w:eastAsia="Times New Roman" w:cs="Tahoma"/>
                <w:b/>
                <w:bCs/>
                <w:color w:val="FFFFFF"/>
                <w:sz w:val="14"/>
                <w:szCs w:val="14"/>
                <w:lang w:eastAsia="en-GB"/>
              </w:rPr>
            </w:pPr>
            <w:r w:rsidRPr="006431D0">
              <w:rPr>
                <w:rFonts w:eastAsia="Times New Roman" w:cs="Tahoma"/>
                <w:b/>
                <w:bCs/>
                <w:color w:val="FFFFFF"/>
                <w:sz w:val="14"/>
                <w:szCs w:val="14"/>
                <w:lang w:eastAsia="en-GB"/>
              </w:rPr>
              <w:t>Data source</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0776383C" w14:textId="77777777" w:rsidR="00613DEC" w:rsidRPr="006431D0" w:rsidRDefault="00613DEC" w:rsidP="00613DEC">
            <w:pPr>
              <w:jc w:val="center"/>
              <w:rPr>
                <w:rFonts w:eastAsia="Times New Roman" w:cs="Tahoma"/>
                <w:b/>
                <w:bCs/>
                <w:color w:val="FFFFFF"/>
                <w:sz w:val="14"/>
                <w:szCs w:val="14"/>
                <w:lang w:eastAsia="en-GB"/>
              </w:rPr>
            </w:pPr>
            <w:r w:rsidRPr="006431D0">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5D580E37" w14:textId="77777777" w:rsidR="00613DEC" w:rsidRPr="006431D0" w:rsidRDefault="00613DEC" w:rsidP="00613DEC">
            <w:pPr>
              <w:jc w:val="center"/>
              <w:rPr>
                <w:rFonts w:eastAsia="Times New Roman" w:cs="Tahoma"/>
                <w:b/>
                <w:bCs/>
                <w:color w:val="FFFFFF"/>
                <w:sz w:val="14"/>
                <w:szCs w:val="14"/>
                <w:lang w:eastAsia="en-GB"/>
              </w:rPr>
            </w:pPr>
            <w:r w:rsidRPr="006431D0">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6264B92" w14:textId="77777777" w:rsidR="00613DEC" w:rsidRPr="006431D0" w:rsidRDefault="00613DEC" w:rsidP="00613DEC">
            <w:pPr>
              <w:jc w:val="center"/>
              <w:rPr>
                <w:rFonts w:eastAsia="Times New Roman" w:cs="Tahoma"/>
                <w:b/>
                <w:bCs/>
                <w:color w:val="FFFFFF"/>
                <w:sz w:val="14"/>
                <w:szCs w:val="14"/>
                <w:lang w:eastAsia="en-GB"/>
              </w:rPr>
            </w:pPr>
            <w:r w:rsidRPr="006431D0">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562DCF9E" w14:textId="77777777" w:rsidR="00613DEC" w:rsidRPr="006431D0" w:rsidRDefault="00613DEC" w:rsidP="00613DEC">
            <w:pPr>
              <w:jc w:val="center"/>
              <w:rPr>
                <w:rFonts w:eastAsia="Times New Roman" w:cs="Tahoma"/>
                <w:b/>
                <w:bCs/>
                <w:color w:val="FFFFFF"/>
                <w:sz w:val="14"/>
                <w:szCs w:val="14"/>
                <w:lang w:eastAsia="en-GB"/>
              </w:rPr>
            </w:pPr>
            <w:r w:rsidRPr="006431D0">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3682C75A" w14:textId="77777777" w:rsidR="00613DEC" w:rsidRPr="006431D0" w:rsidRDefault="00613DEC" w:rsidP="00613DEC">
            <w:pPr>
              <w:jc w:val="center"/>
              <w:rPr>
                <w:rFonts w:eastAsia="Times New Roman" w:cs="Tahoma"/>
                <w:b/>
                <w:bCs/>
                <w:color w:val="FFFFFF"/>
                <w:sz w:val="14"/>
                <w:szCs w:val="14"/>
                <w:lang w:eastAsia="en-GB"/>
              </w:rPr>
            </w:pPr>
            <w:r w:rsidRPr="006431D0">
              <w:rPr>
                <w:rFonts w:eastAsia="Times New Roman" w:cs="Tahoma"/>
                <w:b/>
                <w:bCs/>
                <w:color w:val="FFFFFF"/>
                <w:sz w:val="14"/>
                <w:szCs w:val="14"/>
                <w:lang w:eastAsia="en-GB"/>
              </w:rPr>
              <w:t>Data reported by</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2269133" w14:textId="77777777" w:rsidR="00613DEC" w:rsidRPr="006431D0" w:rsidRDefault="00613DEC" w:rsidP="00613DEC">
            <w:pPr>
              <w:rPr>
                <w:rFonts w:eastAsia="Times New Roman" w:cs="Tahoma"/>
                <w:b/>
                <w:bCs/>
                <w:color w:val="FFFFFF"/>
                <w:sz w:val="14"/>
                <w:szCs w:val="14"/>
                <w:lang w:eastAsia="en-GB"/>
              </w:rPr>
            </w:pPr>
            <w:r w:rsidRPr="006431D0">
              <w:rPr>
                <w:rFonts w:eastAsia="Times New Roman" w:cs="Tahoma"/>
                <w:b/>
                <w:bCs/>
                <w:color w:val="FFFFFF"/>
                <w:sz w:val="14"/>
                <w:szCs w:val="14"/>
                <w:lang w:eastAsia="en-GB"/>
              </w:rPr>
              <w:t>Case definition used</w:t>
            </w:r>
          </w:p>
        </w:tc>
      </w:tr>
      <w:tr w:rsidR="00D70C92" w:rsidRPr="006431D0" w14:paraId="5F59C3EC" w14:textId="77777777" w:rsidTr="00BD5169">
        <w:trPr>
          <w:trHeight w:val="2795"/>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5AC5A47" w14:textId="77777777" w:rsidR="00613DEC" w:rsidRPr="006431D0" w:rsidRDefault="00613DEC" w:rsidP="00613DEC">
            <w:pPr>
              <w:rPr>
                <w:rFonts w:eastAsia="Times New Roman" w:cs="Tahoma"/>
                <w:b/>
                <w:bCs/>
                <w:color w:val="FFFFFF"/>
                <w:sz w:val="14"/>
                <w:szCs w:val="14"/>
                <w:lang w:eastAsia="en-GB"/>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60101F12" w14:textId="77777777" w:rsidR="00613DEC" w:rsidRPr="006431D0" w:rsidRDefault="00613DEC" w:rsidP="00613DEC">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6584E81A" w14:textId="77777777" w:rsidR="00613DEC" w:rsidRPr="006431D0" w:rsidRDefault="00613DEC" w:rsidP="00613DEC">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6C9233C" w14:textId="77777777" w:rsidR="00613DEC" w:rsidRPr="006431D0" w:rsidRDefault="00613DEC" w:rsidP="00613DEC">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5D597CF4" w14:textId="77777777" w:rsidR="00613DEC" w:rsidRPr="006431D0" w:rsidRDefault="00613DEC" w:rsidP="00613DEC">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4D1B7368" w14:textId="77777777" w:rsidR="00613DEC" w:rsidRPr="006431D0" w:rsidRDefault="00613DEC" w:rsidP="00613DEC">
            <w:pPr>
              <w:rPr>
                <w:rFonts w:eastAsia="Times New Roman" w:cs="Tahoma"/>
                <w:b/>
                <w:bCs/>
                <w:color w:val="FFFFFF"/>
                <w:sz w:val="14"/>
                <w:szCs w:val="14"/>
                <w:lang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312743A9" w14:textId="77777777" w:rsidR="00613DEC" w:rsidRPr="006431D0" w:rsidRDefault="00613DEC" w:rsidP="00613DEC">
            <w:pPr>
              <w:jc w:val="center"/>
              <w:rPr>
                <w:rFonts w:eastAsia="Times New Roman" w:cs="Tahoma"/>
                <w:b/>
                <w:bCs/>
                <w:color w:val="FFFFFF"/>
                <w:sz w:val="14"/>
                <w:szCs w:val="14"/>
                <w:lang w:eastAsia="en-GB"/>
              </w:rPr>
            </w:pPr>
            <w:r w:rsidRPr="006431D0">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4A5B6CEE" w14:textId="77777777" w:rsidR="00613DEC" w:rsidRPr="006431D0" w:rsidRDefault="00613DEC" w:rsidP="00613DEC">
            <w:pPr>
              <w:jc w:val="center"/>
              <w:rPr>
                <w:rFonts w:eastAsia="Times New Roman" w:cs="Tahoma"/>
                <w:b/>
                <w:bCs/>
                <w:color w:val="FFFFFF"/>
                <w:sz w:val="14"/>
                <w:szCs w:val="14"/>
                <w:lang w:eastAsia="en-GB"/>
              </w:rPr>
            </w:pPr>
            <w:r w:rsidRPr="006431D0">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306ECBB1" w14:textId="77777777" w:rsidR="00613DEC" w:rsidRPr="006431D0" w:rsidRDefault="00613DEC" w:rsidP="00613DEC">
            <w:pPr>
              <w:jc w:val="center"/>
              <w:rPr>
                <w:rFonts w:eastAsia="Times New Roman" w:cs="Tahoma"/>
                <w:b/>
                <w:bCs/>
                <w:color w:val="FFFFFF"/>
                <w:sz w:val="14"/>
                <w:szCs w:val="14"/>
                <w:lang w:eastAsia="en-GB"/>
              </w:rPr>
            </w:pPr>
            <w:r w:rsidRPr="006431D0">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258907FD" w14:textId="77777777" w:rsidR="00613DEC" w:rsidRPr="006431D0" w:rsidRDefault="00613DEC" w:rsidP="00613DEC">
            <w:pPr>
              <w:jc w:val="center"/>
              <w:rPr>
                <w:rFonts w:eastAsia="Times New Roman" w:cs="Tahoma"/>
                <w:b/>
                <w:bCs/>
                <w:color w:val="FFFFFF"/>
                <w:sz w:val="14"/>
                <w:szCs w:val="14"/>
                <w:lang w:eastAsia="en-GB"/>
              </w:rPr>
            </w:pPr>
            <w:r w:rsidRPr="006431D0">
              <w:rPr>
                <w:rFonts w:eastAsia="Times New Roman" w:cs="Tahoma"/>
                <w:b/>
                <w:bCs/>
                <w:color w:val="FFFFFF"/>
                <w:sz w:val="14"/>
                <w:szCs w:val="14"/>
                <w:lang w:eastAsia="en-GB"/>
              </w:rPr>
              <w:t>Others</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50441B7" w14:textId="77777777" w:rsidR="00613DEC" w:rsidRPr="006431D0" w:rsidRDefault="00613DEC" w:rsidP="00613DEC">
            <w:pPr>
              <w:rPr>
                <w:rFonts w:eastAsia="Times New Roman" w:cs="Tahoma"/>
                <w:b/>
                <w:bCs/>
                <w:color w:val="FFFFFF"/>
                <w:sz w:val="14"/>
                <w:szCs w:val="14"/>
                <w:lang w:eastAsia="en-GB"/>
              </w:rPr>
            </w:pPr>
          </w:p>
        </w:tc>
      </w:tr>
      <w:tr w:rsidR="000C12BF" w:rsidRPr="006431D0" w14:paraId="40D6E612" w14:textId="77777777" w:rsidTr="00BD5169">
        <w:trPr>
          <w:trHeight w:val="234"/>
        </w:trPr>
        <w:tc>
          <w:tcPr>
            <w:tcW w:w="1220" w:type="dxa"/>
            <w:tcBorders>
              <w:top w:val="single" w:sz="4" w:space="0" w:color="000000"/>
              <w:left w:val="single" w:sz="4" w:space="0" w:color="000000"/>
              <w:bottom w:val="nil"/>
              <w:right w:val="single" w:sz="4" w:space="0" w:color="auto"/>
            </w:tcBorders>
            <w:shd w:val="clear" w:color="000000" w:fill="D9D9D9"/>
            <w:noWrap/>
            <w:vAlign w:val="bottom"/>
            <w:hideMark/>
          </w:tcPr>
          <w:p w14:paraId="11BE28A7"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Belgium</w:t>
            </w:r>
          </w:p>
        </w:tc>
        <w:tc>
          <w:tcPr>
            <w:tcW w:w="2575" w:type="dxa"/>
            <w:tcBorders>
              <w:top w:val="single" w:sz="4" w:space="0" w:color="000000"/>
              <w:left w:val="nil"/>
              <w:bottom w:val="nil"/>
              <w:right w:val="single" w:sz="4" w:space="0" w:color="auto"/>
            </w:tcBorders>
            <w:shd w:val="clear" w:color="000000" w:fill="D9D9D9"/>
            <w:noWrap/>
            <w:vAlign w:val="bottom"/>
            <w:hideMark/>
          </w:tcPr>
          <w:p w14:paraId="472A4212"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BE-LABNET</w:t>
            </w:r>
          </w:p>
        </w:tc>
        <w:tc>
          <w:tcPr>
            <w:tcW w:w="570" w:type="dxa"/>
            <w:tcBorders>
              <w:top w:val="single" w:sz="4" w:space="0" w:color="000000"/>
              <w:left w:val="nil"/>
              <w:bottom w:val="nil"/>
              <w:right w:val="single" w:sz="4" w:space="0" w:color="auto"/>
            </w:tcBorders>
            <w:shd w:val="clear" w:color="000000" w:fill="D9D9D9"/>
            <w:noWrap/>
            <w:vAlign w:val="bottom"/>
            <w:hideMark/>
          </w:tcPr>
          <w:p w14:paraId="3B35773E"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V</w:t>
            </w:r>
          </w:p>
        </w:tc>
        <w:tc>
          <w:tcPr>
            <w:tcW w:w="570" w:type="dxa"/>
            <w:tcBorders>
              <w:top w:val="single" w:sz="4" w:space="0" w:color="000000"/>
              <w:left w:val="nil"/>
              <w:bottom w:val="nil"/>
              <w:right w:val="single" w:sz="4" w:space="0" w:color="auto"/>
            </w:tcBorders>
            <w:shd w:val="clear" w:color="000000" w:fill="D9D9D9"/>
            <w:noWrap/>
            <w:vAlign w:val="bottom"/>
            <w:hideMark/>
          </w:tcPr>
          <w:p w14:paraId="0D2C630A" w14:textId="6F808BF7" w:rsidR="00613DEC" w:rsidRPr="006431D0" w:rsidRDefault="00063B0B" w:rsidP="00693521">
            <w:pPr>
              <w:spacing w:before="120" w:after="0"/>
              <w:rPr>
                <w:rFonts w:eastAsia="Times New Roman" w:cs="Tahoma"/>
                <w:sz w:val="14"/>
                <w:szCs w:val="14"/>
                <w:lang w:eastAsia="en-GB"/>
              </w:rPr>
            </w:pPr>
            <w:r>
              <w:rPr>
                <w:rFonts w:eastAsia="Times New Roman" w:cs="Tahoma"/>
                <w:sz w:val="14"/>
                <w:szCs w:val="14"/>
                <w:lang w:eastAsia="en-GB"/>
              </w:rPr>
              <w:t>Se</w:t>
            </w:r>
          </w:p>
        </w:tc>
        <w:tc>
          <w:tcPr>
            <w:tcW w:w="570" w:type="dxa"/>
            <w:tcBorders>
              <w:top w:val="single" w:sz="4" w:space="0" w:color="000000"/>
              <w:left w:val="nil"/>
              <w:bottom w:val="nil"/>
              <w:right w:val="single" w:sz="4" w:space="0" w:color="auto"/>
            </w:tcBorders>
            <w:shd w:val="clear" w:color="000000" w:fill="D9D9D9"/>
            <w:noWrap/>
            <w:vAlign w:val="bottom"/>
            <w:hideMark/>
          </w:tcPr>
          <w:p w14:paraId="7AE01E1E"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single" w:sz="4" w:space="0" w:color="000000"/>
              <w:left w:val="nil"/>
              <w:bottom w:val="nil"/>
              <w:right w:val="single" w:sz="4" w:space="0" w:color="auto"/>
            </w:tcBorders>
            <w:shd w:val="clear" w:color="000000" w:fill="D9D9D9"/>
            <w:noWrap/>
            <w:vAlign w:val="bottom"/>
            <w:hideMark/>
          </w:tcPr>
          <w:p w14:paraId="02F05A8A" w14:textId="31866C75" w:rsidR="00613DEC" w:rsidRPr="006431D0" w:rsidRDefault="00063B0B" w:rsidP="00693521">
            <w:pPr>
              <w:spacing w:before="120" w:after="0"/>
              <w:rPr>
                <w:rFonts w:eastAsia="Times New Roman" w:cs="Tahoma"/>
                <w:sz w:val="14"/>
                <w:szCs w:val="14"/>
                <w:lang w:eastAsia="en-GB"/>
              </w:rPr>
            </w:pPr>
            <w:r>
              <w:rPr>
                <w:rFonts w:eastAsia="Times New Roman" w:cs="Tahoma"/>
                <w:sz w:val="14"/>
                <w:szCs w:val="14"/>
                <w:lang w:eastAsia="en-GB"/>
              </w:rPr>
              <w:t>C</w:t>
            </w:r>
          </w:p>
        </w:tc>
        <w:tc>
          <w:tcPr>
            <w:tcW w:w="570" w:type="dxa"/>
            <w:tcBorders>
              <w:top w:val="single" w:sz="4" w:space="0" w:color="000000"/>
              <w:left w:val="nil"/>
              <w:bottom w:val="nil"/>
              <w:right w:val="single" w:sz="4" w:space="0" w:color="auto"/>
            </w:tcBorders>
            <w:shd w:val="clear" w:color="000000" w:fill="D9D9D9"/>
            <w:noWrap/>
            <w:vAlign w:val="bottom"/>
            <w:hideMark/>
          </w:tcPr>
          <w:p w14:paraId="59CE1A80"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52DB8D72"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single" w:sz="4" w:space="0" w:color="000000"/>
              <w:left w:val="nil"/>
              <w:bottom w:val="nil"/>
              <w:right w:val="single" w:sz="4" w:space="0" w:color="auto"/>
            </w:tcBorders>
            <w:shd w:val="clear" w:color="000000" w:fill="D9D9D9"/>
            <w:noWrap/>
            <w:vAlign w:val="bottom"/>
            <w:hideMark/>
          </w:tcPr>
          <w:p w14:paraId="4BCE434D"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w:t>
            </w:r>
          </w:p>
        </w:tc>
        <w:tc>
          <w:tcPr>
            <w:tcW w:w="570" w:type="dxa"/>
            <w:tcBorders>
              <w:top w:val="single" w:sz="4" w:space="0" w:color="000000"/>
              <w:left w:val="nil"/>
              <w:bottom w:val="nil"/>
              <w:right w:val="single" w:sz="4" w:space="0" w:color="auto"/>
            </w:tcBorders>
            <w:shd w:val="clear" w:color="000000" w:fill="D9D9D9"/>
            <w:noWrap/>
            <w:vAlign w:val="bottom"/>
            <w:hideMark/>
          </w:tcPr>
          <w:p w14:paraId="42F8C899"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w:t>
            </w:r>
          </w:p>
        </w:tc>
        <w:tc>
          <w:tcPr>
            <w:tcW w:w="1383" w:type="dxa"/>
            <w:tcBorders>
              <w:top w:val="single" w:sz="4" w:space="0" w:color="000000"/>
              <w:left w:val="nil"/>
              <w:bottom w:val="nil"/>
              <w:right w:val="single" w:sz="4" w:space="0" w:color="000000"/>
            </w:tcBorders>
            <w:shd w:val="clear" w:color="000000" w:fill="D9D9D9"/>
            <w:noWrap/>
            <w:vAlign w:val="bottom"/>
            <w:hideMark/>
          </w:tcPr>
          <w:p w14:paraId="5D347770"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EU-2012</w:t>
            </w:r>
          </w:p>
        </w:tc>
      </w:tr>
      <w:tr w:rsidR="00613DEC" w:rsidRPr="006431D0" w14:paraId="0D0EC133"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hideMark/>
          </w:tcPr>
          <w:p w14:paraId="0F4506FA"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Bulgaria</w:t>
            </w:r>
          </w:p>
        </w:tc>
        <w:tc>
          <w:tcPr>
            <w:tcW w:w="2575" w:type="dxa"/>
            <w:tcBorders>
              <w:top w:val="nil"/>
              <w:left w:val="nil"/>
              <w:bottom w:val="nil"/>
              <w:right w:val="single" w:sz="4" w:space="0" w:color="auto"/>
            </w:tcBorders>
            <w:shd w:val="clear" w:color="auto" w:fill="auto"/>
            <w:noWrap/>
            <w:vAlign w:val="bottom"/>
            <w:hideMark/>
          </w:tcPr>
          <w:p w14:paraId="66294E67"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BG-NATIONAL_SURVEILLANCE</w:t>
            </w:r>
          </w:p>
        </w:tc>
        <w:tc>
          <w:tcPr>
            <w:tcW w:w="570" w:type="dxa"/>
            <w:tcBorders>
              <w:top w:val="nil"/>
              <w:left w:val="nil"/>
              <w:bottom w:val="nil"/>
              <w:right w:val="single" w:sz="4" w:space="0" w:color="auto"/>
            </w:tcBorders>
            <w:shd w:val="clear" w:color="auto" w:fill="auto"/>
            <w:noWrap/>
            <w:vAlign w:val="bottom"/>
            <w:hideMark/>
          </w:tcPr>
          <w:p w14:paraId="59B1BE5A"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2E062FB"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541FA52"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F2CEC0A"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496803B7"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6635348"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B7EB5CB"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710EEE8"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1383" w:type="dxa"/>
            <w:tcBorders>
              <w:top w:val="nil"/>
              <w:left w:val="nil"/>
              <w:bottom w:val="nil"/>
              <w:right w:val="single" w:sz="4" w:space="0" w:color="000000"/>
            </w:tcBorders>
            <w:shd w:val="clear" w:color="auto" w:fill="auto"/>
            <w:noWrap/>
            <w:vAlign w:val="bottom"/>
            <w:hideMark/>
          </w:tcPr>
          <w:p w14:paraId="0FAA2309"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0C12BF" w:rsidRPr="006431D0" w14:paraId="5561F017" w14:textId="77777777" w:rsidTr="00BD5169">
        <w:trPr>
          <w:trHeight w:val="234"/>
        </w:trPr>
        <w:tc>
          <w:tcPr>
            <w:tcW w:w="1220" w:type="dxa"/>
            <w:tcBorders>
              <w:top w:val="nil"/>
              <w:left w:val="single" w:sz="4" w:space="0" w:color="000000"/>
              <w:bottom w:val="nil"/>
              <w:right w:val="single" w:sz="4" w:space="0" w:color="auto"/>
            </w:tcBorders>
            <w:shd w:val="clear" w:color="000000" w:fill="D9D9D9"/>
            <w:noWrap/>
            <w:vAlign w:val="bottom"/>
            <w:hideMark/>
          </w:tcPr>
          <w:p w14:paraId="0A168C76"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Croatia</w:t>
            </w:r>
          </w:p>
        </w:tc>
        <w:tc>
          <w:tcPr>
            <w:tcW w:w="2575" w:type="dxa"/>
            <w:tcBorders>
              <w:top w:val="nil"/>
              <w:left w:val="nil"/>
              <w:bottom w:val="nil"/>
              <w:right w:val="single" w:sz="4" w:space="0" w:color="auto"/>
            </w:tcBorders>
            <w:shd w:val="clear" w:color="000000" w:fill="D9D9D9"/>
            <w:noWrap/>
            <w:vAlign w:val="bottom"/>
            <w:hideMark/>
          </w:tcPr>
          <w:p w14:paraId="1E17308F"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HR-CNIPH</w:t>
            </w:r>
          </w:p>
        </w:tc>
        <w:tc>
          <w:tcPr>
            <w:tcW w:w="570" w:type="dxa"/>
            <w:tcBorders>
              <w:top w:val="nil"/>
              <w:left w:val="nil"/>
              <w:bottom w:val="nil"/>
              <w:right w:val="single" w:sz="4" w:space="0" w:color="auto"/>
            </w:tcBorders>
            <w:shd w:val="clear" w:color="000000" w:fill="D9D9D9"/>
            <w:noWrap/>
            <w:vAlign w:val="bottom"/>
            <w:hideMark/>
          </w:tcPr>
          <w:p w14:paraId="7AAE9F6F"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18275C17"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39048E16"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7ECBB083"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673F9F94"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ED9D2B3"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574E003"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FC2BBC3"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1383" w:type="dxa"/>
            <w:tcBorders>
              <w:top w:val="nil"/>
              <w:left w:val="nil"/>
              <w:bottom w:val="nil"/>
              <w:right w:val="single" w:sz="4" w:space="0" w:color="000000"/>
            </w:tcBorders>
            <w:shd w:val="clear" w:color="000000" w:fill="D9D9D9"/>
            <w:noWrap/>
            <w:vAlign w:val="bottom"/>
            <w:hideMark/>
          </w:tcPr>
          <w:p w14:paraId="6CAA1E86"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EU-2012</w:t>
            </w:r>
          </w:p>
        </w:tc>
      </w:tr>
      <w:tr w:rsidR="00613DEC" w:rsidRPr="006431D0" w14:paraId="21A26700"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hideMark/>
          </w:tcPr>
          <w:p w14:paraId="29449479"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Cyprus</w:t>
            </w:r>
          </w:p>
        </w:tc>
        <w:tc>
          <w:tcPr>
            <w:tcW w:w="2575" w:type="dxa"/>
            <w:tcBorders>
              <w:top w:val="nil"/>
              <w:left w:val="nil"/>
              <w:bottom w:val="nil"/>
              <w:right w:val="single" w:sz="4" w:space="0" w:color="auto"/>
            </w:tcBorders>
            <w:shd w:val="clear" w:color="auto" w:fill="auto"/>
            <w:noWrap/>
            <w:vAlign w:val="bottom"/>
            <w:hideMark/>
          </w:tcPr>
          <w:p w14:paraId="4700B1EF"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CY-NOTIFIED_DISEASES</w:t>
            </w:r>
          </w:p>
        </w:tc>
        <w:tc>
          <w:tcPr>
            <w:tcW w:w="570" w:type="dxa"/>
            <w:tcBorders>
              <w:top w:val="nil"/>
              <w:left w:val="nil"/>
              <w:bottom w:val="nil"/>
              <w:right w:val="single" w:sz="4" w:space="0" w:color="auto"/>
            </w:tcBorders>
            <w:shd w:val="clear" w:color="auto" w:fill="auto"/>
            <w:noWrap/>
            <w:vAlign w:val="bottom"/>
            <w:hideMark/>
          </w:tcPr>
          <w:p w14:paraId="00B6FEB6"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7563A47"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2066514"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1A60607C"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E623751"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18F124D0"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61DFD86"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7940632"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auto" w:fill="auto"/>
            <w:noWrap/>
            <w:vAlign w:val="bottom"/>
            <w:hideMark/>
          </w:tcPr>
          <w:p w14:paraId="04BEAA92"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EU-2008</w:t>
            </w:r>
          </w:p>
        </w:tc>
      </w:tr>
      <w:tr w:rsidR="000C12BF" w:rsidRPr="006431D0" w14:paraId="6CD1C3EB" w14:textId="77777777" w:rsidTr="00BD5169">
        <w:trPr>
          <w:trHeight w:val="234"/>
        </w:trPr>
        <w:tc>
          <w:tcPr>
            <w:tcW w:w="1220" w:type="dxa"/>
            <w:tcBorders>
              <w:top w:val="nil"/>
              <w:left w:val="single" w:sz="4" w:space="0" w:color="000000"/>
              <w:bottom w:val="nil"/>
              <w:right w:val="single" w:sz="4" w:space="0" w:color="auto"/>
            </w:tcBorders>
            <w:shd w:val="clear" w:color="000000" w:fill="D9D9D9"/>
            <w:noWrap/>
            <w:vAlign w:val="bottom"/>
            <w:hideMark/>
          </w:tcPr>
          <w:p w14:paraId="6E563B2C"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Czechia</w:t>
            </w:r>
          </w:p>
        </w:tc>
        <w:tc>
          <w:tcPr>
            <w:tcW w:w="2575" w:type="dxa"/>
            <w:tcBorders>
              <w:top w:val="nil"/>
              <w:left w:val="nil"/>
              <w:bottom w:val="nil"/>
              <w:right w:val="single" w:sz="4" w:space="0" w:color="auto"/>
            </w:tcBorders>
            <w:shd w:val="clear" w:color="000000" w:fill="D9D9D9"/>
            <w:noWrap/>
            <w:vAlign w:val="bottom"/>
            <w:hideMark/>
          </w:tcPr>
          <w:p w14:paraId="7D28EE75"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CZ-ISIN</w:t>
            </w:r>
          </w:p>
        </w:tc>
        <w:tc>
          <w:tcPr>
            <w:tcW w:w="570" w:type="dxa"/>
            <w:tcBorders>
              <w:top w:val="nil"/>
              <w:left w:val="nil"/>
              <w:bottom w:val="nil"/>
              <w:right w:val="single" w:sz="4" w:space="0" w:color="auto"/>
            </w:tcBorders>
            <w:shd w:val="clear" w:color="000000" w:fill="D9D9D9"/>
            <w:noWrap/>
            <w:vAlign w:val="bottom"/>
            <w:hideMark/>
          </w:tcPr>
          <w:p w14:paraId="2650F8DD"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0B680197"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3011C663"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A</w:t>
            </w:r>
          </w:p>
        </w:tc>
        <w:tc>
          <w:tcPr>
            <w:tcW w:w="570" w:type="dxa"/>
            <w:tcBorders>
              <w:top w:val="nil"/>
              <w:left w:val="nil"/>
              <w:bottom w:val="nil"/>
              <w:right w:val="single" w:sz="4" w:space="0" w:color="auto"/>
            </w:tcBorders>
            <w:shd w:val="clear" w:color="000000" w:fill="D9D9D9"/>
            <w:noWrap/>
            <w:vAlign w:val="bottom"/>
            <w:hideMark/>
          </w:tcPr>
          <w:p w14:paraId="34F49736"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2659C4E4"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CE3233C"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0CBAEC9"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0FCFD67"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000000" w:fill="D9D9D9"/>
            <w:noWrap/>
            <w:vAlign w:val="bottom"/>
            <w:hideMark/>
          </w:tcPr>
          <w:p w14:paraId="349254F3"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EU-2008</w:t>
            </w:r>
          </w:p>
        </w:tc>
      </w:tr>
      <w:tr w:rsidR="00613DEC" w:rsidRPr="006431D0" w14:paraId="4B66E496"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hideMark/>
          </w:tcPr>
          <w:p w14:paraId="4655FFD0"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Estonia</w:t>
            </w:r>
          </w:p>
        </w:tc>
        <w:tc>
          <w:tcPr>
            <w:tcW w:w="2575" w:type="dxa"/>
            <w:tcBorders>
              <w:top w:val="nil"/>
              <w:left w:val="nil"/>
              <w:bottom w:val="nil"/>
              <w:right w:val="single" w:sz="4" w:space="0" w:color="auto"/>
            </w:tcBorders>
            <w:shd w:val="clear" w:color="auto" w:fill="auto"/>
            <w:noWrap/>
            <w:vAlign w:val="bottom"/>
            <w:hideMark/>
          </w:tcPr>
          <w:p w14:paraId="6C43A8B3"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EE-NAKIS</w:t>
            </w:r>
          </w:p>
        </w:tc>
        <w:tc>
          <w:tcPr>
            <w:tcW w:w="570" w:type="dxa"/>
            <w:tcBorders>
              <w:top w:val="nil"/>
              <w:left w:val="nil"/>
              <w:bottom w:val="nil"/>
              <w:right w:val="single" w:sz="4" w:space="0" w:color="auto"/>
            </w:tcBorders>
            <w:shd w:val="clear" w:color="auto" w:fill="auto"/>
            <w:noWrap/>
            <w:vAlign w:val="bottom"/>
            <w:hideMark/>
          </w:tcPr>
          <w:p w14:paraId="7AABC892"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2B3A7876"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D2BFE3C"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1BC54CEB"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B24966E"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5ABE99B"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F2DABA8"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61F4FC1"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auto" w:fill="auto"/>
            <w:noWrap/>
            <w:vAlign w:val="bottom"/>
            <w:hideMark/>
          </w:tcPr>
          <w:p w14:paraId="3A43858A"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D70C92" w:rsidRPr="006431D0" w14:paraId="165258DA" w14:textId="77777777" w:rsidTr="00BD5169">
        <w:trPr>
          <w:trHeight w:val="234"/>
        </w:trPr>
        <w:tc>
          <w:tcPr>
            <w:tcW w:w="1220" w:type="dxa"/>
            <w:tcBorders>
              <w:top w:val="nil"/>
              <w:left w:val="single" w:sz="4" w:space="0" w:color="000000"/>
              <w:right w:val="single" w:sz="4" w:space="0" w:color="auto"/>
            </w:tcBorders>
            <w:shd w:val="clear" w:color="000000" w:fill="D9D9D9"/>
            <w:noWrap/>
            <w:vAlign w:val="bottom"/>
            <w:hideMark/>
          </w:tcPr>
          <w:p w14:paraId="455C2615"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Finland</w:t>
            </w:r>
          </w:p>
        </w:tc>
        <w:tc>
          <w:tcPr>
            <w:tcW w:w="2575" w:type="dxa"/>
            <w:tcBorders>
              <w:top w:val="nil"/>
              <w:left w:val="nil"/>
              <w:right w:val="single" w:sz="4" w:space="0" w:color="auto"/>
            </w:tcBorders>
            <w:shd w:val="clear" w:color="000000" w:fill="D9D9D9"/>
            <w:noWrap/>
            <w:vAlign w:val="bottom"/>
            <w:hideMark/>
          </w:tcPr>
          <w:p w14:paraId="7B2DDA6D"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FI-NIDR</w:t>
            </w:r>
          </w:p>
        </w:tc>
        <w:tc>
          <w:tcPr>
            <w:tcW w:w="570" w:type="dxa"/>
            <w:tcBorders>
              <w:top w:val="nil"/>
              <w:left w:val="nil"/>
              <w:right w:val="single" w:sz="4" w:space="0" w:color="auto"/>
            </w:tcBorders>
            <w:shd w:val="clear" w:color="000000" w:fill="D9D9D9"/>
            <w:noWrap/>
            <w:vAlign w:val="bottom"/>
            <w:hideMark/>
          </w:tcPr>
          <w:p w14:paraId="29218FE5"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right w:val="single" w:sz="4" w:space="0" w:color="auto"/>
            </w:tcBorders>
            <w:shd w:val="clear" w:color="000000" w:fill="D9D9D9"/>
            <w:noWrap/>
            <w:vAlign w:val="bottom"/>
            <w:hideMark/>
          </w:tcPr>
          <w:p w14:paraId="079A0742"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right w:val="single" w:sz="4" w:space="0" w:color="auto"/>
            </w:tcBorders>
            <w:shd w:val="clear" w:color="000000" w:fill="D9D9D9"/>
            <w:noWrap/>
            <w:vAlign w:val="bottom"/>
            <w:hideMark/>
          </w:tcPr>
          <w:p w14:paraId="3B1511E5"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right w:val="single" w:sz="4" w:space="0" w:color="auto"/>
            </w:tcBorders>
            <w:shd w:val="clear" w:color="000000" w:fill="D9D9D9"/>
            <w:noWrap/>
            <w:vAlign w:val="bottom"/>
            <w:hideMark/>
          </w:tcPr>
          <w:p w14:paraId="325C4A65"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right w:val="single" w:sz="4" w:space="0" w:color="auto"/>
            </w:tcBorders>
            <w:shd w:val="clear" w:color="000000" w:fill="D9D9D9"/>
            <w:noWrap/>
            <w:vAlign w:val="bottom"/>
            <w:hideMark/>
          </w:tcPr>
          <w:p w14:paraId="199ED41E"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right w:val="single" w:sz="4" w:space="0" w:color="auto"/>
            </w:tcBorders>
            <w:shd w:val="clear" w:color="000000" w:fill="D9D9D9"/>
            <w:noWrap/>
            <w:vAlign w:val="bottom"/>
            <w:hideMark/>
          </w:tcPr>
          <w:p w14:paraId="7D3C4B0D"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right w:val="single" w:sz="4" w:space="0" w:color="auto"/>
            </w:tcBorders>
            <w:shd w:val="clear" w:color="000000" w:fill="D9D9D9"/>
            <w:noWrap/>
            <w:vAlign w:val="bottom"/>
            <w:hideMark/>
          </w:tcPr>
          <w:p w14:paraId="0D182EDB"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right w:val="single" w:sz="4" w:space="0" w:color="auto"/>
            </w:tcBorders>
            <w:shd w:val="clear" w:color="000000" w:fill="D9D9D9"/>
            <w:noWrap/>
            <w:vAlign w:val="bottom"/>
            <w:hideMark/>
          </w:tcPr>
          <w:p w14:paraId="73CA4838"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right w:val="single" w:sz="4" w:space="0" w:color="000000"/>
            </w:tcBorders>
            <w:shd w:val="clear" w:color="000000" w:fill="D9D9D9"/>
            <w:noWrap/>
            <w:vAlign w:val="bottom"/>
            <w:hideMark/>
          </w:tcPr>
          <w:p w14:paraId="3241832E" w14:textId="77777777" w:rsidR="00613DEC" w:rsidRPr="006431D0" w:rsidRDefault="00613DEC" w:rsidP="00693521">
            <w:pPr>
              <w:spacing w:before="120" w:after="0"/>
              <w:rPr>
                <w:rFonts w:eastAsia="Times New Roman" w:cs="Tahoma"/>
                <w:sz w:val="14"/>
                <w:szCs w:val="14"/>
                <w:lang w:eastAsia="en-GB"/>
              </w:rPr>
            </w:pPr>
            <w:r w:rsidRPr="006431D0">
              <w:rPr>
                <w:rFonts w:eastAsia="Times New Roman" w:cs="Tahoma"/>
                <w:sz w:val="14"/>
                <w:szCs w:val="14"/>
                <w:lang w:eastAsia="en-GB"/>
              </w:rPr>
              <w:t>EU-2012</w:t>
            </w:r>
          </w:p>
        </w:tc>
      </w:tr>
      <w:tr w:rsidR="00D70C92" w:rsidRPr="006431D0" w14:paraId="163E38BF" w14:textId="77777777" w:rsidTr="00BD5169">
        <w:trPr>
          <w:trHeight w:val="234"/>
        </w:trPr>
        <w:tc>
          <w:tcPr>
            <w:tcW w:w="1220" w:type="dxa"/>
            <w:tcBorders>
              <w:top w:val="nil"/>
              <w:left w:val="single" w:sz="4" w:space="0" w:color="000000"/>
              <w:right w:val="single" w:sz="4" w:space="0" w:color="auto"/>
            </w:tcBorders>
            <w:shd w:val="clear" w:color="000000" w:fill="auto"/>
            <w:noWrap/>
            <w:vAlign w:val="bottom"/>
          </w:tcPr>
          <w:p w14:paraId="167EABFF" w14:textId="152707FC" w:rsidR="00E5638D" w:rsidRPr="006431D0" w:rsidRDefault="00634807" w:rsidP="00693521">
            <w:pPr>
              <w:spacing w:before="120" w:after="0"/>
              <w:rPr>
                <w:rFonts w:eastAsia="Times New Roman" w:cs="Tahoma"/>
                <w:sz w:val="14"/>
                <w:szCs w:val="14"/>
                <w:lang w:eastAsia="en-GB"/>
              </w:rPr>
            </w:pPr>
            <w:r>
              <w:rPr>
                <w:rFonts w:eastAsia="Times New Roman" w:cs="Tahoma"/>
                <w:sz w:val="14"/>
                <w:szCs w:val="14"/>
                <w:lang w:eastAsia="en-GB"/>
              </w:rPr>
              <w:t>France</w:t>
            </w:r>
          </w:p>
        </w:tc>
        <w:tc>
          <w:tcPr>
            <w:tcW w:w="2575" w:type="dxa"/>
            <w:tcBorders>
              <w:top w:val="nil"/>
              <w:left w:val="nil"/>
              <w:right w:val="single" w:sz="4" w:space="0" w:color="auto"/>
            </w:tcBorders>
            <w:shd w:val="clear" w:color="000000" w:fill="auto"/>
            <w:noWrap/>
            <w:vAlign w:val="bottom"/>
          </w:tcPr>
          <w:p w14:paraId="149904C5" w14:textId="77777777" w:rsidR="00E5638D" w:rsidRPr="006431D0" w:rsidRDefault="00E5638D" w:rsidP="00693521">
            <w:pPr>
              <w:spacing w:before="120" w:after="0"/>
              <w:rPr>
                <w:rFonts w:eastAsia="Times New Roman" w:cs="Tahoma"/>
                <w:sz w:val="14"/>
                <w:szCs w:val="14"/>
                <w:lang w:eastAsia="en-GB"/>
              </w:rPr>
            </w:pPr>
          </w:p>
        </w:tc>
        <w:tc>
          <w:tcPr>
            <w:tcW w:w="570" w:type="dxa"/>
            <w:tcBorders>
              <w:top w:val="nil"/>
              <w:left w:val="nil"/>
              <w:right w:val="single" w:sz="4" w:space="0" w:color="auto"/>
            </w:tcBorders>
            <w:shd w:val="clear" w:color="000000" w:fill="auto"/>
            <w:noWrap/>
            <w:vAlign w:val="bottom"/>
          </w:tcPr>
          <w:p w14:paraId="4D58B6B5" w14:textId="7D7EDFEC" w:rsidR="00E5638D" w:rsidRPr="006431D0" w:rsidRDefault="00796260" w:rsidP="00693521">
            <w:pPr>
              <w:spacing w:before="120" w:after="0"/>
              <w:rPr>
                <w:rFonts w:eastAsia="Times New Roman" w:cs="Tahoma"/>
                <w:sz w:val="14"/>
                <w:szCs w:val="14"/>
                <w:lang w:eastAsia="en-GB"/>
              </w:rPr>
            </w:pPr>
            <w:r>
              <w:rPr>
                <w:rFonts w:eastAsia="Times New Roman" w:cs="Tahoma"/>
                <w:sz w:val="14"/>
                <w:szCs w:val="14"/>
                <w:lang w:eastAsia="en-GB"/>
              </w:rPr>
              <w:t>V</w:t>
            </w:r>
          </w:p>
        </w:tc>
        <w:tc>
          <w:tcPr>
            <w:tcW w:w="570" w:type="dxa"/>
            <w:tcBorders>
              <w:top w:val="nil"/>
              <w:left w:val="nil"/>
              <w:right w:val="single" w:sz="4" w:space="0" w:color="auto"/>
            </w:tcBorders>
            <w:shd w:val="clear" w:color="000000" w:fill="auto"/>
            <w:noWrap/>
            <w:vAlign w:val="bottom"/>
          </w:tcPr>
          <w:p w14:paraId="5F661FFC" w14:textId="677777FB" w:rsidR="00E5638D" w:rsidRPr="006431D0" w:rsidRDefault="00796260" w:rsidP="00693521">
            <w:pPr>
              <w:spacing w:before="120" w:after="0"/>
              <w:rPr>
                <w:rFonts w:eastAsia="Times New Roman" w:cs="Tahoma"/>
                <w:sz w:val="14"/>
                <w:szCs w:val="14"/>
                <w:lang w:eastAsia="en-GB"/>
              </w:rPr>
            </w:pPr>
            <w:r>
              <w:rPr>
                <w:rFonts w:eastAsia="Times New Roman" w:cs="Tahoma"/>
                <w:sz w:val="14"/>
                <w:szCs w:val="14"/>
                <w:lang w:eastAsia="en-GB"/>
              </w:rPr>
              <w:t>.</w:t>
            </w:r>
          </w:p>
        </w:tc>
        <w:tc>
          <w:tcPr>
            <w:tcW w:w="570" w:type="dxa"/>
            <w:tcBorders>
              <w:top w:val="nil"/>
              <w:left w:val="nil"/>
              <w:right w:val="single" w:sz="4" w:space="0" w:color="auto"/>
            </w:tcBorders>
            <w:shd w:val="clear" w:color="000000" w:fill="auto"/>
            <w:noWrap/>
            <w:vAlign w:val="bottom"/>
          </w:tcPr>
          <w:p w14:paraId="6BE5E567" w14:textId="63A65B4D" w:rsidR="00E5638D" w:rsidRPr="006431D0" w:rsidRDefault="00796260" w:rsidP="00693521">
            <w:pPr>
              <w:spacing w:before="120" w:after="0"/>
              <w:rPr>
                <w:rFonts w:eastAsia="Times New Roman" w:cs="Tahoma"/>
                <w:sz w:val="14"/>
                <w:szCs w:val="14"/>
                <w:lang w:eastAsia="en-GB"/>
              </w:rPr>
            </w:pPr>
            <w:r>
              <w:rPr>
                <w:rFonts w:eastAsia="Times New Roman" w:cs="Tahoma"/>
                <w:sz w:val="14"/>
                <w:szCs w:val="14"/>
                <w:lang w:eastAsia="en-GB"/>
              </w:rPr>
              <w:t>.</w:t>
            </w:r>
          </w:p>
        </w:tc>
        <w:tc>
          <w:tcPr>
            <w:tcW w:w="570" w:type="dxa"/>
            <w:tcBorders>
              <w:top w:val="nil"/>
              <w:left w:val="nil"/>
              <w:right w:val="single" w:sz="4" w:space="0" w:color="auto"/>
            </w:tcBorders>
            <w:shd w:val="clear" w:color="000000" w:fill="auto"/>
            <w:noWrap/>
            <w:vAlign w:val="bottom"/>
          </w:tcPr>
          <w:p w14:paraId="6D9E9EF8" w14:textId="39D2EEF4" w:rsidR="00E5638D" w:rsidRPr="006431D0" w:rsidRDefault="00796260" w:rsidP="00693521">
            <w:pPr>
              <w:spacing w:before="120" w:after="0"/>
              <w:rPr>
                <w:rFonts w:eastAsia="Times New Roman" w:cs="Tahoma"/>
                <w:sz w:val="14"/>
                <w:szCs w:val="14"/>
                <w:lang w:eastAsia="en-GB"/>
              </w:rPr>
            </w:pPr>
            <w:r>
              <w:rPr>
                <w:rFonts w:eastAsia="Times New Roman" w:cs="Tahoma"/>
                <w:sz w:val="14"/>
                <w:szCs w:val="14"/>
                <w:lang w:eastAsia="en-GB"/>
              </w:rPr>
              <w:t>C</w:t>
            </w:r>
          </w:p>
        </w:tc>
        <w:tc>
          <w:tcPr>
            <w:tcW w:w="570" w:type="dxa"/>
            <w:tcBorders>
              <w:top w:val="nil"/>
              <w:left w:val="nil"/>
              <w:right w:val="single" w:sz="4" w:space="0" w:color="auto"/>
            </w:tcBorders>
            <w:shd w:val="clear" w:color="000000" w:fill="auto"/>
            <w:noWrap/>
            <w:vAlign w:val="bottom"/>
          </w:tcPr>
          <w:p w14:paraId="7945885A" w14:textId="6A816933" w:rsidR="00E5638D" w:rsidRPr="006431D0" w:rsidRDefault="00796260" w:rsidP="00693521">
            <w:pPr>
              <w:spacing w:before="120" w:after="0"/>
              <w:rPr>
                <w:rFonts w:eastAsia="Times New Roman" w:cs="Tahoma"/>
                <w:sz w:val="14"/>
                <w:szCs w:val="14"/>
                <w:lang w:eastAsia="en-GB"/>
              </w:rPr>
            </w:pPr>
            <w:r>
              <w:rPr>
                <w:rFonts w:eastAsia="Times New Roman" w:cs="Tahoma"/>
                <w:sz w:val="14"/>
                <w:szCs w:val="14"/>
                <w:lang w:eastAsia="en-GB"/>
              </w:rPr>
              <w:t>.</w:t>
            </w:r>
          </w:p>
        </w:tc>
        <w:tc>
          <w:tcPr>
            <w:tcW w:w="570" w:type="dxa"/>
            <w:tcBorders>
              <w:top w:val="nil"/>
              <w:left w:val="nil"/>
              <w:right w:val="single" w:sz="4" w:space="0" w:color="auto"/>
            </w:tcBorders>
            <w:shd w:val="clear" w:color="000000" w:fill="auto"/>
            <w:noWrap/>
            <w:vAlign w:val="bottom"/>
          </w:tcPr>
          <w:p w14:paraId="7B8CD310" w14:textId="50834C07" w:rsidR="00E5638D" w:rsidRPr="006431D0" w:rsidRDefault="00796260" w:rsidP="00693521">
            <w:pPr>
              <w:spacing w:before="120" w:after="0"/>
              <w:rPr>
                <w:rFonts w:eastAsia="Times New Roman" w:cs="Tahoma"/>
                <w:sz w:val="14"/>
                <w:szCs w:val="14"/>
                <w:lang w:eastAsia="en-GB"/>
              </w:rPr>
            </w:pPr>
            <w:r>
              <w:rPr>
                <w:rFonts w:eastAsia="Times New Roman" w:cs="Tahoma"/>
                <w:sz w:val="14"/>
                <w:szCs w:val="14"/>
                <w:lang w:eastAsia="en-GB"/>
              </w:rPr>
              <w:t>.</w:t>
            </w:r>
          </w:p>
        </w:tc>
        <w:tc>
          <w:tcPr>
            <w:tcW w:w="570" w:type="dxa"/>
            <w:tcBorders>
              <w:top w:val="nil"/>
              <w:left w:val="nil"/>
              <w:right w:val="single" w:sz="4" w:space="0" w:color="auto"/>
            </w:tcBorders>
            <w:shd w:val="clear" w:color="000000" w:fill="auto"/>
            <w:noWrap/>
            <w:vAlign w:val="bottom"/>
          </w:tcPr>
          <w:p w14:paraId="6489FC14" w14:textId="0FEADBA4" w:rsidR="00E5638D" w:rsidRPr="006431D0" w:rsidRDefault="00796260" w:rsidP="00693521">
            <w:pPr>
              <w:spacing w:before="120" w:after="0"/>
              <w:rPr>
                <w:rFonts w:eastAsia="Times New Roman" w:cs="Tahoma"/>
                <w:sz w:val="14"/>
                <w:szCs w:val="14"/>
                <w:lang w:eastAsia="en-GB"/>
              </w:rPr>
            </w:pPr>
            <w:r>
              <w:rPr>
                <w:rFonts w:eastAsia="Times New Roman" w:cs="Tahoma"/>
                <w:sz w:val="14"/>
                <w:szCs w:val="14"/>
                <w:lang w:eastAsia="en-GB"/>
              </w:rPr>
              <w:t>.</w:t>
            </w:r>
          </w:p>
        </w:tc>
        <w:tc>
          <w:tcPr>
            <w:tcW w:w="570" w:type="dxa"/>
            <w:tcBorders>
              <w:top w:val="nil"/>
              <w:left w:val="nil"/>
              <w:right w:val="single" w:sz="4" w:space="0" w:color="auto"/>
            </w:tcBorders>
            <w:shd w:val="clear" w:color="000000" w:fill="auto"/>
            <w:noWrap/>
            <w:vAlign w:val="bottom"/>
          </w:tcPr>
          <w:p w14:paraId="1C98816E" w14:textId="5D7DF951" w:rsidR="00E5638D" w:rsidRPr="006431D0" w:rsidRDefault="00796260" w:rsidP="00693521">
            <w:pPr>
              <w:spacing w:before="120" w:after="0"/>
              <w:rPr>
                <w:rFonts w:eastAsia="Times New Roman" w:cs="Tahoma"/>
                <w:sz w:val="14"/>
                <w:szCs w:val="14"/>
                <w:lang w:eastAsia="en-GB"/>
              </w:rPr>
            </w:pPr>
            <w:r>
              <w:rPr>
                <w:rFonts w:eastAsia="Times New Roman" w:cs="Tahoma"/>
                <w:sz w:val="14"/>
                <w:szCs w:val="14"/>
                <w:lang w:eastAsia="en-GB"/>
              </w:rPr>
              <w:t>.</w:t>
            </w:r>
          </w:p>
        </w:tc>
        <w:tc>
          <w:tcPr>
            <w:tcW w:w="1383" w:type="dxa"/>
            <w:tcBorders>
              <w:top w:val="nil"/>
              <w:left w:val="nil"/>
              <w:right w:val="single" w:sz="4" w:space="0" w:color="000000"/>
            </w:tcBorders>
            <w:shd w:val="clear" w:color="000000" w:fill="auto"/>
            <w:noWrap/>
            <w:vAlign w:val="bottom"/>
          </w:tcPr>
          <w:p w14:paraId="21AA1D99" w14:textId="7D091F85" w:rsidR="00E5638D" w:rsidRPr="006431D0" w:rsidRDefault="00241068" w:rsidP="00693521">
            <w:pPr>
              <w:spacing w:before="120" w:after="0"/>
              <w:rPr>
                <w:rFonts w:eastAsia="Times New Roman" w:cs="Tahoma"/>
                <w:sz w:val="14"/>
                <w:szCs w:val="14"/>
                <w:lang w:eastAsia="en-GB"/>
              </w:rPr>
            </w:pPr>
            <w:r>
              <w:rPr>
                <w:rFonts w:eastAsia="Times New Roman" w:cs="Tahoma"/>
                <w:sz w:val="14"/>
                <w:szCs w:val="14"/>
                <w:lang w:eastAsia="en-GB"/>
              </w:rPr>
              <w:t>Not specified/Unknown</w:t>
            </w:r>
          </w:p>
        </w:tc>
      </w:tr>
      <w:tr w:rsidR="000C12BF" w:rsidRPr="006431D0" w14:paraId="0E7CEAB0" w14:textId="77777777" w:rsidTr="00BD5169">
        <w:trPr>
          <w:trHeight w:val="234"/>
        </w:trPr>
        <w:tc>
          <w:tcPr>
            <w:tcW w:w="1220" w:type="dxa"/>
            <w:tcBorders>
              <w:top w:val="nil"/>
              <w:left w:val="single" w:sz="4" w:space="0" w:color="000000"/>
              <w:bottom w:val="nil"/>
              <w:right w:val="single" w:sz="4" w:space="0" w:color="auto"/>
            </w:tcBorders>
            <w:shd w:val="clear" w:color="auto" w:fill="D9D9D9" w:themeFill="background1" w:themeFillShade="D9"/>
            <w:noWrap/>
            <w:vAlign w:val="bottom"/>
          </w:tcPr>
          <w:p w14:paraId="2552D457" w14:textId="030B6B56"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Germany</w:t>
            </w:r>
          </w:p>
        </w:tc>
        <w:tc>
          <w:tcPr>
            <w:tcW w:w="2575" w:type="dxa"/>
            <w:tcBorders>
              <w:top w:val="nil"/>
              <w:left w:val="nil"/>
              <w:bottom w:val="nil"/>
              <w:right w:val="single" w:sz="4" w:space="0" w:color="auto"/>
            </w:tcBorders>
            <w:shd w:val="clear" w:color="auto" w:fill="D9D9D9" w:themeFill="background1" w:themeFillShade="D9"/>
            <w:noWrap/>
            <w:vAlign w:val="bottom"/>
          </w:tcPr>
          <w:p w14:paraId="75A8E558" w14:textId="68217F4E"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DE-SURVNET@RKI-7.1</w:t>
            </w:r>
          </w:p>
        </w:tc>
        <w:tc>
          <w:tcPr>
            <w:tcW w:w="570" w:type="dxa"/>
            <w:tcBorders>
              <w:top w:val="nil"/>
              <w:left w:val="nil"/>
              <w:bottom w:val="nil"/>
              <w:right w:val="single" w:sz="4" w:space="0" w:color="auto"/>
            </w:tcBorders>
            <w:shd w:val="clear" w:color="auto" w:fill="D9D9D9" w:themeFill="background1" w:themeFillShade="D9"/>
            <w:noWrap/>
            <w:vAlign w:val="bottom"/>
          </w:tcPr>
          <w:p w14:paraId="6B7355B4" w14:textId="681DD4F6"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D9D9D9" w:themeFill="background1" w:themeFillShade="D9"/>
            <w:noWrap/>
            <w:vAlign w:val="bottom"/>
          </w:tcPr>
          <w:p w14:paraId="42ABDA98" w14:textId="5B7FDB59"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D9D9D9" w:themeFill="background1" w:themeFillShade="D9"/>
            <w:noWrap/>
            <w:vAlign w:val="bottom"/>
          </w:tcPr>
          <w:p w14:paraId="55EDCAF7" w14:textId="530EDA72"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D9D9D9" w:themeFill="background1" w:themeFillShade="D9"/>
            <w:noWrap/>
            <w:vAlign w:val="bottom"/>
          </w:tcPr>
          <w:p w14:paraId="1E904617" w14:textId="7BDF1D94"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vAlign w:val="bottom"/>
          </w:tcPr>
          <w:p w14:paraId="1FDDAA76" w14:textId="397EB29F"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tcPr>
          <w:p w14:paraId="15E13CFF" w14:textId="4C976157"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D9D9D9" w:themeFill="background1" w:themeFillShade="D9"/>
            <w:noWrap/>
            <w:vAlign w:val="bottom"/>
          </w:tcPr>
          <w:p w14:paraId="7CEDCB17" w14:textId="667E2FCE"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D9D9D9" w:themeFill="background1" w:themeFillShade="D9"/>
            <w:noWrap/>
            <w:vAlign w:val="bottom"/>
          </w:tcPr>
          <w:p w14:paraId="499523FF" w14:textId="11FCCC94"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auto" w:fill="D9D9D9" w:themeFill="background1" w:themeFillShade="D9"/>
            <w:noWrap/>
            <w:vAlign w:val="bottom"/>
          </w:tcPr>
          <w:p w14:paraId="7992C42D" w14:textId="2A40FBF8"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Other</w:t>
            </w:r>
          </w:p>
        </w:tc>
      </w:tr>
      <w:tr w:rsidR="00BD5169" w:rsidRPr="006431D0" w14:paraId="1CD505D6"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tcPr>
          <w:p w14:paraId="70274E34" w14:textId="1A0F2765"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Greece</w:t>
            </w:r>
          </w:p>
        </w:tc>
        <w:tc>
          <w:tcPr>
            <w:tcW w:w="2575" w:type="dxa"/>
            <w:tcBorders>
              <w:top w:val="nil"/>
              <w:left w:val="nil"/>
              <w:bottom w:val="nil"/>
              <w:right w:val="single" w:sz="4" w:space="0" w:color="auto"/>
            </w:tcBorders>
            <w:shd w:val="clear" w:color="auto" w:fill="auto"/>
            <w:noWrap/>
            <w:vAlign w:val="bottom"/>
          </w:tcPr>
          <w:p w14:paraId="2EF004C5" w14:textId="52672069"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EL-</w:t>
            </w:r>
            <w:proofErr w:type="spellStart"/>
            <w:r w:rsidRPr="006431D0">
              <w:rPr>
                <w:rFonts w:eastAsia="Times New Roman" w:cs="Tahoma"/>
                <w:sz w:val="14"/>
                <w:szCs w:val="14"/>
                <w:lang w:eastAsia="en-GB"/>
              </w:rPr>
              <w:t>Lab_Hospital</w:t>
            </w:r>
            <w:proofErr w:type="spellEnd"/>
          </w:p>
        </w:tc>
        <w:tc>
          <w:tcPr>
            <w:tcW w:w="570" w:type="dxa"/>
            <w:tcBorders>
              <w:top w:val="nil"/>
              <w:left w:val="nil"/>
              <w:bottom w:val="nil"/>
              <w:right w:val="single" w:sz="4" w:space="0" w:color="auto"/>
            </w:tcBorders>
            <w:shd w:val="clear" w:color="auto" w:fill="auto"/>
            <w:noWrap/>
            <w:vAlign w:val="bottom"/>
          </w:tcPr>
          <w:p w14:paraId="48F3D85A" w14:textId="59534A5D"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tcPr>
          <w:p w14:paraId="4DBFC5EB" w14:textId="6B58B30A"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O</w:t>
            </w:r>
          </w:p>
        </w:tc>
        <w:tc>
          <w:tcPr>
            <w:tcW w:w="570" w:type="dxa"/>
            <w:tcBorders>
              <w:top w:val="nil"/>
              <w:left w:val="nil"/>
              <w:bottom w:val="nil"/>
              <w:right w:val="single" w:sz="4" w:space="0" w:color="auto"/>
            </w:tcBorders>
            <w:shd w:val="clear" w:color="auto" w:fill="auto"/>
            <w:noWrap/>
            <w:vAlign w:val="bottom"/>
          </w:tcPr>
          <w:p w14:paraId="51189E50" w14:textId="44D97DFE"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tcPr>
          <w:p w14:paraId="387E4A04" w14:textId="66C360BF" w:rsidR="00BD5169" w:rsidRPr="006431D0" w:rsidRDefault="00BD5169" w:rsidP="00BD5169">
            <w:pPr>
              <w:spacing w:before="120" w:after="0"/>
              <w:rPr>
                <w:rFonts w:eastAsia="Times New Roman" w:cs="Tahoma"/>
                <w:sz w:val="14"/>
                <w:szCs w:val="14"/>
                <w:lang w:eastAsia="en-GB"/>
              </w:rPr>
            </w:pPr>
            <w:r>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tcPr>
          <w:p w14:paraId="5FEA44F5" w14:textId="706379AB"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39644C1D" w14:textId="333F7FBF"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57C8B798" w14:textId="26148826"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4A3831DD" w14:textId="7CB7D166"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auto" w:fill="auto"/>
            <w:noWrap/>
            <w:vAlign w:val="bottom"/>
          </w:tcPr>
          <w:p w14:paraId="68DDB77C" w14:textId="32E92DB7" w:rsidR="00BD5169" w:rsidRPr="006431D0" w:rsidRDefault="00BD5169" w:rsidP="00BD5169">
            <w:pPr>
              <w:spacing w:before="120" w:after="0"/>
              <w:rPr>
                <w:rFonts w:eastAsia="Times New Roman" w:cs="Tahoma"/>
                <w:sz w:val="14"/>
                <w:szCs w:val="14"/>
                <w:lang w:eastAsia="en-GB"/>
              </w:rPr>
            </w:pPr>
            <w:r>
              <w:rPr>
                <w:rFonts w:eastAsia="Times New Roman" w:cs="Tahoma"/>
                <w:sz w:val="14"/>
                <w:szCs w:val="14"/>
                <w:lang w:eastAsia="en-GB"/>
              </w:rPr>
              <w:t>Other</w:t>
            </w:r>
          </w:p>
        </w:tc>
      </w:tr>
      <w:tr w:rsidR="000C12BF" w:rsidRPr="006431D0" w14:paraId="10852D36" w14:textId="77777777" w:rsidTr="00BD5169">
        <w:trPr>
          <w:trHeight w:val="234"/>
        </w:trPr>
        <w:tc>
          <w:tcPr>
            <w:tcW w:w="1220" w:type="dxa"/>
            <w:tcBorders>
              <w:top w:val="nil"/>
              <w:left w:val="single" w:sz="4" w:space="0" w:color="000000"/>
              <w:bottom w:val="nil"/>
              <w:right w:val="single" w:sz="4" w:space="0" w:color="auto"/>
            </w:tcBorders>
            <w:shd w:val="clear" w:color="000000" w:fill="D9D9D9"/>
            <w:noWrap/>
            <w:vAlign w:val="bottom"/>
          </w:tcPr>
          <w:p w14:paraId="334DAAE6" w14:textId="368BA278"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Hungary</w:t>
            </w:r>
          </w:p>
        </w:tc>
        <w:tc>
          <w:tcPr>
            <w:tcW w:w="2575" w:type="dxa"/>
            <w:tcBorders>
              <w:top w:val="nil"/>
              <w:left w:val="nil"/>
              <w:bottom w:val="nil"/>
              <w:right w:val="single" w:sz="4" w:space="0" w:color="auto"/>
            </w:tcBorders>
            <w:shd w:val="clear" w:color="000000" w:fill="D9D9D9"/>
            <w:noWrap/>
            <w:vAlign w:val="bottom"/>
          </w:tcPr>
          <w:p w14:paraId="45A21052" w14:textId="25E49908"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HU-EFRIR</w:t>
            </w:r>
          </w:p>
        </w:tc>
        <w:tc>
          <w:tcPr>
            <w:tcW w:w="570" w:type="dxa"/>
            <w:tcBorders>
              <w:top w:val="nil"/>
              <w:left w:val="nil"/>
              <w:bottom w:val="nil"/>
              <w:right w:val="single" w:sz="4" w:space="0" w:color="auto"/>
            </w:tcBorders>
            <w:shd w:val="clear" w:color="000000" w:fill="D9D9D9"/>
            <w:noWrap/>
            <w:vAlign w:val="bottom"/>
          </w:tcPr>
          <w:p w14:paraId="755900AA" w14:textId="4DCF8DAA"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727B62A8" w14:textId="2E7A90B8"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0284AC43" w14:textId="2F0EB424"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36D1491A" w14:textId="6221A5FD"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15EE3E38" w14:textId="3FE9BDBE"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6FD5B7AB" w14:textId="0520EBE8"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4F40657" w14:textId="5B06DA81"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50A4351C" w14:textId="30F95BAF"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000000" w:fill="D9D9D9"/>
            <w:noWrap/>
            <w:vAlign w:val="bottom"/>
          </w:tcPr>
          <w:p w14:paraId="4696569A" w14:textId="693F13BA"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EU-2012</w:t>
            </w:r>
          </w:p>
        </w:tc>
      </w:tr>
      <w:tr w:rsidR="00BD5169" w:rsidRPr="006431D0" w14:paraId="5186F8E0"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tcPr>
          <w:p w14:paraId="60242D3C" w14:textId="33E4A787"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Iceland</w:t>
            </w:r>
          </w:p>
        </w:tc>
        <w:tc>
          <w:tcPr>
            <w:tcW w:w="2575" w:type="dxa"/>
            <w:tcBorders>
              <w:top w:val="nil"/>
              <w:left w:val="nil"/>
              <w:bottom w:val="nil"/>
              <w:right w:val="single" w:sz="4" w:space="0" w:color="auto"/>
            </w:tcBorders>
            <w:shd w:val="clear" w:color="auto" w:fill="auto"/>
            <w:noWrap/>
            <w:vAlign w:val="bottom"/>
          </w:tcPr>
          <w:p w14:paraId="66E82E9C" w14:textId="65FBC187"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IS-SUBJECT_TO_REGISTRATION</w:t>
            </w:r>
          </w:p>
        </w:tc>
        <w:tc>
          <w:tcPr>
            <w:tcW w:w="570" w:type="dxa"/>
            <w:tcBorders>
              <w:top w:val="nil"/>
              <w:left w:val="nil"/>
              <w:bottom w:val="nil"/>
              <w:right w:val="single" w:sz="4" w:space="0" w:color="auto"/>
            </w:tcBorders>
            <w:shd w:val="clear" w:color="auto" w:fill="auto"/>
            <w:noWrap/>
            <w:vAlign w:val="bottom"/>
          </w:tcPr>
          <w:p w14:paraId="74511260" w14:textId="063C4FEF"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653AE8CE" w14:textId="52D328EA"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20021176" w14:textId="09D56F7B"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0A64A18E" w14:textId="5C226652"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51967537" w14:textId="2EBC512D"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141B9467" w14:textId="0982E8B8"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0118E998" w14:textId="7E268540"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w:t>
            </w:r>
          </w:p>
        </w:tc>
        <w:tc>
          <w:tcPr>
            <w:tcW w:w="570" w:type="dxa"/>
            <w:tcBorders>
              <w:top w:val="nil"/>
              <w:left w:val="nil"/>
              <w:bottom w:val="nil"/>
              <w:right w:val="single" w:sz="4" w:space="0" w:color="auto"/>
            </w:tcBorders>
            <w:shd w:val="clear" w:color="auto" w:fill="auto"/>
            <w:noWrap/>
            <w:vAlign w:val="bottom"/>
          </w:tcPr>
          <w:p w14:paraId="33C62C35" w14:textId="26D2E11C"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w:t>
            </w:r>
          </w:p>
        </w:tc>
        <w:tc>
          <w:tcPr>
            <w:tcW w:w="1383" w:type="dxa"/>
            <w:tcBorders>
              <w:top w:val="nil"/>
              <w:left w:val="nil"/>
              <w:bottom w:val="nil"/>
              <w:right w:val="single" w:sz="4" w:space="0" w:color="000000"/>
            </w:tcBorders>
            <w:shd w:val="clear" w:color="auto" w:fill="auto"/>
            <w:noWrap/>
            <w:vAlign w:val="bottom"/>
          </w:tcPr>
          <w:p w14:paraId="549ACBBD" w14:textId="0312C891" w:rsidR="00BD5169" w:rsidRPr="006431D0" w:rsidRDefault="00BD5169" w:rsidP="00BD5169">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0C12BF" w:rsidRPr="006431D0" w14:paraId="015ECA05" w14:textId="77777777" w:rsidTr="001D156E">
        <w:trPr>
          <w:trHeight w:val="234"/>
        </w:trPr>
        <w:tc>
          <w:tcPr>
            <w:tcW w:w="1220" w:type="dxa"/>
            <w:tcBorders>
              <w:top w:val="nil"/>
              <w:left w:val="single" w:sz="4" w:space="0" w:color="000000"/>
              <w:bottom w:val="nil"/>
              <w:right w:val="single" w:sz="4" w:space="0" w:color="auto"/>
            </w:tcBorders>
            <w:shd w:val="clear" w:color="000000" w:fill="D9D9D9"/>
            <w:noWrap/>
            <w:vAlign w:val="bottom"/>
          </w:tcPr>
          <w:p w14:paraId="4206780D" w14:textId="740E878F" w:rsidR="001D156E" w:rsidRPr="006431D0" w:rsidRDefault="001D156E" w:rsidP="001D156E">
            <w:pPr>
              <w:spacing w:before="120" w:after="0"/>
              <w:rPr>
                <w:rFonts w:eastAsia="Times New Roman" w:cs="Tahoma"/>
                <w:sz w:val="14"/>
                <w:szCs w:val="14"/>
                <w:lang w:eastAsia="en-GB"/>
              </w:rPr>
            </w:pPr>
            <w:r>
              <w:rPr>
                <w:rFonts w:eastAsia="Times New Roman" w:cs="Tahoma"/>
                <w:sz w:val="14"/>
                <w:szCs w:val="14"/>
                <w:lang w:eastAsia="en-GB"/>
              </w:rPr>
              <w:t>Italy</w:t>
            </w:r>
          </w:p>
        </w:tc>
        <w:tc>
          <w:tcPr>
            <w:tcW w:w="2575" w:type="dxa"/>
            <w:tcBorders>
              <w:top w:val="nil"/>
              <w:left w:val="nil"/>
              <w:bottom w:val="nil"/>
              <w:right w:val="single" w:sz="4" w:space="0" w:color="auto"/>
            </w:tcBorders>
            <w:shd w:val="clear" w:color="000000" w:fill="D9D9D9"/>
            <w:noWrap/>
          </w:tcPr>
          <w:p w14:paraId="0D3859ED" w14:textId="20158DA0"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IT-NRS</w:t>
            </w:r>
          </w:p>
        </w:tc>
        <w:tc>
          <w:tcPr>
            <w:tcW w:w="570" w:type="dxa"/>
            <w:tcBorders>
              <w:top w:val="nil"/>
              <w:left w:val="nil"/>
              <w:bottom w:val="nil"/>
              <w:right w:val="single" w:sz="4" w:space="0" w:color="auto"/>
            </w:tcBorders>
            <w:shd w:val="clear" w:color="000000" w:fill="D9D9D9"/>
            <w:noWrap/>
          </w:tcPr>
          <w:p w14:paraId="45DE8C59" w14:textId="75E6EC5E"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Cp</w:t>
            </w:r>
          </w:p>
        </w:tc>
        <w:tc>
          <w:tcPr>
            <w:tcW w:w="570" w:type="dxa"/>
            <w:tcBorders>
              <w:top w:val="nil"/>
              <w:left w:val="nil"/>
              <w:bottom w:val="nil"/>
              <w:right w:val="single" w:sz="4" w:space="0" w:color="auto"/>
            </w:tcBorders>
            <w:shd w:val="clear" w:color="000000" w:fill="D9D9D9"/>
            <w:noWrap/>
          </w:tcPr>
          <w:p w14:paraId="05BB1577" w14:textId="3706C9A9"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Co</w:t>
            </w:r>
          </w:p>
        </w:tc>
        <w:tc>
          <w:tcPr>
            <w:tcW w:w="570" w:type="dxa"/>
            <w:tcBorders>
              <w:top w:val="nil"/>
              <w:left w:val="nil"/>
              <w:bottom w:val="nil"/>
              <w:right w:val="single" w:sz="4" w:space="0" w:color="auto"/>
            </w:tcBorders>
            <w:shd w:val="clear" w:color="000000" w:fill="D9D9D9"/>
            <w:noWrap/>
          </w:tcPr>
          <w:p w14:paraId="7533359E" w14:textId="1A732772"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P</w:t>
            </w:r>
          </w:p>
        </w:tc>
        <w:tc>
          <w:tcPr>
            <w:tcW w:w="570" w:type="dxa"/>
            <w:tcBorders>
              <w:top w:val="nil"/>
              <w:left w:val="nil"/>
              <w:bottom w:val="nil"/>
              <w:right w:val="single" w:sz="4" w:space="0" w:color="auto"/>
            </w:tcBorders>
            <w:shd w:val="clear" w:color="000000" w:fill="D9D9D9"/>
            <w:noWrap/>
          </w:tcPr>
          <w:p w14:paraId="489CE1DD" w14:textId="4EBD0C17"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C</w:t>
            </w:r>
          </w:p>
        </w:tc>
        <w:tc>
          <w:tcPr>
            <w:tcW w:w="570" w:type="dxa"/>
            <w:tcBorders>
              <w:top w:val="nil"/>
              <w:left w:val="nil"/>
              <w:bottom w:val="nil"/>
              <w:right w:val="single" w:sz="4" w:space="0" w:color="auto"/>
            </w:tcBorders>
            <w:shd w:val="clear" w:color="000000" w:fill="D9D9D9"/>
            <w:noWrap/>
          </w:tcPr>
          <w:p w14:paraId="4591B1AD" w14:textId="4585B9BA"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N</w:t>
            </w:r>
          </w:p>
        </w:tc>
        <w:tc>
          <w:tcPr>
            <w:tcW w:w="570" w:type="dxa"/>
            <w:tcBorders>
              <w:top w:val="nil"/>
              <w:left w:val="nil"/>
              <w:bottom w:val="nil"/>
              <w:right w:val="single" w:sz="4" w:space="0" w:color="auto"/>
            </w:tcBorders>
            <w:shd w:val="clear" w:color="000000" w:fill="D9D9D9"/>
            <w:noWrap/>
          </w:tcPr>
          <w:p w14:paraId="015A2440" w14:textId="3632F993"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Y</w:t>
            </w:r>
          </w:p>
        </w:tc>
        <w:tc>
          <w:tcPr>
            <w:tcW w:w="570" w:type="dxa"/>
            <w:tcBorders>
              <w:top w:val="nil"/>
              <w:left w:val="nil"/>
              <w:bottom w:val="nil"/>
              <w:right w:val="single" w:sz="4" w:space="0" w:color="auto"/>
            </w:tcBorders>
            <w:shd w:val="clear" w:color="000000" w:fill="D9D9D9"/>
            <w:noWrap/>
          </w:tcPr>
          <w:p w14:paraId="7A2D5C06" w14:textId="5C9D508C"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Y</w:t>
            </w:r>
          </w:p>
        </w:tc>
        <w:tc>
          <w:tcPr>
            <w:tcW w:w="570" w:type="dxa"/>
            <w:tcBorders>
              <w:top w:val="nil"/>
              <w:left w:val="nil"/>
              <w:bottom w:val="nil"/>
              <w:right w:val="single" w:sz="4" w:space="0" w:color="auto"/>
            </w:tcBorders>
            <w:shd w:val="clear" w:color="000000" w:fill="D9D9D9"/>
            <w:noWrap/>
          </w:tcPr>
          <w:p w14:paraId="39305BE6" w14:textId="1A27E407"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N</w:t>
            </w:r>
          </w:p>
        </w:tc>
        <w:tc>
          <w:tcPr>
            <w:tcW w:w="1383" w:type="dxa"/>
            <w:tcBorders>
              <w:top w:val="nil"/>
              <w:left w:val="nil"/>
              <w:bottom w:val="nil"/>
              <w:right w:val="single" w:sz="4" w:space="0" w:color="000000"/>
            </w:tcBorders>
            <w:shd w:val="clear" w:color="000000" w:fill="D9D9D9"/>
            <w:noWrap/>
          </w:tcPr>
          <w:p w14:paraId="0F426664" w14:textId="076399DE" w:rsidR="001D156E" w:rsidRPr="001D156E" w:rsidRDefault="001D156E" w:rsidP="001D156E">
            <w:pPr>
              <w:spacing w:before="120" w:after="0"/>
              <w:rPr>
                <w:rFonts w:eastAsia="Times New Roman" w:cs="Tahoma"/>
                <w:sz w:val="14"/>
                <w:szCs w:val="14"/>
                <w:lang w:eastAsia="en-GB"/>
              </w:rPr>
            </w:pPr>
            <w:r w:rsidRPr="001D156E">
              <w:rPr>
                <w:rFonts w:cs="Tahoma"/>
                <w:color w:val="000000"/>
                <w:sz w:val="14"/>
                <w:szCs w:val="14"/>
              </w:rPr>
              <w:t>Other</w:t>
            </w:r>
          </w:p>
        </w:tc>
      </w:tr>
      <w:tr w:rsidR="0092511A" w:rsidRPr="006431D0" w14:paraId="6A842BCC"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tcPr>
          <w:p w14:paraId="2C78E46E" w14:textId="006B48B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Ireland</w:t>
            </w:r>
          </w:p>
        </w:tc>
        <w:tc>
          <w:tcPr>
            <w:tcW w:w="2575" w:type="dxa"/>
            <w:tcBorders>
              <w:top w:val="nil"/>
              <w:left w:val="nil"/>
              <w:bottom w:val="nil"/>
              <w:right w:val="single" w:sz="4" w:space="0" w:color="auto"/>
            </w:tcBorders>
            <w:shd w:val="clear" w:color="auto" w:fill="auto"/>
            <w:noWrap/>
            <w:vAlign w:val="bottom"/>
          </w:tcPr>
          <w:p w14:paraId="34E015CC" w14:textId="2ED108A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IE-CIDR</w:t>
            </w:r>
          </w:p>
        </w:tc>
        <w:tc>
          <w:tcPr>
            <w:tcW w:w="570" w:type="dxa"/>
            <w:tcBorders>
              <w:top w:val="nil"/>
              <w:left w:val="nil"/>
              <w:bottom w:val="nil"/>
              <w:right w:val="single" w:sz="4" w:space="0" w:color="auto"/>
            </w:tcBorders>
            <w:shd w:val="clear" w:color="auto" w:fill="auto"/>
            <w:noWrap/>
            <w:vAlign w:val="bottom"/>
          </w:tcPr>
          <w:p w14:paraId="13B0FD2E" w14:textId="244560F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07ED832D" w14:textId="14A5732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3DCE0CAF" w14:textId="2A3E8C3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24C961AA" w14:textId="3C953C2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5CB48EDF" w14:textId="4430BE01"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15D9F23B" w14:textId="1CF5FFD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652E8684" w14:textId="2464758F"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44EB61ED" w14:textId="3CFEA6FF"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auto" w:fill="auto"/>
            <w:noWrap/>
            <w:vAlign w:val="bottom"/>
          </w:tcPr>
          <w:p w14:paraId="15189120" w14:textId="1059596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EU-2012</w:t>
            </w:r>
          </w:p>
        </w:tc>
      </w:tr>
      <w:tr w:rsidR="000C12BF" w:rsidRPr="006431D0" w14:paraId="4B5B494C" w14:textId="77777777" w:rsidTr="00BD5169">
        <w:trPr>
          <w:trHeight w:val="234"/>
        </w:trPr>
        <w:tc>
          <w:tcPr>
            <w:tcW w:w="1220" w:type="dxa"/>
            <w:tcBorders>
              <w:top w:val="nil"/>
              <w:left w:val="single" w:sz="4" w:space="0" w:color="000000"/>
              <w:bottom w:val="nil"/>
              <w:right w:val="single" w:sz="4" w:space="0" w:color="auto"/>
            </w:tcBorders>
            <w:shd w:val="clear" w:color="000000" w:fill="D9D9D9"/>
            <w:noWrap/>
            <w:vAlign w:val="bottom"/>
          </w:tcPr>
          <w:p w14:paraId="6B9133A2" w14:textId="4EC6C8C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Latvia</w:t>
            </w:r>
          </w:p>
        </w:tc>
        <w:tc>
          <w:tcPr>
            <w:tcW w:w="2575" w:type="dxa"/>
            <w:tcBorders>
              <w:top w:val="nil"/>
              <w:left w:val="nil"/>
              <w:bottom w:val="nil"/>
              <w:right w:val="single" w:sz="4" w:space="0" w:color="auto"/>
            </w:tcBorders>
            <w:shd w:val="clear" w:color="000000" w:fill="D9D9D9"/>
            <w:noWrap/>
            <w:vAlign w:val="bottom"/>
          </w:tcPr>
          <w:p w14:paraId="3C76B7BA" w14:textId="3B11AC1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LV-BSN</w:t>
            </w:r>
          </w:p>
        </w:tc>
        <w:tc>
          <w:tcPr>
            <w:tcW w:w="570" w:type="dxa"/>
            <w:tcBorders>
              <w:top w:val="nil"/>
              <w:left w:val="nil"/>
              <w:bottom w:val="nil"/>
              <w:right w:val="single" w:sz="4" w:space="0" w:color="auto"/>
            </w:tcBorders>
            <w:shd w:val="clear" w:color="000000" w:fill="D9D9D9"/>
            <w:noWrap/>
            <w:vAlign w:val="bottom"/>
          </w:tcPr>
          <w:p w14:paraId="3173275F" w14:textId="3004163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29BA4852" w14:textId="27D4513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6A753F56" w14:textId="173C3E51"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2F0BC65F" w14:textId="7D2F57A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71C5F536" w14:textId="1C42A4A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525D1C7D" w14:textId="43B314E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591ADB9F" w14:textId="483595EB"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6685865" w14:textId="4AC5347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000000" w:fill="D9D9D9"/>
            <w:noWrap/>
            <w:vAlign w:val="bottom"/>
          </w:tcPr>
          <w:p w14:paraId="1C1421A4" w14:textId="0CFB835F"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w:t>
            </w:r>
            <w:r w:rsidR="001D156E">
              <w:rPr>
                <w:rFonts w:eastAsia="Times New Roman" w:cs="Tahoma"/>
                <w:sz w:val="14"/>
                <w:szCs w:val="14"/>
                <w:lang w:eastAsia="en-GB"/>
              </w:rPr>
              <w:t>8</w:t>
            </w:r>
          </w:p>
        </w:tc>
      </w:tr>
      <w:tr w:rsidR="0092511A" w:rsidRPr="006431D0" w14:paraId="35E279B7"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tcPr>
          <w:p w14:paraId="0817D5B5" w14:textId="11453FFF"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Lithuania</w:t>
            </w:r>
          </w:p>
        </w:tc>
        <w:tc>
          <w:tcPr>
            <w:tcW w:w="2575" w:type="dxa"/>
            <w:tcBorders>
              <w:top w:val="nil"/>
              <w:left w:val="nil"/>
              <w:bottom w:val="nil"/>
              <w:right w:val="single" w:sz="4" w:space="0" w:color="auto"/>
            </w:tcBorders>
            <w:shd w:val="clear" w:color="auto" w:fill="auto"/>
            <w:noWrap/>
            <w:vAlign w:val="bottom"/>
          </w:tcPr>
          <w:p w14:paraId="156E4637" w14:textId="28B4CCBD"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LT-COMMUNICABLE_DISEASES</w:t>
            </w:r>
          </w:p>
        </w:tc>
        <w:tc>
          <w:tcPr>
            <w:tcW w:w="570" w:type="dxa"/>
            <w:tcBorders>
              <w:top w:val="nil"/>
              <w:left w:val="nil"/>
              <w:bottom w:val="nil"/>
              <w:right w:val="single" w:sz="4" w:space="0" w:color="auto"/>
            </w:tcBorders>
            <w:shd w:val="clear" w:color="auto" w:fill="auto"/>
            <w:noWrap/>
            <w:vAlign w:val="bottom"/>
          </w:tcPr>
          <w:p w14:paraId="42886E11" w14:textId="3B1F43DB"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06F363F6" w14:textId="397AF031"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424E896B" w14:textId="3C5D542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59FA986C" w14:textId="6372398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7DB65D2B" w14:textId="3015D65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58213713" w14:textId="50CBDF4E"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0D4AC8DE" w14:textId="3842932C"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0908B4E2" w14:textId="6D14BEAC"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auto" w:fill="auto"/>
            <w:noWrap/>
            <w:vAlign w:val="bottom"/>
          </w:tcPr>
          <w:p w14:paraId="2E0FF97A" w14:textId="4FE3B57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0C12BF" w:rsidRPr="006431D0" w14:paraId="1BED4939" w14:textId="77777777" w:rsidTr="00BD5169">
        <w:trPr>
          <w:trHeight w:val="234"/>
        </w:trPr>
        <w:tc>
          <w:tcPr>
            <w:tcW w:w="1220" w:type="dxa"/>
            <w:tcBorders>
              <w:top w:val="nil"/>
              <w:left w:val="single" w:sz="4" w:space="0" w:color="000000"/>
              <w:bottom w:val="nil"/>
              <w:right w:val="single" w:sz="4" w:space="0" w:color="auto"/>
            </w:tcBorders>
            <w:shd w:val="clear" w:color="000000" w:fill="D9D9D9"/>
            <w:noWrap/>
            <w:vAlign w:val="bottom"/>
          </w:tcPr>
          <w:p w14:paraId="4C642464" w14:textId="6DB535C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Luxembourg</w:t>
            </w:r>
          </w:p>
        </w:tc>
        <w:tc>
          <w:tcPr>
            <w:tcW w:w="2575" w:type="dxa"/>
            <w:tcBorders>
              <w:top w:val="nil"/>
              <w:left w:val="nil"/>
              <w:bottom w:val="nil"/>
              <w:right w:val="single" w:sz="4" w:space="0" w:color="auto"/>
            </w:tcBorders>
            <w:shd w:val="clear" w:color="000000" w:fill="D9D9D9"/>
            <w:noWrap/>
            <w:vAlign w:val="bottom"/>
          </w:tcPr>
          <w:p w14:paraId="38D4F209" w14:textId="5BDCD8D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LU-SYSTEM1</w:t>
            </w:r>
          </w:p>
        </w:tc>
        <w:tc>
          <w:tcPr>
            <w:tcW w:w="570" w:type="dxa"/>
            <w:tcBorders>
              <w:top w:val="nil"/>
              <w:left w:val="nil"/>
              <w:bottom w:val="nil"/>
              <w:right w:val="single" w:sz="4" w:space="0" w:color="auto"/>
            </w:tcBorders>
            <w:shd w:val="clear" w:color="000000" w:fill="D9D9D9"/>
            <w:noWrap/>
            <w:vAlign w:val="bottom"/>
          </w:tcPr>
          <w:p w14:paraId="5C5617B6" w14:textId="4277061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6DD89627" w14:textId="6B30BE3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29054BBB" w14:textId="47FD8650"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4B371E9F" w14:textId="64169888"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1C9EA3DD" w14:textId="51E681B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0D01108F" w14:textId="130AD09A"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CE4E50F" w14:textId="20F1613D"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7434699B" w14:textId="672C2AF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000000" w:fill="D9D9D9"/>
            <w:noWrap/>
            <w:vAlign w:val="bottom"/>
          </w:tcPr>
          <w:p w14:paraId="19C45493" w14:textId="24791C5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92511A" w:rsidRPr="006431D0" w14:paraId="437A8710"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tcPr>
          <w:p w14:paraId="791EBD8F" w14:textId="55415B4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Malta</w:t>
            </w:r>
          </w:p>
        </w:tc>
        <w:tc>
          <w:tcPr>
            <w:tcW w:w="2575" w:type="dxa"/>
            <w:tcBorders>
              <w:top w:val="nil"/>
              <w:left w:val="nil"/>
              <w:bottom w:val="nil"/>
              <w:right w:val="single" w:sz="4" w:space="0" w:color="auto"/>
            </w:tcBorders>
            <w:shd w:val="clear" w:color="auto" w:fill="auto"/>
            <w:noWrap/>
            <w:vAlign w:val="bottom"/>
          </w:tcPr>
          <w:p w14:paraId="2B5B1D72" w14:textId="4757573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MT-DISEASE_SURVEILLANCE</w:t>
            </w:r>
          </w:p>
        </w:tc>
        <w:tc>
          <w:tcPr>
            <w:tcW w:w="570" w:type="dxa"/>
            <w:tcBorders>
              <w:top w:val="nil"/>
              <w:left w:val="nil"/>
              <w:bottom w:val="nil"/>
              <w:right w:val="single" w:sz="4" w:space="0" w:color="auto"/>
            </w:tcBorders>
            <w:shd w:val="clear" w:color="auto" w:fill="auto"/>
            <w:noWrap/>
            <w:vAlign w:val="bottom"/>
          </w:tcPr>
          <w:p w14:paraId="61857A0D" w14:textId="7CB970BB"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58A8242E" w14:textId="7126A60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4580E249" w14:textId="72BC2A30"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7C75E1BC" w14:textId="37AB76F0"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5161D39F" w14:textId="47FEA6A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31004B03" w14:textId="0F4B7FB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34A7A2B" w14:textId="5E6ED09D"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0B3DB9C9" w14:textId="5C46080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1383" w:type="dxa"/>
            <w:tcBorders>
              <w:top w:val="nil"/>
              <w:left w:val="nil"/>
              <w:bottom w:val="nil"/>
              <w:right w:val="single" w:sz="4" w:space="0" w:color="000000"/>
            </w:tcBorders>
            <w:shd w:val="clear" w:color="auto" w:fill="auto"/>
            <w:noWrap/>
            <w:vAlign w:val="bottom"/>
          </w:tcPr>
          <w:p w14:paraId="5A0D18BA" w14:textId="05AECB1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0C12BF" w:rsidRPr="006431D0" w14:paraId="5FB1502C" w14:textId="77777777" w:rsidTr="00BD5169">
        <w:trPr>
          <w:trHeight w:val="234"/>
        </w:trPr>
        <w:tc>
          <w:tcPr>
            <w:tcW w:w="1220" w:type="dxa"/>
            <w:tcBorders>
              <w:top w:val="nil"/>
              <w:left w:val="single" w:sz="4" w:space="0" w:color="000000"/>
              <w:bottom w:val="nil"/>
              <w:right w:val="single" w:sz="4" w:space="0" w:color="auto"/>
            </w:tcBorders>
            <w:shd w:val="clear" w:color="000000" w:fill="D9D9D9"/>
            <w:noWrap/>
            <w:vAlign w:val="bottom"/>
          </w:tcPr>
          <w:p w14:paraId="4E9C5571" w14:textId="1DB1DCF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Norway</w:t>
            </w:r>
          </w:p>
        </w:tc>
        <w:tc>
          <w:tcPr>
            <w:tcW w:w="2575" w:type="dxa"/>
            <w:tcBorders>
              <w:top w:val="nil"/>
              <w:left w:val="nil"/>
              <w:bottom w:val="nil"/>
              <w:right w:val="single" w:sz="4" w:space="0" w:color="auto"/>
            </w:tcBorders>
            <w:shd w:val="clear" w:color="000000" w:fill="D9D9D9"/>
            <w:noWrap/>
            <w:vAlign w:val="bottom"/>
          </w:tcPr>
          <w:p w14:paraId="5E86A7B7" w14:textId="4B76BEA1"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NO-MSIS_A</w:t>
            </w:r>
          </w:p>
        </w:tc>
        <w:tc>
          <w:tcPr>
            <w:tcW w:w="570" w:type="dxa"/>
            <w:tcBorders>
              <w:top w:val="nil"/>
              <w:left w:val="nil"/>
              <w:bottom w:val="nil"/>
              <w:right w:val="single" w:sz="4" w:space="0" w:color="auto"/>
            </w:tcBorders>
            <w:shd w:val="clear" w:color="000000" w:fill="D9D9D9"/>
            <w:noWrap/>
            <w:vAlign w:val="bottom"/>
          </w:tcPr>
          <w:p w14:paraId="6EDD053F" w14:textId="257C0A98"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301F4610" w14:textId="22AF367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3ACF972C" w14:textId="36C97DD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48E75823" w14:textId="6AEDC90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6E2D18CB" w14:textId="3F45A0D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531D1B08" w14:textId="6D37C0F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1EA2E257" w14:textId="0EF2259D"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69D1F4AD" w14:textId="7A99AAE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000000" w:fill="D9D9D9"/>
            <w:noWrap/>
            <w:vAlign w:val="bottom"/>
          </w:tcPr>
          <w:p w14:paraId="36A47F38" w14:textId="743E934B"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92511A" w:rsidRPr="006431D0" w14:paraId="4AFBB434"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tcPr>
          <w:p w14:paraId="305D971B" w14:textId="1FA59EC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Poland</w:t>
            </w:r>
          </w:p>
        </w:tc>
        <w:tc>
          <w:tcPr>
            <w:tcW w:w="2575" w:type="dxa"/>
            <w:tcBorders>
              <w:top w:val="nil"/>
              <w:left w:val="nil"/>
              <w:bottom w:val="nil"/>
              <w:right w:val="single" w:sz="4" w:space="0" w:color="auto"/>
            </w:tcBorders>
            <w:shd w:val="clear" w:color="auto" w:fill="auto"/>
            <w:noWrap/>
            <w:vAlign w:val="bottom"/>
          </w:tcPr>
          <w:p w14:paraId="117AA899" w14:textId="2FC82B5B"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PL-NATIONAL_SURVEILLANCE</w:t>
            </w:r>
          </w:p>
        </w:tc>
        <w:tc>
          <w:tcPr>
            <w:tcW w:w="570" w:type="dxa"/>
            <w:tcBorders>
              <w:top w:val="nil"/>
              <w:left w:val="nil"/>
              <w:bottom w:val="nil"/>
              <w:right w:val="single" w:sz="4" w:space="0" w:color="auto"/>
            </w:tcBorders>
            <w:shd w:val="clear" w:color="auto" w:fill="auto"/>
            <w:noWrap/>
            <w:vAlign w:val="bottom"/>
          </w:tcPr>
          <w:p w14:paraId="29A2BB7E" w14:textId="2D34025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62FF964E" w14:textId="3F4AE45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02361DC2" w14:textId="372635BF"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712052C5" w14:textId="4FE8A1F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001451B9" w14:textId="2A99BEA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268FDDE1" w14:textId="673391D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83FD901" w14:textId="406EAD0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4474E1CA" w14:textId="70F11A7E"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auto" w:fill="auto"/>
            <w:noWrap/>
            <w:vAlign w:val="bottom"/>
          </w:tcPr>
          <w:p w14:paraId="5306E7E9" w14:textId="6C92470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EU-2008</w:t>
            </w:r>
          </w:p>
        </w:tc>
      </w:tr>
      <w:tr w:rsidR="000C12BF" w:rsidRPr="006431D0" w14:paraId="3FED5C4D" w14:textId="77777777" w:rsidTr="00BD5169">
        <w:trPr>
          <w:trHeight w:val="234"/>
        </w:trPr>
        <w:tc>
          <w:tcPr>
            <w:tcW w:w="1220" w:type="dxa"/>
            <w:tcBorders>
              <w:top w:val="nil"/>
              <w:left w:val="single" w:sz="4" w:space="0" w:color="000000"/>
              <w:bottom w:val="nil"/>
              <w:right w:val="single" w:sz="4" w:space="0" w:color="auto"/>
            </w:tcBorders>
            <w:shd w:val="clear" w:color="000000" w:fill="D9D9D9"/>
            <w:noWrap/>
            <w:vAlign w:val="bottom"/>
          </w:tcPr>
          <w:p w14:paraId="353D1192" w14:textId="42BB260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Portugal</w:t>
            </w:r>
          </w:p>
        </w:tc>
        <w:tc>
          <w:tcPr>
            <w:tcW w:w="2575" w:type="dxa"/>
            <w:tcBorders>
              <w:top w:val="nil"/>
              <w:left w:val="nil"/>
              <w:bottom w:val="nil"/>
              <w:right w:val="single" w:sz="4" w:space="0" w:color="auto"/>
            </w:tcBorders>
            <w:shd w:val="clear" w:color="000000" w:fill="D9D9D9"/>
            <w:noWrap/>
            <w:vAlign w:val="bottom"/>
          </w:tcPr>
          <w:p w14:paraId="02D7F059" w14:textId="20AE3EE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PT-CRYP</w:t>
            </w:r>
          </w:p>
        </w:tc>
        <w:tc>
          <w:tcPr>
            <w:tcW w:w="570" w:type="dxa"/>
            <w:tcBorders>
              <w:top w:val="nil"/>
              <w:left w:val="nil"/>
              <w:bottom w:val="nil"/>
              <w:right w:val="single" w:sz="4" w:space="0" w:color="auto"/>
            </w:tcBorders>
            <w:shd w:val="clear" w:color="000000" w:fill="D9D9D9"/>
            <w:noWrap/>
            <w:vAlign w:val="bottom"/>
          </w:tcPr>
          <w:p w14:paraId="312C45CC" w14:textId="57AFB00E"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0A7E772F" w14:textId="0A01F34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30AF08E9" w14:textId="07DE1395" w:rsidR="0092511A" w:rsidRPr="006431D0" w:rsidRDefault="0092511A" w:rsidP="0092511A">
            <w:pPr>
              <w:spacing w:before="120" w:after="0"/>
              <w:rPr>
                <w:rFonts w:eastAsia="Times New Roman" w:cs="Tahoma"/>
                <w:sz w:val="14"/>
                <w:szCs w:val="14"/>
                <w:lang w:eastAsia="en-GB"/>
              </w:rPr>
            </w:pPr>
            <w:r>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45F5AD62" w14:textId="6DA1DE1E"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7D09612A" w14:textId="75D31E6E"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6BE17CEB" w14:textId="3F4353C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44823C88" w14:textId="14F1CFD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5358FC4E" w14:textId="1BBF16B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000000" w:fill="D9D9D9"/>
            <w:noWrap/>
            <w:vAlign w:val="bottom"/>
          </w:tcPr>
          <w:p w14:paraId="17D42071" w14:textId="0CD7396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92511A" w:rsidRPr="006431D0" w14:paraId="0041B3D4"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tcPr>
          <w:p w14:paraId="0FFADA3B" w14:textId="37C12258"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Romania</w:t>
            </w:r>
          </w:p>
        </w:tc>
        <w:tc>
          <w:tcPr>
            <w:tcW w:w="2575" w:type="dxa"/>
            <w:tcBorders>
              <w:top w:val="nil"/>
              <w:left w:val="nil"/>
              <w:bottom w:val="nil"/>
              <w:right w:val="single" w:sz="4" w:space="0" w:color="auto"/>
            </w:tcBorders>
            <w:shd w:val="clear" w:color="auto" w:fill="auto"/>
            <w:noWrap/>
            <w:vAlign w:val="bottom"/>
          </w:tcPr>
          <w:p w14:paraId="2592BE43" w14:textId="074F573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RO-</w:t>
            </w:r>
            <w:proofErr w:type="spellStart"/>
            <w:r w:rsidRPr="006431D0">
              <w:rPr>
                <w:rFonts w:eastAsia="Times New Roman" w:cs="Tahoma"/>
                <w:sz w:val="14"/>
                <w:szCs w:val="14"/>
                <w:lang w:eastAsia="en-GB"/>
              </w:rPr>
              <w:t>RNSSy</w:t>
            </w:r>
            <w:proofErr w:type="spellEnd"/>
          </w:p>
        </w:tc>
        <w:tc>
          <w:tcPr>
            <w:tcW w:w="570" w:type="dxa"/>
            <w:tcBorders>
              <w:top w:val="nil"/>
              <w:left w:val="nil"/>
              <w:bottom w:val="nil"/>
              <w:right w:val="single" w:sz="4" w:space="0" w:color="auto"/>
            </w:tcBorders>
            <w:shd w:val="clear" w:color="auto" w:fill="auto"/>
            <w:noWrap/>
            <w:vAlign w:val="bottom"/>
          </w:tcPr>
          <w:p w14:paraId="0999C5FE" w14:textId="09D1E39A"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6B4D56D8" w14:textId="54153FC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110997CE" w14:textId="4E3C449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38116CB7" w14:textId="791FBDB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0F8468C6" w14:textId="51BD775C"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65B4218F" w14:textId="6C98DDA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4A785C8A" w14:textId="3F7C830C"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06830210" w14:textId="26BC3781"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auto" w:fill="auto"/>
            <w:noWrap/>
            <w:vAlign w:val="bottom"/>
          </w:tcPr>
          <w:p w14:paraId="6AF2D0D0" w14:textId="1DAA2908"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0C12BF" w:rsidRPr="006431D0" w14:paraId="730FFC54" w14:textId="77777777" w:rsidTr="00BD5169">
        <w:trPr>
          <w:trHeight w:val="234"/>
        </w:trPr>
        <w:tc>
          <w:tcPr>
            <w:tcW w:w="1220" w:type="dxa"/>
            <w:tcBorders>
              <w:top w:val="nil"/>
              <w:left w:val="single" w:sz="4" w:space="0" w:color="000000"/>
              <w:bottom w:val="nil"/>
              <w:right w:val="single" w:sz="4" w:space="0" w:color="auto"/>
            </w:tcBorders>
            <w:shd w:val="clear" w:color="000000" w:fill="D9D9D9"/>
            <w:noWrap/>
            <w:vAlign w:val="bottom"/>
          </w:tcPr>
          <w:p w14:paraId="739C6DA8" w14:textId="23F4D13A"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Slovakia</w:t>
            </w:r>
          </w:p>
        </w:tc>
        <w:tc>
          <w:tcPr>
            <w:tcW w:w="2575" w:type="dxa"/>
            <w:tcBorders>
              <w:top w:val="nil"/>
              <w:left w:val="nil"/>
              <w:bottom w:val="nil"/>
              <w:right w:val="single" w:sz="4" w:space="0" w:color="auto"/>
            </w:tcBorders>
            <w:shd w:val="clear" w:color="000000" w:fill="D9D9D9"/>
            <w:noWrap/>
            <w:vAlign w:val="bottom"/>
          </w:tcPr>
          <w:p w14:paraId="5327B53A" w14:textId="020B7631"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SK-EPIS</w:t>
            </w:r>
          </w:p>
        </w:tc>
        <w:tc>
          <w:tcPr>
            <w:tcW w:w="570" w:type="dxa"/>
            <w:tcBorders>
              <w:top w:val="nil"/>
              <w:left w:val="nil"/>
              <w:bottom w:val="nil"/>
              <w:right w:val="single" w:sz="4" w:space="0" w:color="auto"/>
            </w:tcBorders>
            <w:shd w:val="clear" w:color="000000" w:fill="D9D9D9"/>
            <w:noWrap/>
            <w:vAlign w:val="bottom"/>
          </w:tcPr>
          <w:p w14:paraId="35604936" w14:textId="0CC1DA4B"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49E57FF9" w14:textId="03E0345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046B47C1" w14:textId="4B447D7B"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A</w:t>
            </w:r>
          </w:p>
        </w:tc>
        <w:tc>
          <w:tcPr>
            <w:tcW w:w="570" w:type="dxa"/>
            <w:tcBorders>
              <w:top w:val="nil"/>
              <w:left w:val="nil"/>
              <w:bottom w:val="nil"/>
              <w:right w:val="single" w:sz="4" w:space="0" w:color="auto"/>
            </w:tcBorders>
            <w:shd w:val="clear" w:color="000000" w:fill="D9D9D9"/>
            <w:noWrap/>
            <w:vAlign w:val="bottom"/>
          </w:tcPr>
          <w:p w14:paraId="22AC77DA" w14:textId="1D8EB5C0"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4D7EBDA3" w14:textId="06DF401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123DEF15" w14:textId="3DA9CAA8"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6D09BC70" w14:textId="35D059E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298EFD4A" w14:textId="15151E8D"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000000" w:fill="D9D9D9"/>
            <w:noWrap/>
            <w:vAlign w:val="bottom"/>
          </w:tcPr>
          <w:p w14:paraId="6D97C93C" w14:textId="6641CCD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w:t>
            </w:r>
            <w:r>
              <w:rPr>
                <w:rFonts w:eastAsia="Times New Roman" w:cs="Tahoma"/>
                <w:sz w:val="14"/>
                <w:szCs w:val="14"/>
                <w:lang w:eastAsia="en-GB"/>
              </w:rPr>
              <w:t>8</w:t>
            </w:r>
          </w:p>
        </w:tc>
      </w:tr>
      <w:tr w:rsidR="0092511A" w:rsidRPr="006431D0" w14:paraId="336E5C09" w14:textId="77777777" w:rsidTr="00BD5169">
        <w:trPr>
          <w:trHeight w:val="234"/>
        </w:trPr>
        <w:tc>
          <w:tcPr>
            <w:tcW w:w="1220" w:type="dxa"/>
            <w:tcBorders>
              <w:top w:val="nil"/>
              <w:left w:val="single" w:sz="4" w:space="0" w:color="000000"/>
              <w:bottom w:val="nil"/>
              <w:right w:val="single" w:sz="4" w:space="0" w:color="auto"/>
            </w:tcBorders>
            <w:shd w:val="clear" w:color="auto" w:fill="auto"/>
            <w:noWrap/>
            <w:vAlign w:val="bottom"/>
          </w:tcPr>
          <w:p w14:paraId="47501455" w14:textId="055BD768"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Slovenia</w:t>
            </w:r>
          </w:p>
        </w:tc>
        <w:tc>
          <w:tcPr>
            <w:tcW w:w="2575" w:type="dxa"/>
            <w:tcBorders>
              <w:top w:val="nil"/>
              <w:left w:val="nil"/>
              <w:bottom w:val="nil"/>
              <w:right w:val="single" w:sz="4" w:space="0" w:color="auto"/>
            </w:tcBorders>
            <w:shd w:val="clear" w:color="auto" w:fill="auto"/>
            <w:noWrap/>
            <w:vAlign w:val="bottom"/>
          </w:tcPr>
          <w:p w14:paraId="6628D76B" w14:textId="2F6363F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SI-SURVIVAL</w:t>
            </w:r>
          </w:p>
        </w:tc>
        <w:tc>
          <w:tcPr>
            <w:tcW w:w="570" w:type="dxa"/>
            <w:tcBorders>
              <w:top w:val="nil"/>
              <w:left w:val="nil"/>
              <w:bottom w:val="nil"/>
              <w:right w:val="single" w:sz="4" w:space="0" w:color="auto"/>
            </w:tcBorders>
            <w:shd w:val="clear" w:color="auto" w:fill="auto"/>
            <w:noWrap/>
            <w:vAlign w:val="bottom"/>
          </w:tcPr>
          <w:p w14:paraId="47DD1C35" w14:textId="12FE8A2B"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088FEC28" w14:textId="4A07572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14637846" w14:textId="16A68015"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4709E2AE" w14:textId="0C8C591C"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614A1177" w14:textId="7F43327A"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18CDD6A" w14:textId="4FF4721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44172DE2" w14:textId="6FC9113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4848130A" w14:textId="0FA5CA9D"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auto" w:fill="auto"/>
            <w:noWrap/>
            <w:vAlign w:val="bottom"/>
          </w:tcPr>
          <w:p w14:paraId="100F3B9B" w14:textId="665AB0E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EU-2008</w:t>
            </w:r>
          </w:p>
        </w:tc>
      </w:tr>
      <w:tr w:rsidR="000C12BF" w:rsidRPr="006431D0" w14:paraId="22CE5161" w14:textId="77777777" w:rsidTr="00BD5169">
        <w:trPr>
          <w:trHeight w:val="234"/>
        </w:trPr>
        <w:tc>
          <w:tcPr>
            <w:tcW w:w="1220" w:type="dxa"/>
            <w:tcBorders>
              <w:top w:val="nil"/>
              <w:left w:val="single" w:sz="4" w:space="0" w:color="000000"/>
              <w:bottom w:val="nil"/>
              <w:right w:val="single" w:sz="4" w:space="0" w:color="auto"/>
            </w:tcBorders>
            <w:shd w:val="clear" w:color="000000" w:fill="D9D9D9"/>
            <w:noWrap/>
            <w:vAlign w:val="bottom"/>
          </w:tcPr>
          <w:p w14:paraId="2BCD9DFC" w14:textId="4040FC1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Spain</w:t>
            </w:r>
          </w:p>
        </w:tc>
        <w:tc>
          <w:tcPr>
            <w:tcW w:w="2575" w:type="dxa"/>
            <w:tcBorders>
              <w:top w:val="nil"/>
              <w:left w:val="nil"/>
              <w:bottom w:val="nil"/>
              <w:right w:val="single" w:sz="4" w:space="0" w:color="auto"/>
            </w:tcBorders>
            <w:shd w:val="clear" w:color="000000" w:fill="D9D9D9"/>
            <w:noWrap/>
            <w:vAlign w:val="bottom"/>
          </w:tcPr>
          <w:p w14:paraId="0A32A8CA" w14:textId="1813A8FE"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ES-STATUTORY_DISEASES</w:t>
            </w:r>
          </w:p>
        </w:tc>
        <w:tc>
          <w:tcPr>
            <w:tcW w:w="570" w:type="dxa"/>
            <w:tcBorders>
              <w:top w:val="nil"/>
              <w:left w:val="nil"/>
              <w:bottom w:val="nil"/>
              <w:right w:val="single" w:sz="4" w:space="0" w:color="auto"/>
            </w:tcBorders>
            <w:shd w:val="clear" w:color="000000" w:fill="D9D9D9"/>
            <w:noWrap/>
            <w:vAlign w:val="bottom"/>
          </w:tcPr>
          <w:p w14:paraId="5481F17F" w14:textId="4546D950"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181A841C" w14:textId="4A0B9F0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4C4ADA06" w14:textId="3AE024D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6E9AE654" w14:textId="43F1EB0D"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47830FAA" w14:textId="32D32C3D"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09FCBD02" w14:textId="6A54E3D1"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3FEBBDCF" w14:textId="55B4C9F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51DD7DFF" w14:textId="13B4673E"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nil"/>
              <w:right w:val="single" w:sz="4" w:space="0" w:color="000000"/>
            </w:tcBorders>
            <w:shd w:val="clear" w:color="000000" w:fill="D9D9D9"/>
            <w:noWrap/>
            <w:vAlign w:val="bottom"/>
          </w:tcPr>
          <w:p w14:paraId="39378AA3" w14:textId="0AE9619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r w:rsidR="0092511A" w:rsidRPr="006431D0" w14:paraId="06FE22DD" w14:textId="77777777" w:rsidTr="00BD5169">
        <w:trPr>
          <w:trHeight w:val="234"/>
        </w:trPr>
        <w:tc>
          <w:tcPr>
            <w:tcW w:w="1220" w:type="dxa"/>
            <w:tcBorders>
              <w:top w:val="nil"/>
              <w:left w:val="single" w:sz="4" w:space="0" w:color="000000"/>
              <w:bottom w:val="single" w:sz="4" w:space="0" w:color="000000"/>
              <w:right w:val="single" w:sz="4" w:space="0" w:color="auto"/>
            </w:tcBorders>
            <w:shd w:val="clear" w:color="auto" w:fill="auto"/>
            <w:noWrap/>
            <w:vAlign w:val="bottom"/>
          </w:tcPr>
          <w:p w14:paraId="6014B8A0" w14:textId="3651637A"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Sweden</w:t>
            </w:r>
          </w:p>
        </w:tc>
        <w:tc>
          <w:tcPr>
            <w:tcW w:w="2575" w:type="dxa"/>
            <w:tcBorders>
              <w:top w:val="nil"/>
              <w:left w:val="nil"/>
              <w:bottom w:val="single" w:sz="4" w:space="0" w:color="000000"/>
              <w:right w:val="single" w:sz="4" w:space="0" w:color="auto"/>
            </w:tcBorders>
            <w:shd w:val="clear" w:color="auto" w:fill="auto"/>
            <w:noWrap/>
            <w:vAlign w:val="bottom"/>
          </w:tcPr>
          <w:p w14:paraId="15FBA96B" w14:textId="6B620AB2"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SE-SMINET</w:t>
            </w:r>
          </w:p>
        </w:tc>
        <w:tc>
          <w:tcPr>
            <w:tcW w:w="570" w:type="dxa"/>
            <w:tcBorders>
              <w:top w:val="nil"/>
              <w:left w:val="nil"/>
              <w:bottom w:val="single" w:sz="4" w:space="0" w:color="000000"/>
              <w:right w:val="single" w:sz="4" w:space="0" w:color="auto"/>
            </w:tcBorders>
            <w:shd w:val="clear" w:color="auto" w:fill="auto"/>
            <w:noWrap/>
            <w:vAlign w:val="bottom"/>
          </w:tcPr>
          <w:p w14:paraId="729F38CC" w14:textId="2B414487"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Cp</w:t>
            </w:r>
          </w:p>
        </w:tc>
        <w:tc>
          <w:tcPr>
            <w:tcW w:w="570" w:type="dxa"/>
            <w:tcBorders>
              <w:top w:val="nil"/>
              <w:left w:val="nil"/>
              <w:bottom w:val="single" w:sz="4" w:space="0" w:color="000000"/>
              <w:right w:val="single" w:sz="4" w:space="0" w:color="auto"/>
            </w:tcBorders>
            <w:shd w:val="clear" w:color="auto" w:fill="auto"/>
            <w:noWrap/>
            <w:vAlign w:val="bottom"/>
          </w:tcPr>
          <w:p w14:paraId="6152DC86" w14:textId="01EEBE3F"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Co</w:t>
            </w:r>
          </w:p>
        </w:tc>
        <w:tc>
          <w:tcPr>
            <w:tcW w:w="570" w:type="dxa"/>
            <w:tcBorders>
              <w:top w:val="nil"/>
              <w:left w:val="nil"/>
              <w:bottom w:val="single" w:sz="4" w:space="0" w:color="000000"/>
              <w:right w:val="single" w:sz="4" w:space="0" w:color="auto"/>
            </w:tcBorders>
            <w:shd w:val="clear" w:color="auto" w:fill="auto"/>
            <w:noWrap/>
            <w:vAlign w:val="bottom"/>
          </w:tcPr>
          <w:p w14:paraId="42E2E89B" w14:textId="3F052A2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P</w:t>
            </w:r>
          </w:p>
        </w:tc>
        <w:tc>
          <w:tcPr>
            <w:tcW w:w="570" w:type="dxa"/>
            <w:tcBorders>
              <w:top w:val="nil"/>
              <w:left w:val="nil"/>
              <w:bottom w:val="single" w:sz="4" w:space="0" w:color="000000"/>
              <w:right w:val="single" w:sz="4" w:space="0" w:color="auto"/>
            </w:tcBorders>
            <w:shd w:val="clear" w:color="auto" w:fill="auto"/>
            <w:noWrap/>
            <w:vAlign w:val="bottom"/>
          </w:tcPr>
          <w:p w14:paraId="160259AE" w14:textId="442E63D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C</w:t>
            </w:r>
          </w:p>
        </w:tc>
        <w:tc>
          <w:tcPr>
            <w:tcW w:w="570" w:type="dxa"/>
            <w:tcBorders>
              <w:top w:val="nil"/>
              <w:left w:val="nil"/>
              <w:bottom w:val="single" w:sz="4" w:space="0" w:color="000000"/>
              <w:right w:val="single" w:sz="4" w:space="0" w:color="auto"/>
            </w:tcBorders>
            <w:shd w:val="clear" w:color="auto" w:fill="auto"/>
            <w:noWrap/>
            <w:vAlign w:val="bottom"/>
          </w:tcPr>
          <w:p w14:paraId="733713BE" w14:textId="42B95239"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single" w:sz="4" w:space="0" w:color="000000"/>
              <w:right w:val="single" w:sz="4" w:space="0" w:color="auto"/>
            </w:tcBorders>
            <w:shd w:val="clear" w:color="auto" w:fill="auto"/>
            <w:noWrap/>
            <w:vAlign w:val="bottom"/>
          </w:tcPr>
          <w:p w14:paraId="22FD4E52" w14:textId="5A943F1B"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Y</w:t>
            </w:r>
          </w:p>
        </w:tc>
        <w:tc>
          <w:tcPr>
            <w:tcW w:w="570" w:type="dxa"/>
            <w:tcBorders>
              <w:top w:val="nil"/>
              <w:left w:val="nil"/>
              <w:bottom w:val="single" w:sz="4" w:space="0" w:color="000000"/>
              <w:right w:val="single" w:sz="4" w:space="0" w:color="auto"/>
            </w:tcBorders>
            <w:shd w:val="clear" w:color="auto" w:fill="auto"/>
            <w:noWrap/>
            <w:vAlign w:val="bottom"/>
          </w:tcPr>
          <w:p w14:paraId="6AB261A6" w14:textId="0445C5F4"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570" w:type="dxa"/>
            <w:tcBorders>
              <w:top w:val="nil"/>
              <w:left w:val="nil"/>
              <w:bottom w:val="single" w:sz="4" w:space="0" w:color="000000"/>
              <w:right w:val="single" w:sz="4" w:space="0" w:color="auto"/>
            </w:tcBorders>
            <w:shd w:val="clear" w:color="auto" w:fill="auto"/>
            <w:noWrap/>
            <w:vAlign w:val="bottom"/>
          </w:tcPr>
          <w:p w14:paraId="5859108B" w14:textId="03C7DEA3"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N</w:t>
            </w:r>
          </w:p>
        </w:tc>
        <w:tc>
          <w:tcPr>
            <w:tcW w:w="1383" w:type="dxa"/>
            <w:tcBorders>
              <w:top w:val="nil"/>
              <w:left w:val="nil"/>
              <w:bottom w:val="single" w:sz="4" w:space="0" w:color="000000"/>
              <w:right w:val="single" w:sz="4" w:space="0" w:color="000000"/>
            </w:tcBorders>
            <w:shd w:val="clear" w:color="auto" w:fill="auto"/>
            <w:noWrap/>
            <w:vAlign w:val="bottom"/>
          </w:tcPr>
          <w:p w14:paraId="6BDC8C45" w14:textId="25B4C126" w:rsidR="0092511A" w:rsidRPr="006431D0" w:rsidRDefault="0092511A" w:rsidP="0092511A">
            <w:pPr>
              <w:spacing w:before="120" w:after="0"/>
              <w:rPr>
                <w:rFonts w:eastAsia="Times New Roman" w:cs="Tahoma"/>
                <w:sz w:val="14"/>
                <w:szCs w:val="14"/>
                <w:lang w:eastAsia="en-GB"/>
              </w:rPr>
            </w:pPr>
            <w:r w:rsidRPr="006431D0">
              <w:rPr>
                <w:rFonts w:eastAsia="Times New Roman" w:cs="Tahoma"/>
                <w:sz w:val="14"/>
                <w:szCs w:val="14"/>
                <w:lang w:eastAsia="en-GB"/>
              </w:rPr>
              <w:t>EU-2018</w:t>
            </w:r>
          </w:p>
        </w:tc>
      </w:tr>
    </w:tbl>
    <w:p w14:paraId="6010EDFD" w14:textId="47CF07D3" w:rsidR="00AC0043" w:rsidRDefault="00AC0043" w:rsidP="00805F81">
      <w:pPr>
        <w:pStyle w:val="EC-Para"/>
      </w:pPr>
      <w:r>
        <w:br w:type="page"/>
      </w:r>
    </w:p>
    <w:p w14:paraId="720DE3A1" w14:textId="77777777" w:rsidR="00AC0043" w:rsidRDefault="00AC0043" w:rsidP="00AC0043">
      <w:pPr>
        <w:pStyle w:val="EC-Title-5"/>
        <w:outlineLvl w:val="0"/>
        <w:rPr>
          <w:i/>
        </w:rPr>
      </w:pPr>
      <w:bookmarkStart w:id="32" w:name="_Toc437442013"/>
      <w:bookmarkStart w:id="33" w:name="_Toc127531822"/>
      <w:r w:rsidRPr="00B44A6E">
        <w:lastRenderedPageBreak/>
        <w:t>Echinococcosis</w:t>
      </w:r>
      <w:bookmarkEnd w:id="32"/>
      <w:bookmarkEnd w:id="33"/>
    </w:p>
    <w:p w14:paraId="18C3E5BA" w14:textId="23B2CAF4" w:rsidR="00EE1F3C" w:rsidRPr="00A32FE1" w:rsidRDefault="00CB3144" w:rsidP="00EE1F3C">
      <w:pPr>
        <w:pStyle w:val="EC-Para"/>
        <w:jc w:val="right"/>
        <w:rPr>
          <w:b/>
          <w:lang w:eastAsia="en-US"/>
        </w:rPr>
      </w:pPr>
      <w:r>
        <w:rPr>
          <w:b/>
          <w:lang w:eastAsia="en-US"/>
        </w:rPr>
        <w:t>Last updated: 13 August 2024</w:t>
      </w:r>
    </w:p>
    <w:p w14:paraId="2E50C459" w14:textId="7616ECF2"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5921F432" w14:textId="77777777" w:rsidR="006F212C" w:rsidRDefault="006F212C" w:rsidP="0054754D">
      <w:pPr>
        <w:pStyle w:val="EC-Para"/>
        <w:jc w:val="right"/>
        <w:rPr>
          <w:b/>
          <w:lang w:eastAsia="en-US"/>
        </w:rPr>
      </w:pPr>
    </w:p>
    <w:p w14:paraId="23F39DB5" w14:textId="7E00F9A2" w:rsidR="00AC0043" w:rsidRPr="00945F64" w:rsidRDefault="00AC0043" w:rsidP="0054754D">
      <w:pPr>
        <w:autoSpaceDE w:val="0"/>
        <w:autoSpaceDN w:val="0"/>
        <w:adjustRightInd w:val="0"/>
        <w:rPr>
          <w:color w:val="333333"/>
          <w:szCs w:val="18"/>
          <w:shd w:val="clear" w:color="auto" w:fill="FFFFFF"/>
        </w:rPr>
      </w:pPr>
      <w:r w:rsidRPr="001B425C">
        <w:rPr>
          <w:rFonts w:cs="Tahoma"/>
          <w:szCs w:val="18"/>
        </w:rPr>
        <w:t>Echinococcosis</w:t>
      </w:r>
      <w:r w:rsidRPr="001B425C">
        <w:rPr>
          <w:rFonts w:cs="Tahoma"/>
          <w:szCs w:val="18"/>
          <w:shd w:val="clear" w:color="auto" w:fill="FFFFFF"/>
        </w:rPr>
        <w:t xml:space="preserve"> is a zoonotic disease caused by the larval </w:t>
      </w:r>
      <w:r w:rsidRPr="00843847">
        <w:rPr>
          <w:rFonts w:cs="Tahoma"/>
          <w:szCs w:val="18"/>
          <w:shd w:val="clear" w:color="auto" w:fill="FFFFFF"/>
        </w:rPr>
        <w:t xml:space="preserve">stage of </w:t>
      </w:r>
      <w:r w:rsidRPr="00843847">
        <w:rPr>
          <w:rFonts w:eastAsiaTheme="minorHAnsi" w:cs="Tahoma"/>
          <w:i/>
          <w:szCs w:val="18"/>
        </w:rPr>
        <w:t xml:space="preserve">Echinococcus </w:t>
      </w:r>
      <w:r w:rsidRPr="00843847">
        <w:rPr>
          <w:rFonts w:eastAsiaTheme="minorHAnsi" w:cs="Tahoma"/>
          <w:szCs w:val="18"/>
        </w:rPr>
        <w:t>tapeworms</w:t>
      </w:r>
      <w:r w:rsidRPr="00843847">
        <w:rPr>
          <w:rFonts w:cs="Tahoma"/>
          <w:szCs w:val="18"/>
          <w:shd w:val="clear" w:color="auto" w:fill="FFFFFF"/>
        </w:rPr>
        <w:t>.</w:t>
      </w:r>
      <w:r w:rsidRPr="001B425C">
        <w:rPr>
          <w:rStyle w:val="apple-converted-space"/>
          <w:szCs w:val="18"/>
          <w:shd w:val="clear" w:color="auto" w:fill="FFFFFF"/>
        </w:rPr>
        <w:t> </w:t>
      </w:r>
      <w:r w:rsidRPr="00F151AB">
        <w:rPr>
          <w:rFonts w:eastAsiaTheme="minorHAnsi" w:cs="Tahoma"/>
          <w:szCs w:val="18"/>
        </w:rPr>
        <w:t xml:space="preserve">For </w:t>
      </w:r>
      <w:r w:rsidRPr="00F44E9A">
        <w:rPr>
          <w:rFonts w:eastAsiaTheme="minorHAnsi" w:cs="Tahoma"/>
          <w:szCs w:val="18"/>
        </w:rPr>
        <w:t>a more detailed description of the disease and its epidemiology</w:t>
      </w:r>
      <w:r>
        <w:rPr>
          <w:rFonts w:eastAsiaTheme="minorHAnsi" w:cs="Tahoma"/>
          <w:szCs w:val="18"/>
        </w:rPr>
        <w:t>,</w:t>
      </w:r>
      <w:r w:rsidRPr="00F44E9A">
        <w:rPr>
          <w:rFonts w:eastAsiaTheme="minorHAnsi" w:cs="Tahoma"/>
          <w:szCs w:val="18"/>
        </w:rPr>
        <w:t xml:space="preserve"> </w:t>
      </w:r>
      <w:r w:rsidRPr="009D4D86">
        <w:rPr>
          <w:rFonts w:eastAsiaTheme="minorHAnsi" w:cs="Tahoma"/>
          <w:szCs w:val="18"/>
        </w:rPr>
        <w:t>please click</w:t>
      </w:r>
      <w:r w:rsidRPr="009D4D86">
        <w:rPr>
          <w:rFonts w:cs="Tahoma"/>
          <w:szCs w:val="18"/>
        </w:rPr>
        <w:t xml:space="preserve"> </w:t>
      </w:r>
      <w:hyperlink r:id="rId34" w:history="1">
        <w:r w:rsidRPr="009D4D86">
          <w:rPr>
            <w:rStyle w:val="Hyperlink"/>
            <w:i/>
            <w:iCs/>
            <w:sz w:val="18"/>
            <w:szCs w:val="18"/>
            <w:lang w:bidi="en-US"/>
          </w:rPr>
          <w:t>here</w:t>
        </w:r>
      </w:hyperlink>
      <w:r w:rsidRPr="009D4D86">
        <w:rPr>
          <w:rStyle w:val="Hyperlink"/>
          <w:i/>
          <w:sz w:val="18"/>
          <w:szCs w:val="18"/>
        </w:rPr>
        <w:t>.</w:t>
      </w:r>
      <w:r w:rsidRPr="00F44E9A">
        <w:rPr>
          <w:rStyle w:val="Hyperlink"/>
          <w:i/>
        </w:rPr>
        <w:t xml:space="preserve">  </w:t>
      </w:r>
    </w:p>
    <w:p w14:paraId="53F5FEEC" w14:textId="77777777" w:rsidR="00AC0043" w:rsidRDefault="00AC0043" w:rsidP="00AC0043">
      <w:pPr>
        <w:pStyle w:val="EC-Title-6"/>
        <w:outlineLvl w:val="1"/>
        <w:rPr>
          <w:rFonts w:cs="Tahoma"/>
        </w:rPr>
      </w:pPr>
      <w:bookmarkStart w:id="34" w:name="_Toc437442014"/>
      <w:r>
        <w:rPr>
          <w:rFonts w:cs="Tahoma"/>
        </w:rPr>
        <w:t>Data</w:t>
      </w:r>
      <w:bookmarkEnd w:id="34"/>
    </w:p>
    <w:p w14:paraId="1F41793B" w14:textId="0D3153EB" w:rsidR="00AC0043" w:rsidRDefault="00AC0043" w:rsidP="00AC0043">
      <w:pPr>
        <w:pStyle w:val="EC-Para"/>
        <w:jc w:val="both"/>
        <w:rPr>
          <w:rFonts w:cs="Tahoma"/>
        </w:rPr>
      </w:pPr>
      <w:r>
        <w:rPr>
          <w:rFonts w:cs="Tahoma"/>
        </w:rPr>
        <w:t xml:space="preserve">The Surveillance Atlas of Infectious Diseases displays data on echinococcosis reported by the </w:t>
      </w:r>
      <w:r w:rsidR="00E75405">
        <w:rPr>
          <w:rFonts w:cs="Tahoma"/>
        </w:rPr>
        <w:t>EU/EEA countries</w:t>
      </w:r>
      <w:r>
        <w:rPr>
          <w:rFonts w:cs="Tahoma"/>
        </w:rPr>
        <w:t>. Cases should be reported according to the 201</w:t>
      </w:r>
      <w:r w:rsidR="00F53BCA">
        <w:rPr>
          <w:rFonts w:cs="Tahoma"/>
        </w:rPr>
        <w:t>8</w:t>
      </w:r>
      <w:r>
        <w:rPr>
          <w:rFonts w:cs="Tahoma"/>
        </w:rPr>
        <w:t xml:space="preserve"> EU case definition for echinococcosis</w:t>
      </w:r>
      <w:r>
        <w:rPr>
          <w:rStyle w:val="FootnoteReference"/>
          <w:rFonts w:eastAsiaTheme="minorHAnsi" w:cs="Tahoma"/>
          <w:szCs w:val="20"/>
          <w:lang w:eastAsia="en-US"/>
        </w:rPr>
        <w:footnoteReference w:id="16"/>
      </w:r>
      <w:r>
        <w:rPr>
          <w:rFonts w:cs="Tahoma"/>
        </w:rPr>
        <w:t xml:space="preserve">: </w:t>
      </w:r>
    </w:p>
    <w:p w14:paraId="2DD48994" w14:textId="77777777" w:rsidR="00AC0043" w:rsidRDefault="00AC0043" w:rsidP="00AC0043">
      <w:pPr>
        <w:autoSpaceDE w:val="0"/>
        <w:autoSpaceDN w:val="0"/>
        <w:adjustRightInd w:val="0"/>
        <w:spacing w:before="60" w:after="60"/>
        <w:rPr>
          <w:rFonts w:eastAsiaTheme="minorHAnsi" w:cs="Tahoma"/>
          <w:b/>
          <w:bCs/>
          <w:color w:val="000000"/>
          <w:szCs w:val="18"/>
        </w:rPr>
      </w:pPr>
    </w:p>
    <w:p w14:paraId="4DAEAEA2" w14:textId="386D19DD" w:rsidR="00AC0043" w:rsidRPr="002E4A70" w:rsidRDefault="00AC0043" w:rsidP="00AC0043">
      <w:pPr>
        <w:autoSpaceDE w:val="0"/>
        <w:autoSpaceDN w:val="0"/>
        <w:adjustRightInd w:val="0"/>
        <w:spacing w:before="60" w:after="60"/>
        <w:rPr>
          <w:rFonts w:eastAsiaTheme="minorHAnsi" w:cs="Tahoma"/>
          <w:color w:val="000000"/>
          <w:szCs w:val="18"/>
        </w:rPr>
      </w:pPr>
      <w:r w:rsidRPr="002E4A70">
        <w:rPr>
          <w:rFonts w:eastAsiaTheme="minorHAnsi" w:cs="Tahoma"/>
          <w:b/>
          <w:bCs/>
          <w:color w:val="000000"/>
          <w:szCs w:val="18"/>
        </w:rPr>
        <w:t xml:space="preserve">Clinical criteria </w:t>
      </w:r>
    </w:p>
    <w:p w14:paraId="416E5BB6" w14:textId="77777777" w:rsidR="00AC0043" w:rsidRPr="002E4A70" w:rsidRDefault="00AC0043" w:rsidP="00AC0043">
      <w:pPr>
        <w:autoSpaceDE w:val="0"/>
        <w:autoSpaceDN w:val="0"/>
        <w:adjustRightInd w:val="0"/>
        <w:spacing w:before="60" w:after="60"/>
        <w:rPr>
          <w:rFonts w:eastAsiaTheme="minorHAnsi" w:cs="Tahoma"/>
          <w:color w:val="000000"/>
          <w:szCs w:val="18"/>
        </w:rPr>
      </w:pPr>
      <w:r w:rsidRPr="002E4A70">
        <w:rPr>
          <w:rFonts w:eastAsiaTheme="minorHAnsi" w:cs="Tahoma"/>
          <w:color w:val="000000"/>
          <w:szCs w:val="18"/>
        </w:rPr>
        <w:t>Not relevant for surveillance purposes.</w:t>
      </w:r>
    </w:p>
    <w:p w14:paraId="41C12D4F" w14:textId="77777777" w:rsidR="00AC0043" w:rsidRPr="002E4A70" w:rsidRDefault="00AC0043" w:rsidP="00AC0043">
      <w:pPr>
        <w:autoSpaceDE w:val="0"/>
        <w:autoSpaceDN w:val="0"/>
        <w:adjustRightInd w:val="0"/>
        <w:spacing w:before="60" w:after="60"/>
        <w:rPr>
          <w:rFonts w:eastAsiaTheme="minorHAnsi" w:cs="Tahoma"/>
          <w:color w:val="000000"/>
          <w:szCs w:val="18"/>
        </w:rPr>
      </w:pPr>
      <w:r w:rsidRPr="002E4A70">
        <w:rPr>
          <w:rFonts w:eastAsiaTheme="minorHAnsi" w:cs="Tahoma"/>
          <w:b/>
          <w:bCs/>
          <w:color w:val="000000"/>
          <w:szCs w:val="18"/>
        </w:rPr>
        <w:t xml:space="preserve">Diagnostic criteria </w:t>
      </w:r>
    </w:p>
    <w:p w14:paraId="2AF40186" w14:textId="77777777" w:rsidR="00AC0043" w:rsidRPr="002E4A70" w:rsidRDefault="00AC0043" w:rsidP="00AC0043">
      <w:pPr>
        <w:autoSpaceDE w:val="0"/>
        <w:autoSpaceDN w:val="0"/>
        <w:adjustRightInd w:val="0"/>
        <w:spacing w:before="60" w:after="60"/>
        <w:rPr>
          <w:rFonts w:eastAsiaTheme="minorHAnsi" w:cs="Tahoma"/>
          <w:color w:val="000000"/>
          <w:szCs w:val="18"/>
        </w:rPr>
      </w:pPr>
      <w:r w:rsidRPr="002E4A70">
        <w:rPr>
          <w:rFonts w:eastAsiaTheme="minorHAnsi" w:cs="Tahoma"/>
          <w:color w:val="000000"/>
          <w:szCs w:val="18"/>
        </w:rPr>
        <w:t xml:space="preserve">At least one of the following five: </w:t>
      </w:r>
    </w:p>
    <w:p w14:paraId="6DEB32A4" w14:textId="77777777" w:rsidR="00AC0043" w:rsidRPr="002E4A70" w:rsidRDefault="00AC0043" w:rsidP="00AC0043">
      <w:pPr>
        <w:autoSpaceDE w:val="0"/>
        <w:autoSpaceDN w:val="0"/>
        <w:adjustRightInd w:val="0"/>
        <w:spacing w:before="60" w:after="60"/>
        <w:rPr>
          <w:rFonts w:eastAsiaTheme="minorHAnsi" w:cs="Tahoma"/>
          <w:color w:val="000000"/>
          <w:szCs w:val="18"/>
        </w:rPr>
      </w:pPr>
      <w:r w:rsidRPr="002E4A70">
        <w:rPr>
          <w:rFonts w:eastAsiaTheme="minorHAnsi" w:cs="Tahoma"/>
          <w:color w:val="000000"/>
          <w:szCs w:val="18"/>
        </w:rPr>
        <w:t xml:space="preserve">— Histopathology or parasitology compatible with </w:t>
      </w:r>
      <w:r w:rsidRPr="002E4A70">
        <w:rPr>
          <w:rFonts w:eastAsiaTheme="minorHAnsi" w:cs="Tahoma"/>
          <w:i/>
          <w:iCs/>
          <w:color w:val="000000"/>
          <w:szCs w:val="18"/>
        </w:rPr>
        <w:t xml:space="preserve">Echinococcus </w:t>
      </w:r>
      <w:proofErr w:type="spellStart"/>
      <w:r w:rsidRPr="002E4A70">
        <w:rPr>
          <w:rFonts w:eastAsiaTheme="minorHAnsi" w:cs="Tahoma"/>
          <w:i/>
          <w:iCs/>
          <w:color w:val="000000"/>
          <w:szCs w:val="18"/>
        </w:rPr>
        <w:t>multilocularis</w:t>
      </w:r>
      <w:proofErr w:type="spellEnd"/>
      <w:r w:rsidRPr="002E4A70">
        <w:rPr>
          <w:rFonts w:eastAsiaTheme="minorHAnsi" w:cs="Tahoma"/>
          <w:i/>
          <w:iCs/>
          <w:color w:val="000000"/>
          <w:szCs w:val="18"/>
        </w:rPr>
        <w:t xml:space="preserve"> </w:t>
      </w:r>
      <w:r w:rsidRPr="002E4A70">
        <w:rPr>
          <w:rFonts w:eastAsiaTheme="minorHAnsi" w:cs="Tahoma"/>
          <w:color w:val="000000"/>
          <w:szCs w:val="18"/>
        </w:rPr>
        <w:t xml:space="preserve">or </w:t>
      </w:r>
      <w:proofErr w:type="spellStart"/>
      <w:r w:rsidRPr="002E4A70">
        <w:rPr>
          <w:rFonts w:eastAsiaTheme="minorHAnsi" w:cs="Tahoma"/>
          <w:i/>
          <w:iCs/>
          <w:color w:val="000000"/>
          <w:szCs w:val="18"/>
        </w:rPr>
        <w:t>granulosus</w:t>
      </w:r>
      <w:proofErr w:type="spellEnd"/>
      <w:r w:rsidRPr="002E4A70">
        <w:rPr>
          <w:rFonts w:eastAsiaTheme="minorHAnsi" w:cs="Tahoma"/>
          <w:i/>
          <w:iCs/>
          <w:color w:val="000000"/>
          <w:szCs w:val="18"/>
        </w:rPr>
        <w:t xml:space="preserve"> </w:t>
      </w:r>
      <w:r w:rsidRPr="002E4A70">
        <w:rPr>
          <w:rFonts w:eastAsiaTheme="minorHAnsi" w:cs="Tahoma"/>
          <w:color w:val="000000"/>
          <w:szCs w:val="18"/>
        </w:rPr>
        <w:t xml:space="preserve">(e.g. direct visualisation of the </w:t>
      </w:r>
      <w:proofErr w:type="spellStart"/>
      <w:r w:rsidRPr="002E4A70">
        <w:rPr>
          <w:rFonts w:eastAsiaTheme="minorHAnsi" w:cs="Tahoma"/>
          <w:color w:val="000000"/>
          <w:szCs w:val="18"/>
        </w:rPr>
        <w:t>protoscolex</w:t>
      </w:r>
      <w:proofErr w:type="spellEnd"/>
      <w:r w:rsidRPr="002E4A70">
        <w:rPr>
          <w:rFonts w:eastAsiaTheme="minorHAnsi" w:cs="Tahoma"/>
          <w:color w:val="000000"/>
          <w:szCs w:val="18"/>
        </w:rPr>
        <w:t xml:space="preserve"> in cyst fluid</w:t>
      </w:r>
      <w:proofErr w:type="gramStart"/>
      <w:r w:rsidRPr="002E4A70">
        <w:rPr>
          <w:rFonts w:eastAsiaTheme="minorHAnsi" w:cs="Tahoma"/>
          <w:color w:val="000000"/>
          <w:szCs w:val="18"/>
        </w:rPr>
        <w:t>);</w:t>
      </w:r>
      <w:proofErr w:type="gramEnd"/>
      <w:r w:rsidRPr="002E4A70">
        <w:rPr>
          <w:rFonts w:eastAsiaTheme="minorHAnsi" w:cs="Tahoma"/>
          <w:color w:val="000000"/>
          <w:szCs w:val="18"/>
        </w:rPr>
        <w:t xml:space="preserve"> </w:t>
      </w:r>
    </w:p>
    <w:p w14:paraId="7302A9EC" w14:textId="77777777" w:rsidR="00AC0043" w:rsidRPr="002E4A70" w:rsidRDefault="00AC0043" w:rsidP="00AC0043">
      <w:pPr>
        <w:autoSpaceDE w:val="0"/>
        <w:autoSpaceDN w:val="0"/>
        <w:adjustRightInd w:val="0"/>
        <w:spacing w:before="60" w:after="60"/>
        <w:rPr>
          <w:rFonts w:eastAsiaTheme="minorHAnsi" w:cs="Tahoma"/>
          <w:color w:val="000000"/>
          <w:szCs w:val="18"/>
        </w:rPr>
      </w:pPr>
      <w:r w:rsidRPr="002E4A70">
        <w:rPr>
          <w:rFonts w:eastAsiaTheme="minorHAnsi" w:cs="Tahoma"/>
          <w:color w:val="000000"/>
          <w:szCs w:val="18"/>
        </w:rPr>
        <w:t xml:space="preserve">— Detection of </w:t>
      </w:r>
      <w:proofErr w:type="spellStart"/>
      <w:r w:rsidRPr="002E4A70">
        <w:rPr>
          <w:rFonts w:eastAsiaTheme="minorHAnsi" w:cs="Tahoma"/>
          <w:i/>
          <w:iCs/>
          <w:color w:val="000000"/>
          <w:szCs w:val="18"/>
        </w:rPr>
        <w:t>Echinoccocus</w:t>
      </w:r>
      <w:proofErr w:type="spellEnd"/>
      <w:r w:rsidRPr="002E4A70">
        <w:rPr>
          <w:rFonts w:eastAsiaTheme="minorHAnsi" w:cs="Tahoma"/>
          <w:i/>
          <w:iCs/>
          <w:color w:val="000000"/>
          <w:szCs w:val="18"/>
        </w:rPr>
        <w:t xml:space="preserve"> </w:t>
      </w:r>
      <w:proofErr w:type="spellStart"/>
      <w:r w:rsidRPr="002E4A70">
        <w:rPr>
          <w:rFonts w:eastAsiaTheme="minorHAnsi" w:cs="Tahoma"/>
          <w:i/>
          <w:iCs/>
          <w:color w:val="000000"/>
          <w:szCs w:val="18"/>
        </w:rPr>
        <w:t>granulosus</w:t>
      </w:r>
      <w:proofErr w:type="spellEnd"/>
      <w:r w:rsidRPr="002E4A70">
        <w:rPr>
          <w:rFonts w:eastAsiaTheme="minorHAnsi" w:cs="Tahoma"/>
          <w:i/>
          <w:iCs/>
          <w:color w:val="000000"/>
          <w:szCs w:val="18"/>
        </w:rPr>
        <w:t xml:space="preserve"> </w:t>
      </w:r>
      <w:r w:rsidRPr="002E4A70">
        <w:rPr>
          <w:rFonts w:eastAsiaTheme="minorHAnsi" w:cs="Tahoma"/>
          <w:color w:val="000000"/>
          <w:szCs w:val="18"/>
        </w:rPr>
        <w:t xml:space="preserve">pathognomonic macroscopic morphology of cyst(s) in surgical </w:t>
      </w:r>
      <w:proofErr w:type="gramStart"/>
      <w:r w:rsidRPr="002E4A70">
        <w:rPr>
          <w:rFonts w:eastAsiaTheme="minorHAnsi" w:cs="Tahoma"/>
          <w:color w:val="000000"/>
          <w:szCs w:val="18"/>
        </w:rPr>
        <w:t>specimens;</w:t>
      </w:r>
      <w:proofErr w:type="gramEnd"/>
      <w:r w:rsidRPr="002E4A70">
        <w:rPr>
          <w:rFonts w:eastAsiaTheme="minorHAnsi" w:cs="Tahoma"/>
          <w:color w:val="000000"/>
          <w:szCs w:val="18"/>
        </w:rPr>
        <w:t xml:space="preserve"> </w:t>
      </w:r>
    </w:p>
    <w:p w14:paraId="483DB5C0" w14:textId="77777777" w:rsidR="00AC0043" w:rsidRPr="002E4A70" w:rsidRDefault="00AC0043" w:rsidP="00AC0043">
      <w:pPr>
        <w:autoSpaceDE w:val="0"/>
        <w:autoSpaceDN w:val="0"/>
        <w:adjustRightInd w:val="0"/>
        <w:spacing w:before="60" w:after="60"/>
        <w:rPr>
          <w:rFonts w:eastAsiaTheme="minorHAnsi" w:cs="Tahoma"/>
          <w:color w:val="000000"/>
          <w:szCs w:val="18"/>
        </w:rPr>
      </w:pPr>
      <w:r w:rsidRPr="002E4A70">
        <w:rPr>
          <w:rFonts w:eastAsiaTheme="minorHAnsi" w:cs="Tahoma"/>
          <w:color w:val="000000"/>
          <w:szCs w:val="18"/>
        </w:rPr>
        <w:t xml:space="preserve">— Typical organ lesions detected by imaging techniques (e.g. computerised tomography, sonography, MRI) AND confirmed by a serological </w:t>
      </w:r>
      <w:proofErr w:type="gramStart"/>
      <w:r w:rsidRPr="002E4A70">
        <w:rPr>
          <w:rFonts w:eastAsiaTheme="minorHAnsi" w:cs="Tahoma"/>
          <w:color w:val="000000"/>
          <w:szCs w:val="18"/>
        </w:rPr>
        <w:t>test;</w:t>
      </w:r>
      <w:proofErr w:type="gramEnd"/>
      <w:r w:rsidRPr="002E4A70">
        <w:rPr>
          <w:rFonts w:eastAsiaTheme="minorHAnsi" w:cs="Tahoma"/>
          <w:color w:val="000000"/>
          <w:szCs w:val="18"/>
        </w:rPr>
        <w:t xml:space="preserve"> </w:t>
      </w:r>
    </w:p>
    <w:p w14:paraId="027259B3" w14:textId="77777777" w:rsidR="00AC0043" w:rsidRPr="002E4A70" w:rsidRDefault="00AC0043" w:rsidP="00AC0043">
      <w:pPr>
        <w:autoSpaceDE w:val="0"/>
        <w:autoSpaceDN w:val="0"/>
        <w:adjustRightInd w:val="0"/>
        <w:spacing w:before="60" w:after="60"/>
        <w:rPr>
          <w:rFonts w:eastAsiaTheme="minorHAnsi" w:cs="Tahoma"/>
          <w:color w:val="000000"/>
          <w:szCs w:val="18"/>
        </w:rPr>
      </w:pPr>
      <w:r w:rsidRPr="002E4A70">
        <w:rPr>
          <w:rFonts w:eastAsiaTheme="minorHAnsi" w:cs="Tahoma"/>
          <w:color w:val="000000"/>
          <w:szCs w:val="18"/>
        </w:rPr>
        <w:t xml:space="preserve">— </w:t>
      </w:r>
      <w:r w:rsidRPr="002E4A70">
        <w:rPr>
          <w:rFonts w:eastAsiaTheme="minorHAnsi" w:cs="Tahoma"/>
          <w:i/>
          <w:iCs/>
          <w:color w:val="000000"/>
          <w:szCs w:val="18"/>
        </w:rPr>
        <w:t xml:space="preserve">Echinococcus </w:t>
      </w:r>
      <w:r w:rsidRPr="002E4A70">
        <w:rPr>
          <w:rFonts w:eastAsiaTheme="minorHAnsi" w:cs="Tahoma"/>
          <w:color w:val="000000"/>
          <w:szCs w:val="18"/>
        </w:rPr>
        <w:t xml:space="preserve">spp. specific serum antibodies by high-sensitivity serological test AND confirmed by a high specificity serological </w:t>
      </w:r>
      <w:proofErr w:type="gramStart"/>
      <w:r w:rsidRPr="002E4A70">
        <w:rPr>
          <w:rFonts w:eastAsiaTheme="minorHAnsi" w:cs="Tahoma"/>
          <w:color w:val="000000"/>
          <w:szCs w:val="18"/>
        </w:rPr>
        <w:t>test;</w:t>
      </w:r>
      <w:proofErr w:type="gramEnd"/>
      <w:r w:rsidRPr="002E4A70">
        <w:rPr>
          <w:rFonts w:eastAsiaTheme="minorHAnsi" w:cs="Tahoma"/>
          <w:color w:val="000000"/>
          <w:szCs w:val="18"/>
        </w:rPr>
        <w:t xml:space="preserve"> </w:t>
      </w:r>
    </w:p>
    <w:p w14:paraId="77E7DE6C" w14:textId="77777777" w:rsidR="00AC0043" w:rsidRPr="002E4A70" w:rsidRDefault="00AC0043" w:rsidP="00AC0043">
      <w:pPr>
        <w:autoSpaceDE w:val="0"/>
        <w:autoSpaceDN w:val="0"/>
        <w:adjustRightInd w:val="0"/>
        <w:spacing w:before="60" w:after="60"/>
        <w:rPr>
          <w:rFonts w:eastAsiaTheme="minorHAnsi" w:cs="Tahoma"/>
          <w:color w:val="000000"/>
          <w:szCs w:val="18"/>
        </w:rPr>
      </w:pPr>
      <w:r w:rsidRPr="002E4A70">
        <w:rPr>
          <w:rFonts w:eastAsiaTheme="minorHAnsi" w:cs="Tahoma"/>
          <w:color w:val="000000"/>
          <w:szCs w:val="18"/>
        </w:rPr>
        <w:t xml:space="preserve">— Detection of </w:t>
      </w:r>
      <w:r w:rsidRPr="002E4A70">
        <w:rPr>
          <w:rFonts w:eastAsiaTheme="minorHAnsi" w:cs="Tahoma"/>
          <w:i/>
          <w:iCs/>
          <w:color w:val="000000"/>
          <w:szCs w:val="18"/>
        </w:rPr>
        <w:t xml:space="preserve">Echinococcus </w:t>
      </w:r>
      <w:proofErr w:type="spellStart"/>
      <w:r w:rsidRPr="002E4A70">
        <w:rPr>
          <w:rFonts w:eastAsiaTheme="minorHAnsi" w:cs="Tahoma"/>
          <w:i/>
          <w:iCs/>
          <w:color w:val="000000"/>
          <w:szCs w:val="18"/>
        </w:rPr>
        <w:t>multilocularis</w:t>
      </w:r>
      <w:proofErr w:type="spellEnd"/>
      <w:r w:rsidRPr="002E4A70">
        <w:rPr>
          <w:rFonts w:eastAsiaTheme="minorHAnsi" w:cs="Tahoma"/>
          <w:i/>
          <w:iCs/>
          <w:color w:val="000000"/>
          <w:szCs w:val="18"/>
        </w:rPr>
        <w:t xml:space="preserve"> </w:t>
      </w:r>
      <w:r w:rsidRPr="002E4A70">
        <w:rPr>
          <w:rFonts w:eastAsiaTheme="minorHAnsi" w:cs="Tahoma"/>
          <w:color w:val="000000"/>
          <w:szCs w:val="18"/>
        </w:rPr>
        <w:t xml:space="preserve">or </w:t>
      </w:r>
      <w:proofErr w:type="spellStart"/>
      <w:r w:rsidRPr="002E4A70">
        <w:rPr>
          <w:rFonts w:eastAsiaTheme="minorHAnsi" w:cs="Tahoma"/>
          <w:i/>
          <w:iCs/>
          <w:color w:val="000000"/>
          <w:szCs w:val="18"/>
        </w:rPr>
        <w:t>granulosus</w:t>
      </w:r>
      <w:proofErr w:type="spellEnd"/>
      <w:r w:rsidRPr="002E4A70">
        <w:rPr>
          <w:rFonts w:eastAsiaTheme="minorHAnsi" w:cs="Tahoma"/>
          <w:i/>
          <w:iCs/>
          <w:color w:val="000000"/>
          <w:szCs w:val="18"/>
        </w:rPr>
        <w:t xml:space="preserve"> </w:t>
      </w:r>
      <w:r w:rsidRPr="002E4A70">
        <w:rPr>
          <w:rFonts w:eastAsiaTheme="minorHAnsi" w:cs="Tahoma"/>
          <w:color w:val="000000"/>
          <w:szCs w:val="18"/>
        </w:rPr>
        <w:t>nucleic acid in a clinical specimen.</w:t>
      </w:r>
    </w:p>
    <w:p w14:paraId="79F8000B" w14:textId="1DDEDF1D" w:rsidR="00222575" w:rsidRPr="002E4A70" w:rsidRDefault="00222575" w:rsidP="00AC0043">
      <w:pPr>
        <w:pStyle w:val="CM4"/>
        <w:spacing w:before="60" w:after="60"/>
        <w:rPr>
          <w:rFonts w:ascii="Tahoma" w:hAnsi="Tahoma" w:cs="Tahoma"/>
          <w:b/>
          <w:sz w:val="18"/>
          <w:szCs w:val="18"/>
        </w:rPr>
      </w:pPr>
      <w:r w:rsidRPr="002E4A70">
        <w:rPr>
          <w:rFonts w:ascii="Tahoma" w:hAnsi="Tahoma" w:cs="Tahoma"/>
          <w:b/>
          <w:sz w:val="18"/>
          <w:szCs w:val="18"/>
        </w:rPr>
        <w:t xml:space="preserve">Epidemiological Criteria </w:t>
      </w:r>
      <w:r w:rsidRPr="002E4A70">
        <w:rPr>
          <w:rFonts w:ascii="Tahoma" w:hAnsi="Tahoma" w:cs="Tahoma"/>
          <w:sz w:val="18"/>
          <w:szCs w:val="18"/>
        </w:rPr>
        <w:t>NA</w:t>
      </w:r>
    </w:p>
    <w:p w14:paraId="0EE2D703" w14:textId="77777777" w:rsidR="00222575" w:rsidRPr="00805F81" w:rsidRDefault="00222575" w:rsidP="00805F81">
      <w:pPr>
        <w:pStyle w:val="Default"/>
      </w:pPr>
    </w:p>
    <w:p w14:paraId="154CD07F" w14:textId="659EB1AC" w:rsidR="00AC0043" w:rsidRPr="002E4A70" w:rsidRDefault="00AC0043" w:rsidP="00AC0043">
      <w:pPr>
        <w:pStyle w:val="CM4"/>
        <w:spacing w:before="60" w:after="60"/>
        <w:rPr>
          <w:rFonts w:ascii="Tahoma" w:hAnsi="Tahoma" w:cs="Tahoma"/>
          <w:b/>
          <w:sz w:val="18"/>
          <w:szCs w:val="18"/>
        </w:rPr>
      </w:pPr>
      <w:r w:rsidRPr="002E4A70">
        <w:rPr>
          <w:rFonts w:ascii="Tahoma" w:hAnsi="Tahoma" w:cs="Tahoma"/>
          <w:b/>
          <w:sz w:val="18"/>
          <w:szCs w:val="18"/>
        </w:rPr>
        <w:t>Case classification</w:t>
      </w:r>
    </w:p>
    <w:p w14:paraId="096F39A2" w14:textId="58683457" w:rsidR="00222575" w:rsidRDefault="00222575" w:rsidP="00805F81">
      <w:pPr>
        <w:pStyle w:val="Default"/>
        <w:rPr>
          <w:rFonts w:eastAsiaTheme="minorHAnsi" w:cs="Tahoma"/>
          <w:sz w:val="18"/>
          <w:szCs w:val="18"/>
          <w:lang w:eastAsia="en-US"/>
        </w:rPr>
      </w:pPr>
      <w:r w:rsidRPr="002E4A70">
        <w:rPr>
          <w:rFonts w:ascii="Tahoma" w:hAnsi="Tahoma" w:cs="Tahoma"/>
          <w:sz w:val="18"/>
          <w:szCs w:val="18"/>
        </w:rPr>
        <w:t xml:space="preserve">A. Possible case: NA </w:t>
      </w:r>
      <w:r w:rsidRPr="002E4A70">
        <w:rPr>
          <w:rFonts w:ascii="Tahoma" w:hAnsi="Tahoma" w:cs="Tahoma"/>
          <w:sz w:val="18"/>
          <w:szCs w:val="18"/>
        </w:rPr>
        <w:br/>
        <w:t>B. Probable case: NA</w:t>
      </w:r>
      <w:r w:rsidRPr="00805F81">
        <w:rPr>
          <w:rFonts w:ascii="Tahoma" w:hAnsi="Tahoma" w:cs="Tahoma"/>
          <w:sz w:val="18"/>
          <w:szCs w:val="18"/>
        </w:rPr>
        <w:t xml:space="preserve"> </w:t>
      </w:r>
      <w:r>
        <w:rPr>
          <w:rFonts w:ascii="Tahoma" w:hAnsi="Tahoma" w:cs="Tahoma"/>
          <w:sz w:val="18"/>
          <w:szCs w:val="18"/>
        </w:rPr>
        <w:br/>
      </w:r>
      <w:r w:rsidRPr="00222575">
        <w:rPr>
          <w:rFonts w:ascii="Tahoma" w:eastAsiaTheme="minorHAnsi" w:hAnsi="Tahoma" w:cs="Tahoma"/>
          <w:sz w:val="18"/>
          <w:szCs w:val="18"/>
          <w:lang w:eastAsia="en-US"/>
        </w:rPr>
        <w:t>C</w:t>
      </w:r>
      <w:r w:rsidR="00AC0043" w:rsidRPr="00222575">
        <w:rPr>
          <w:rFonts w:ascii="Tahoma" w:eastAsiaTheme="minorHAnsi" w:hAnsi="Tahoma" w:cs="Tahoma"/>
          <w:sz w:val="18"/>
          <w:szCs w:val="18"/>
          <w:lang w:eastAsia="en-US"/>
        </w:rPr>
        <w:t xml:space="preserve">. </w:t>
      </w:r>
      <w:r w:rsidR="00AC0043" w:rsidRPr="00222575">
        <w:rPr>
          <w:rFonts w:ascii="Tahoma" w:eastAsiaTheme="minorHAnsi" w:hAnsi="Tahoma" w:cs="Tahoma"/>
          <w:bCs/>
          <w:sz w:val="18"/>
          <w:szCs w:val="18"/>
          <w:lang w:eastAsia="en-US"/>
        </w:rPr>
        <w:t xml:space="preserve">Confirmed case: </w:t>
      </w:r>
      <w:r w:rsidR="00AC0043" w:rsidRPr="00805F81">
        <w:rPr>
          <w:rFonts w:ascii="Tahoma" w:eastAsiaTheme="minorHAnsi" w:hAnsi="Tahoma" w:cs="Tahoma"/>
          <w:sz w:val="18"/>
          <w:szCs w:val="18"/>
          <w:lang w:eastAsia="en-US"/>
        </w:rPr>
        <w:t>Any person meeting the diagnostic criteria</w:t>
      </w:r>
      <w:r>
        <w:rPr>
          <w:rFonts w:eastAsiaTheme="minorHAnsi" w:cs="Tahoma"/>
          <w:sz w:val="18"/>
          <w:szCs w:val="18"/>
          <w:lang w:eastAsia="en-US"/>
        </w:rPr>
        <w:br/>
      </w:r>
    </w:p>
    <w:p w14:paraId="4D20914B" w14:textId="77777777" w:rsidR="002E4A70" w:rsidRDefault="002E4A70" w:rsidP="002E4A70">
      <w:pPr>
        <w:pStyle w:val="EC-Para"/>
        <w:spacing w:after="0" w:line="240" w:lineRule="auto"/>
        <w:jc w:val="both"/>
        <w:rPr>
          <w:rFonts w:cs="Tahoma"/>
        </w:rPr>
      </w:pPr>
      <w:r>
        <w:rPr>
          <w:rFonts w:cs="Tahoma"/>
        </w:rPr>
        <w:t>------------------------</w:t>
      </w:r>
    </w:p>
    <w:p w14:paraId="578135D6" w14:textId="7C09C531" w:rsidR="00AC0043" w:rsidRDefault="002E4A70" w:rsidP="00AC0043">
      <w:pPr>
        <w:autoSpaceDE w:val="0"/>
        <w:autoSpaceDN w:val="0"/>
        <w:adjustRightInd w:val="0"/>
        <w:jc w:val="both"/>
        <w:rPr>
          <w:rFonts w:cs="Tahoma"/>
          <w:szCs w:val="18"/>
        </w:rPr>
      </w:pPr>
      <w:r w:rsidRPr="002E4A70">
        <w:rPr>
          <w:rFonts w:cs="Tahoma"/>
          <w:szCs w:val="18"/>
        </w:rPr>
        <w:t>(</w:t>
      </w:r>
      <w:r w:rsidR="00AC0043" w:rsidRPr="002E4A70">
        <w:rPr>
          <w:rFonts w:cs="Tahoma"/>
          <w:szCs w:val="18"/>
        </w:rPr>
        <w:t>There are no differences between the 201</w:t>
      </w:r>
      <w:r w:rsidR="00FC3983" w:rsidRPr="002E4A70">
        <w:rPr>
          <w:rFonts w:cs="Tahoma"/>
          <w:szCs w:val="18"/>
        </w:rPr>
        <w:t xml:space="preserve">8 and previous versions of the </w:t>
      </w:r>
      <w:r w:rsidR="00AC0043" w:rsidRPr="002E4A70">
        <w:rPr>
          <w:rFonts w:cs="Tahoma"/>
          <w:szCs w:val="18"/>
        </w:rPr>
        <w:t>EU case definitions</w:t>
      </w:r>
      <w:r w:rsidR="00FC3983" w:rsidRPr="002E4A70">
        <w:rPr>
          <w:rFonts w:cs="Tahoma"/>
          <w:szCs w:val="18"/>
        </w:rPr>
        <w:t xml:space="preserve"> for</w:t>
      </w:r>
      <w:r w:rsidR="00FC3983">
        <w:rPr>
          <w:rFonts w:cs="Tahoma"/>
          <w:szCs w:val="18"/>
        </w:rPr>
        <w:t xml:space="preserve"> </w:t>
      </w:r>
      <w:proofErr w:type="spellStart"/>
      <w:r w:rsidR="00FC3983">
        <w:rPr>
          <w:rFonts w:cs="Tahoma"/>
          <w:szCs w:val="18"/>
        </w:rPr>
        <w:t>echinococccosis</w:t>
      </w:r>
      <w:proofErr w:type="spellEnd"/>
      <w:r w:rsidR="00AC0043" w:rsidRPr="009C5732">
        <w:rPr>
          <w:rFonts w:cs="Tahoma"/>
          <w:szCs w:val="18"/>
        </w:rPr>
        <w:t>.</w:t>
      </w:r>
      <w:r>
        <w:rPr>
          <w:rFonts w:cs="Tahoma"/>
          <w:szCs w:val="18"/>
        </w:rPr>
        <w:t>)</w:t>
      </w:r>
      <w:r w:rsidR="00AC0043" w:rsidRPr="003C5DC9">
        <w:rPr>
          <w:rFonts w:cs="Tahoma"/>
          <w:szCs w:val="18"/>
        </w:rPr>
        <w:t xml:space="preserve"> </w:t>
      </w:r>
    </w:p>
    <w:p w14:paraId="12FB4709" w14:textId="77777777" w:rsidR="00AC0043" w:rsidRDefault="00AC0043" w:rsidP="00AC0043">
      <w:pPr>
        <w:autoSpaceDE w:val="0"/>
        <w:autoSpaceDN w:val="0"/>
        <w:adjustRightInd w:val="0"/>
        <w:jc w:val="both"/>
        <w:rPr>
          <w:rFonts w:cs="Tahoma"/>
          <w:szCs w:val="18"/>
        </w:rPr>
      </w:pPr>
    </w:p>
    <w:p w14:paraId="4CE0D426" w14:textId="77777777" w:rsidR="00AC0043" w:rsidRPr="00452AF8" w:rsidRDefault="00AC0043" w:rsidP="00B44A6E">
      <w:pPr>
        <w:pStyle w:val="EC-Title-6"/>
      </w:pPr>
      <w:r w:rsidRPr="00BD0ACE">
        <w:t xml:space="preserve">Data collection </w:t>
      </w:r>
      <w:r w:rsidRPr="00B44A6E">
        <w:t>and</w:t>
      </w:r>
      <w:r w:rsidRPr="00BD0ACE">
        <w:t xml:space="preserve"> analysis </w:t>
      </w:r>
    </w:p>
    <w:p w14:paraId="68379244" w14:textId="20A6AFD0" w:rsidR="00AC0043" w:rsidRDefault="00AC0043" w:rsidP="00AC004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A51BAC">
        <w:rPr>
          <w:rFonts w:cs="Tahoma"/>
        </w:rPr>
        <w:t>EU/EEA countries</w:t>
      </w:r>
      <w:r>
        <w:rPr>
          <w:rFonts w:cs="Tahoma"/>
        </w:rPr>
        <w:t>. C</w:t>
      </w:r>
      <w:r>
        <w:t>ountry population denominators by age group for the calculation of notification rates were obtained from Eurostat</w:t>
      </w:r>
      <w:r>
        <w:rPr>
          <w:rStyle w:val="FootnoteReference"/>
        </w:rPr>
        <w:footnoteReference w:id="17"/>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36F31A16" w14:textId="77777777" w:rsidR="00AC0043" w:rsidRDefault="00AC0043" w:rsidP="00AC0043">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273CA09A" w14:textId="77777777" w:rsidR="00AC0043" w:rsidRDefault="00AC0043" w:rsidP="00AC0043">
      <w:pPr>
        <w:pStyle w:val="EC-Para"/>
        <w:jc w:val="both"/>
        <w:rPr>
          <w:rFonts w:cs="Tahoma"/>
        </w:rPr>
      </w:pPr>
      <w:r>
        <w:rPr>
          <w:rFonts w:cs="Tahoma"/>
        </w:rPr>
        <w:t>Surveillance systems across the EU/EEA countries are heterogeneous and a surveillance systems overview is displayed in Annex 1.</w:t>
      </w:r>
    </w:p>
    <w:p w14:paraId="78C051DD" w14:textId="77777777" w:rsidR="00B44A6E" w:rsidRDefault="00B44A6E" w:rsidP="00AC0043">
      <w:pPr>
        <w:pStyle w:val="EC-Para"/>
        <w:jc w:val="both"/>
        <w:rPr>
          <w:rFonts w:cs="Tahoma"/>
        </w:rPr>
      </w:pPr>
    </w:p>
    <w:p w14:paraId="5BE9E8EB" w14:textId="77777777" w:rsidR="00AC0043" w:rsidRPr="0072746F" w:rsidRDefault="00AC0043" w:rsidP="00B44A6E">
      <w:pPr>
        <w:pStyle w:val="EC-Title-6"/>
      </w:pPr>
      <w:r w:rsidRPr="0072746F">
        <w:lastRenderedPageBreak/>
        <w:t xml:space="preserve">Surveillance Atlas </w:t>
      </w:r>
      <w:r w:rsidRPr="00B44A6E">
        <w:t>indicators</w:t>
      </w:r>
    </w:p>
    <w:p w14:paraId="37996952" w14:textId="147B6978" w:rsidR="00AC0043" w:rsidRDefault="00AC0043" w:rsidP="00AC0043">
      <w:pPr>
        <w:pStyle w:val="EC-Para"/>
        <w:rPr>
          <w:rFonts w:cs="Tahoma"/>
        </w:rPr>
      </w:pPr>
      <w:r w:rsidRPr="005E139C">
        <w:rPr>
          <w:rFonts w:cs="Tahoma"/>
        </w:rPr>
        <w:t>The Surveillan</w:t>
      </w:r>
      <w:r>
        <w:rPr>
          <w:rFonts w:cs="Tahoma"/>
        </w:rPr>
        <w:t xml:space="preserve">ce Atlas indicators for </w:t>
      </w:r>
      <w:r w:rsidR="00F75673">
        <w:rPr>
          <w:rFonts w:cs="Tahoma"/>
        </w:rPr>
        <w:t xml:space="preserve">confirmed </w:t>
      </w:r>
      <w:r>
        <w:rPr>
          <w:rFonts w:cs="Tahoma"/>
        </w:rPr>
        <w:t>echinococcosis</w:t>
      </w:r>
      <w:r w:rsidRPr="005E139C">
        <w:rPr>
          <w:rFonts w:cs="Tahoma"/>
        </w:rPr>
        <w:t xml:space="preserve"> are:</w:t>
      </w:r>
    </w:p>
    <w:p w14:paraId="421BD479" w14:textId="77777777" w:rsidR="00BA772B" w:rsidRDefault="00AC0043" w:rsidP="000617B1">
      <w:pPr>
        <w:numPr>
          <w:ilvl w:val="0"/>
          <w:numId w:val="27"/>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05C36E60" w14:textId="77777777" w:rsidR="00BA772B" w:rsidRDefault="00AC0043" w:rsidP="000617B1">
      <w:pPr>
        <w:numPr>
          <w:ilvl w:val="0"/>
          <w:numId w:val="27"/>
        </w:numPr>
        <w:kinsoku w:val="0"/>
        <w:autoSpaceDE w:val="0"/>
        <w:autoSpaceDN w:val="0"/>
        <w:adjustRightInd w:val="0"/>
        <w:spacing w:line="200" w:lineRule="atLeast"/>
        <w:rPr>
          <w:rFonts w:eastAsia="Arial Unicode MS" w:cs="Tahoma"/>
          <w:kern w:val="22"/>
          <w:szCs w:val="18"/>
        </w:rPr>
      </w:pPr>
      <w:r w:rsidRPr="00BA772B">
        <w:rPr>
          <w:rFonts w:eastAsia="Arial Unicode MS" w:cs="Tahoma"/>
          <w:kern w:val="22"/>
          <w:szCs w:val="18"/>
        </w:rPr>
        <w:t xml:space="preserve">Notification rate per 100 000 </w:t>
      </w:r>
      <w:proofErr w:type="gramStart"/>
      <w:r w:rsidRPr="00BA772B">
        <w:rPr>
          <w:rFonts w:eastAsia="Arial Unicode MS" w:cs="Tahoma"/>
          <w:kern w:val="22"/>
          <w:szCs w:val="18"/>
        </w:rPr>
        <w:t>population;</w:t>
      </w:r>
      <w:proofErr w:type="gramEnd"/>
    </w:p>
    <w:p w14:paraId="7369AA4C" w14:textId="77777777" w:rsidR="00BA772B" w:rsidRDefault="00AC0043" w:rsidP="000617B1">
      <w:pPr>
        <w:numPr>
          <w:ilvl w:val="0"/>
          <w:numId w:val="27"/>
        </w:numPr>
        <w:kinsoku w:val="0"/>
        <w:autoSpaceDE w:val="0"/>
        <w:autoSpaceDN w:val="0"/>
        <w:adjustRightInd w:val="0"/>
        <w:spacing w:line="200" w:lineRule="atLeast"/>
        <w:rPr>
          <w:rFonts w:eastAsia="Arial Unicode MS" w:cs="Tahoma"/>
          <w:kern w:val="22"/>
          <w:szCs w:val="18"/>
        </w:rPr>
      </w:pPr>
      <w:r w:rsidRPr="00BA772B">
        <w:rPr>
          <w:rFonts w:eastAsia="Arial Unicode MS" w:cs="Tahoma"/>
          <w:kern w:val="22"/>
          <w:szCs w:val="18"/>
        </w:rPr>
        <w:t xml:space="preserve">Age-standardised rate per 100 000 </w:t>
      </w:r>
      <w:proofErr w:type="gramStart"/>
      <w:r w:rsidRPr="00BA772B">
        <w:rPr>
          <w:rFonts w:eastAsia="Arial Unicode MS" w:cs="Tahoma"/>
          <w:kern w:val="22"/>
          <w:szCs w:val="18"/>
        </w:rPr>
        <w:t>population;</w:t>
      </w:r>
      <w:proofErr w:type="gramEnd"/>
    </w:p>
    <w:p w14:paraId="188A225D" w14:textId="77777777" w:rsidR="00BA772B" w:rsidRDefault="00AC0043" w:rsidP="000617B1">
      <w:pPr>
        <w:numPr>
          <w:ilvl w:val="0"/>
          <w:numId w:val="27"/>
        </w:numPr>
        <w:kinsoku w:val="0"/>
        <w:autoSpaceDE w:val="0"/>
        <w:autoSpaceDN w:val="0"/>
        <w:adjustRightInd w:val="0"/>
        <w:spacing w:line="200" w:lineRule="atLeast"/>
        <w:rPr>
          <w:rFonts w:eastAsia="Arial Unicode MS" w:cs="Tahoma"/>
          <w:kern w:val="22"/>
          <w:szCs w:val="18"/>
        </w:rPr>
      </w:pPr>
      <w:r w:rsidRPr="00BA772B">
        <w:rPr>
          <w:rFonts w:eastAsia="Arial Unicode MS" w:cs="Tahoma"/>
          <w:kern w:val="22"/>
          <w:szCs w:val="18"/>
        </w:rPr>
        <w:t xml:space="preserve">Number of hospitalised </w:t>
      </w:r>
      <w:proofErr w:type="gramStart"/>
      <w:r w:rsidRPr="00BA772B">
        <w:rPr>
          <w:rFonts w:eastAsia="Arial Unicode MS" w:cs="Tahoma"/>
          <w:kern w:val="22"/>
          <w:szCs w:val="18"/>
        </w:rPr>
        <w:t>cases;</w:t>
      </w:r>
      <w:proofErr w:type="gramEnd"/>
    </w:p>
    <w:p w14:paraId="0857E860" w14:textId="77777777" w:rsidR="00BA772B" w:rsidRDefault="00AC0043" w:rsidP="000617B1">
      <w:pPr>
        <w:numPr>
          <w:ilvl w:val="0"/>
          <w:numId w:val="27"/>
        </w:numPr>
        <w:kinsoku w:val="0"/>
        <w:autoSpaceDE w:val="0"/>
        <w:autoSpaceDN w:val="0"/>
        <w:adjustRightInd w:val="0"/>
        <w:spacing w:line="200" w:lineRule="atLeast"/>
        <w:rPr>
          <w:rFonts w:eastAsia="Arial Unicode MS" w:cs="Tahoma"/>
          <w:kern w:val="22"/>
          <w:szCs w:val="18"/>
        </w:rPr>
      </w:pPr>
      <w:r w:rsidRPr="00BA772B">
        <w:rPr>
          <w:rFonts w:eastAsia="Arial Unicode MS" w:cs="Tahoma"/>
          <w:kern w:val="22"/>
          <w:szCs w:val="18"/>
        </w:rPr>
        <w:t>Proportion of hospitalised cases among confirmed cases with known history of hospitalisation (%</w:t>
      </w:r>
      <w:proofErr w:type="gramStart"/>
      <w:r w:rsidRPr="00BA772B">
        <w:rPr>
          <w:rFonts w:eastAsia="Arial Unicode MS" w:cs="Tahoma"/>
          <w:kern w:val="22"/>
          <w:szCs w:val="18"/>
        </w:rPr>
        <w:t>);</w:t>
      </w:r>
      <w:proofErr w:type="gramEnd"/>
    </w:p>
    <w:p w14:paraId="6D9F93DD" w14:textId="77777777" w:rsidR="00BA772B" w:rsidRDefault="00AC0043" w:rsidP="000617B1">
      <w:pPr>
        <w:numPr>
          <w:ilvl w:val="0"/>
          <w:numId w:val="27"/>
        </w:numPr>
        <w:kinsoku w:val="0"/>
        <w:autoSpaceDE w:val="0"/>
        <w:autoSpaceDN w:val="0"/>
        <w:adjustRightInd w:val="0"/>
        <w:spacing w:line="200" w:lineRule="atLeast"/>
        <w:rPr>
          <w:rFonts w:eastAsia="Arial Unicode MS" w:cs="Tahoma"/>
          <w:kern w:val="22"/>
          <w:szCs w:val="18"/>
        </w:rPr>
      </w:pPr>
      <w:r w:rsidRPr="00BA772B">
        <w:rPr>
          <w:rFonts w:eastAsia="Arial Unicode MS" w:cs="Tahoma"/>
          <w:kern w:val="22"/>
          <w:szCs w:val="18"/>
        </w:rPr>
        <w:t xml:space="preserve">Number of deaths derived from reporting of disease </w:t>
      </w:r>
      <w:proofErr w:type="gramStart"/>
      <w:r w:rsidRPr="00BA772B">
        <w:rPr>
          <w:rFonts w:eastAsia="Arial Unicode MS" w:cs="Tahoma"/>
          <w:kern w:val="22"/>
          <w:szCs w:val="18"/>
        </w:rPr>
        <w:t>outcome;</w:t>
      </w:r>
      <w:proofErr w:type="gramEnd"/>
    </w:p>
    <w:p w14:paraId="4D653773" w14:textId="77777777" w:rsidR="00BA772B" w:rsidRDefault="00AC0043" w:rsidP="000617B1">
      <w:pPr>
        <w:numPr>
          <w:ilvl w:val="0"/>
          <w:numId w:val="27"/>
        </w:numPr>
        <w:kinsoku w:val="0"/>
        <w:autoSpaceDE w:val="0"/>
        <w:autoSpaceDN w:val="0"/>
        <w:adjustRightInd w:val="0"/>
        <w:spacing w:line="200" w:lineRule="atLeast"/>
        <w:rPr>
          <w:rFonts w:eastAsia="Arial Unicode MS" w:cs="Tahoma"/>
          <w:kern w:val="22"/>
          <w:szCs w:val="18"/>
        </w:rPr>
      </w:pPr>
      <w:r w:rsidRPr="00BA772B">
        <w:rPr>
          <w:rFonts w:eastAsia="Arial Unicode MS" w:cs="Tahoma"/>
          <w:kern w:val="22"/>
          <w:szCs w:val="18"/>
        </w:rPr>
        <w:t>Case fatality calculated as proportion of deaths among confirmed cases with known disease outcome (%</w:t>
      </w:r>
      <w:proofErr w:type="gramStart"/>
      <w:r w:rsidRPr="00BA772B">
        <w:rPr>
          <w:rFonts w:eastAsia="Arial Unicode MS" w:cs="Tahoma"/>
          <w:kern w:val="22"/>
          <w:szCs w:val="18"/>
        </w:rPr>
        <w:t>);</w:t>
      </w:r>
      <w:proofErr w:type="gramEnd"/>
    </w:p>
    <w:p w14:paraId="6BC820A4" w14:textId="77777777" w:rsidR="00BA772B" w:rsidRDefault="00AC0043" w:rsidP="000617B1">
      <w:pPr>
        <w:numPr>
          <w:ilvl w:val="0"/>
          <w:numId w:val="27"/>
        </w:numPr>
        <w:kinsoku w:val="0"/>
        <w:autoSpaceDE w:val="0"/>
        <w:autoSpaceDN w:val="0"/>
        <w:adjustRightInd w:val="0"/>
        <w:spacing w:line="200" w:lineRule="atLeast"/>
        <w:rPr>
          <w:rFonts w:eastAsia="Arial Unicode MS" w:cs="Tahoma"/>
          <w:kern w:val="22"/>
          <w:szCs w:val="18"/>
        </w:rPr>
      </w:pPr>
      <w:r w:rsidRPr="00BA772B">
        <w:rPr>
          <w:rFonts w:eastAsia="Arial Unicode MS" w:cs="Tahoma"/>
          <w:kern w:val="22"/>
          <w:szCs w:val="18"/>
        </w:rPr>
        <w:t xml:space="preserve">Notification rate for domestic cases per 100 000 </w:t>
      </w:r>
      <w:proofErr w:type="gramStart"/>
      <w:r w:rsidRPr="00BA772B">
        <w:rPr>
          <w:rFonts w:eastAsia="Arial Unicode MS" w:cs="Tahoma"/>
          <w:kern w:val="22"/>
          <w:szCs w:val="18"/>
        </w:rPr>
        <w:t>population;</w:t>
      </w:r>
      <w:proofErr w:type="gramEnd"/>
    </w:p>
    <w:p w14:paraId="337BA476" w14:textId="77991788" w:rsidR="00AC0043" w:rsidRPr="00BA772B" w:rsidRDefault="00AC0043" w:rsidP="000617B1">
      <w:pPr>
        <w:numPr>
          <w:ilvl w:val="0"/>
          <w:numId w:val="27"/>
        </w:numPr>
        <w:kinsoku w:val="0"/>
        <w:autoSpaceDE w:val="0"/>
        <w:autoSpaceDN w:val="0"/>
        <w:adjustRightInd w:val="0"/>
        <w:spacing w:line="200" w:lineRule="atLeast"/>
        <w:rPr>
          <w:rFonts w:eastAsia="Arial Unicode MS" w:cs="Tahoma"/>
          <w:kern w:val="22"/>
          <w:szCs w:val="18"/>
        </w:rPr>
      </w:pPr>
      <w:r w:rsidRPr="00BA772B">
        <w:rPr>
          <w:rFonts w:eastAsia="Arial Unicode MS" w:cs="Tahoma"/>
          <w:kern w:val="22"/>
          <w:szCs w:val="18"/>
        </w:rPr>
        <w:t>Proportion of travel-associated cases among confirmed cases with known travel history outside the reporting country (%</w:t>
      </w:r>
      <w:proofErr w:type="gramStart"/>
      <w:r w:rsidRPr="00BA772B">
        <w:rPr>
          <w:rFonts w:eastAsia="Arial Unicode MS" w:cs="Tahoma"/>
          <w:kern w:val="22"/>
          <w:szCs w:val="18"/>
        </w:rPr>
        <w:t>);</w:t>
      </w:r>
      <w:proofErr w:type="gramEnd"/>
    </w:p>
    <w:p w14:paraId="2961124B" w14:textId="77777777" w:rsidR="00AC0043" w:rsidRPr="007B34B1" w:rsidRDefault="00AC0043" w:rsidP="00AC0043">
      <w:pPr>
        <w:kinsoku w:val="0"/>
        <w:autoSpaceDE w:val="0"/>
        <w:autoSpaceDN w:val="0"/>
        <w:adjustRightInd w:val="0"/>
        <w:spacing w:line="200" w:lineRule="atLeast"/>
        <w:ind w:left="720"/>
        <w:rPr>
          <w:rFonts w:eastAsia="Arial Unicode MS" w:cs="Tahoma"/>
          <w:kern w:val="22"/>
          <w:szCs w:val="18"/>
        </w:rPr>
      </w:pPr>
    </w:p>
    <w:p w14:paraId="0C078F68" w14:textId="2C996C96" w:rsidR="00AC0043" w:rsidRPr="00206DFA" w:rsidRDefault="00F75673" w:rsidP="000617B1">
      <w:pPr>
        <w:numPr>
          <w:ilvl w:val="0"/>
          <w:numId w:val="4"/>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u w:val="single"/>
        </w:rPr>
        <w:t xml:space="preserve">Indicators </w:t>
      </w:r>
      <w:r w:rsidR="00AC0043">
        <w:rPr>
          <w:rFonts w:eastAsia="Arial Unicode MS" w:cs="Tahoma"/>
          <w:kern w:val="22"/>
          <w:szCs w:val="18"/>
          <w:u w:val="single"/>
        </w:rPr>
        <w:t>for confirmed cases</w:t>
      </w:r>
      <w:r w:rsidR="00F036EA">
        <w:rPr>
          <w:rFonts w:eastAsia="Arial Unicode MS" w:cs="Tahoma"/>
          <w:kern w:val="22"/>
          <w:szCs w:val="18"/>
          <w:u w:val="single"/>
        </w:rPr>
        <w:t xml:space="preserve"> of </w:t>
      </w:r>
      <w:r w:rsidR="00AC0043" w:rsidRPr="00C31313">
        <w:rPr>
          <w:rFonts w:eastAsia="Arial Unicode MS" w:cs="Tahoma"/>
          <w:i/>
          <w:kern w:val="22"/>
          <w:szCs w:val="18"/>
          <w:u w:val="single"/>
        </w:rPr>
        <w:t xml:space="preserve">E. </w:t>
      </w:r>
      <w:proofErr w:type="spellStart"/>
      <w:r w:rsidR="00AC0043" w:rsidRPr="00C31313">
        <w:rPr>
          <w:rFonts w:eastAsia="Arial Unicode MS" w:cs="Tahoma"/>
          <w:i/>
          <w:kern w:val="22"/>
          <w:szCs w:val="18"/>
          <w:u w:val="single"/>
        </w:rPr>
        <w:t>granulosus</w:t>
      </w:r>
      <w:proofErr w:type="spellEnd"/>
      <w:r w:rsidR="00BA226D">
        <w:rPr>
          <w:rFonts w:eastAsia="Arial Unicode MS" w:cs="Tahoma"/>
          <w:i/>
          <w:kern w:val="22"/>
          <w:szCs w:val="18"/>
          <w:u w:val="single"/>
        </w:rPr>
        <w:t xml:space="preserve"> </w:t>
      </w:r>
      <w:r w:rsidR="00F036EA" w:rsidRPr="00F036EA">
        <w:rPr>
          <w:rFonts w:eastAsia="Arial Unicode MS" w:cs="Tahoma"/>
          <w:iCs/>
          <w:kern w:val="22"/>
          <w:szCs w:val="18"/>
          <w:u w:val="single"/>
        </w:rPr>
        <w:t xml:space="preserve">cases </w:t>
      </w:r>
      <w:r w:rsidR="00BA226D" w:rsidRPr="00F036EA">
        <w:rPr>
          <w:rFonts w:eastAsia="Arial Unicode MS" w:cs="Tahoma"/>
          <w:iCs/>
          <w:kern w:val="22"/>
          <w:szCs w:val="18"/>
          <w:u w:val="single"/>
        </w:rPr>
        <w:t>are</w:t>
      </w:r>
      <w:r w:rsidR="00AC0043" w:rsidRPr="00F036EA">
        <w:rPr>
          <w:rFonts w:eastAsia="Arial Unicode MS" w:cs="Tahoma"/>
          <w:kern w:val="22"/>
          <w:szCs w:val="18"/>
          <w:u w:val="single"/>
        </w:rPr>
        <w:t>:</w:t>
      </w:r>
      <w:r w:rsidR="00AC0043" w:rsidRPr="00206DFA">
        <w:rPr>
          <w:rFonts w:eastAsia="Arial Unicode MS" w:cs="Tahoma"/>
          <w:kern w:val="22"/>
          <w:szCs w:val="18"/>
          <w:u w:val="single"/>
        </w:rPr>
        <w:t xml:space="preserve"> </w:t>
      </w:r>
    </w:p>
    <w:p w14:paraId="5E3FA6F3" w14:textId="77777777" w:rsidR="00AC0043" w:rsidRPr="007B34B1" w:rsidRDefault="00AC0043" w:rsidP="000617B1">
      <w:pPr>
        <w:numPr>
          <w:ilvl w:val="0"/>
          <w:numId w:val="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4AF4A12D" w14:textId="77777777" w:rsidR="00AC0043" w:rsidRDefault="00AC0043" w:rsidP="000617B1">
      <w:pPr>
        <w:numPr>
          <w:ilvl w:val="0"/>
          <w:numId w:val="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25D82094" w14:textId="77777777" w:rsidR="00AC0043" w:rsidRPr="007B34B1" w:rsidRDefault="00AC0043" w:rsidP="000617B1">
      <w:pPr>
        <w:numPr>
          <w:ilvl w:val="0"/>
          <w:numId w:val="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6F669073" w14:textId="77777777" w:rsidR="00AC0043" w:rsidRPr="007B34B1" w:rsidRDefault="00AC0043" w:rsidP="000617B1">
      <w:pPr>
        <w:numPr>
          <w:ilvl w:val="0"/>
          <w:numId w:val="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Case fatality calculated as proportion of deaths among confirmed cases with known information on disease 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4CC07EF1"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0FD2C470" w14:textId="4A60D1A3" w:rsidR="00AC0043" w:rsidRPr="00206DFA" w:rsidRDefault="00F75673" w:rsidP="000617B1">
      <w:pPr>
        <w:numPr>
          <w:ilvl w:val="0"/>
          <w:numId w:val="4"/>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u w:val="single"/>
        </w:rPr>
        <w:t xml:space="preserve">Indicators </w:t>
      </w:r>
      <w:r w:rsidR="00AC0043">
        <w:rPr>
          <w:rFonts w:eastAsia="Arial Unicode MS" w:cs="Tahoma"/>
          <w:kern w:val="22"/>
          <w:szCs w:val="18"/>
          <w:u w:val="single"/>
        </w:rPr>
        <w:t xml:space="preserve">for confirmed cases </w:t>
      </w:r>
      <w:r w:rsidR="00F036EA">
        <w:rPr>
          <w:rFonts w:eastAsia="Arial Unicode MS" w:cs="Tahoma"/>
          <w:kern w:val="22"/>
          <w:szCs w:val="18"/>
          <w:u w:val="single"/>
        </w:rPr>
        <w:t>of</w:t>
      </w:r>
      <w:r w:rsidR="00AC0043">
        <w:rPr>
          <w:rFonts w:eastAsia="Arial Unicode MS" w:cs="Tahoma"/>
          <w:kern w:val="22"/>
          <w:szCs w:val="18"/>
          <w:u w:val="single"/>
        </w:rPr>
        <w:t xml:space="preserve"> </w:t>
      </w:r>
      <w:r w:rsidR="00AC0043" w:rsidRPr="00C31313">
        <w:rPr>
          <w:rFonts w:eastAsia="Arial Unicode MS" w:cs="Tahoma"/>
          <w:i/>
          <w:kern w:val="22"/>
          <w:szCs w:val="18"/>
          <w:u w:val="single"/>
        </w:rPr>
        <w:t xml:space="preserve">E. </w:t>
      </w:r>
      <w:proofErr w:type="spellStart"/>
      <w:r w:rsidR="00AC0043" w:rsidRPr="00C31313">
        <w:rPr>
          <w:rFonts w:eastAsia="Arial Unicode MS" w:cs="Tahoma"/>
          <w:i/>
          <w:kern w:val="22"/>
          <w:szCs w:val="18"/>
          <w:u w:val="single"/>
        </w:rPr>
        <w:t>multilocularis</w:t>
      </w:r>
      <w:proofErr w:type="spellEnd"/>
      <w:r w:rsidR="00BA226D">
        <w:rPr>
          <w:rFonts w:eastAsia="Arial Unicode MS" w:cs="Tahoma"/>
          <w:kern w:val="22"/>
          <w:szCs w:val="18"/>
          <w:u w:val="single"/>
        </w:rPr>
        <w:t xml:space="preserve"> </w:t>
      </w:r>
      <w:r w:rsidR="00F036EA" w:rsidRPr="00F036EA">
        <w:rPr>
          <w:rFonts w:eastAsia="Arial Unicode MS" w:cs="Tahoma"/>
          <w:iCs/>
          <w:kern w:val="22"/>
          <w:szCs w:val="18"/>
          <w:u w:val="single"/>
        </w:rPr>
        <w:t>cases a</w:t>
      </w:r>
      <w:r w:rsidR="00BA226D" w:rsidRPr="00F036EA">
        <w:rPr>
          <w:rFonts w:eastAsia="Arial Unicode MS" w:cs="Tahoma"/>
          <w:iCs/>
          <w:kern w:val="22"/>
          <w:szCs w:val="18"/>
          <w:u w:val="single"/>
        </w:rPr>
        <w:t>re</w:t>
      </w:r>
      <w:r w:rsidR="00BA226D" w:rsidRPr="00206DFA">
        <w:rPr>
          <w:rFonts w:eastAsia="Arial Unicode MS" w:cs="Tahoma"/>
          <w:kern w:val="22"/>
          <w:szCs w:val="18"/>
          <w:u w:val="single"/>
        </w:rPr>
        <w:t>:</w:t>
      </w:r>
    </w:p>
    <w:p w14:paraId="1794F61D" w14:textId="77777777" w:rsidR="00AC0043" w:rsidRPr="007B34B1" w:rsidRDefault="00AC0043" w:rsidP="000617B1">
      <w:pPr>
        <w:numPr>
          <w:ilvl w:val="0"/>
          <w:numId w:val="1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48B2819D" w14:textId="77777777" w:rsidR="00AC0043" w:rsidRDefault="00AC0043" w:rsidP="000617B1">
      <w:pPr>
        <w:numPr>
          <w:ilvl w:val="0"/>
          <w:numId w:val="1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03233E07" w14:textId="77777777" w:rsidR="00AC0043" w:rsidRPr="007B34B1" w:rsidRDefault="00AC0043" w:rsidP="000617B1">
      <w:pPr>
        <w:numPr>
          <w:ilvl w:val="0"/>
          <w:numId w:val="1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7A0F4BC9" w14:textId="77777777" w:rsidR="00AC0043" w:rsidRPr="007B34B1" w:rsidRDefault="00AC0043" w:rsidP="000617B1">
      <w:pPr>
        <w:numPr>
          <w:ilvl w:val="0"/>
          <w:numId w:val="1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Case fatality calculated as proportion of deaths among confirmed cases with known information on disease 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37DB5589" w14:textId="77777777" w:rsidR="00AC0043" w:rsidRDefault="00AC0043" w:rsidP="00AC0043">
      <w:pPr>
        <w:kinsoku w:val="0"/>
        <w:autoSpaceDE w:val="0"/>
        <w:autoSpaceDN w:val="0"/>
        <w:adjustRightInd w:val="0"/>
        <w:spacing w:line="200" w:lineRule="atLeast"/>
        <w:ind w:left="720"/>
        <w:rPr>
          <w:rFonts w:eastAsia="Arial Unicode MS" w:cs="Tahoma"/>
          <w:kern w:val="22"/>
          <w:szCs w:val="18"/>
        </w:rPr>
      </w:pPr>
    </w:p>
    <w:p w14:paraId="746D2861"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1AB3199C"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63EA3FA0"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2C97C1AE"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54EE00E8"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49A5B62C"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754A936B" w14:textId="77777777"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49065D1E" w14:textId="77777777"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Pathogen species.</w:t>
      </w:r>
    </w:p>
    <w:p w14:paraId="1A99A723" w14:textId="77777777" w:rsidR="002E7007" w:rsidRPr="00206DFA" w:rsidRDefault="002E7007" w:rsidP="002E7007">
      <w:pPr>
        <w:kinsoku w:val="0"/>
        <w:autoSpaceDE w:val="0"/>
        <w:autoSpaceDN w:val="0"/>
        <w:adjustRightInd w:val="0"/>
        <w:spacing w:line="200" w:lineRule="atLeast"/>
        <w:ind w:left="720"/>
        <w:rPr>
          <w:rFonts w:eastAsia="Arial Unicode MS" w:cs="Tahoma"/>
          <w:kern w:val="22"/>
          <w:szCs w:val="18"/>
        </w:rPr>
      </w:pPr>
    </w:p>
    <w:p w14:paraId="6E3CAC31" w14:textId="77777777" w:rsidR="00AC0043" w:rsidRDefault="00AC0043" w:rsidP="00AC004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AC0043" w14:paraId="32BE19E0"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28A6D474" w14:textId="77777777" w:rsidR="00AC0043" w:rsidRDefault="00AC0043" w:rsidP="00AC004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23313B56" w14:textId="77777777" w:rsidR="00AC0043" w:rsidRDefault="00AC0043" w:rsidP="00AC0043">
            <w:pPr>
              <w:pStyle w:val="EC-Para"/>
              <w:rPr>
                <w:lang w:eastAsia="en-US"/>
              </w:rPr>
            </w:pPr>
            <w:r>
              <w:rPr>
                <w:lang w:eastAsia="en-US"/>
              </w:rPr>
              <w:t>Comment</w:t>
            </w:r>
          </w:p>
        </w:tc>
      </w:tr>
      <w:tr w:rsidR="00AC0043" w14:paraId="16335EBE"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41F372BA" w14:textId="77777777" w:rsidR="00AC0043" w:rsidRDefault="00AC0043" w:rsidP="00AC0043">
            <w:pPr>
              <w:pStyle w:val="EC-Para"/>
              <w:jc w:val="center"/>
              <w:rPr>
                <w:b/>
                <w:lang w:eastAsia="en-US"/>
              </w:rPr>
            </w:pPr>
            <w:r w:rsidRPr="00321372">
              <w:rPr>
                <w:rFonts w:eastAsiaTheme="minorHAnsi" w:cs="Tahoma"/>
                <w:b/>
                <w:lang w:eastAsia="en-US"/>
              </w:rPr>
              <w:lastRenderedPageBreak/>
              <w:t>–</w:t>
            </w:r>
          </w:p>
        </w:tc>
        <w:tc>
          <w:tcPr>
            <w:tcW w:w="5103" w:type="dxa"/>
            <w:tcBorders>
              <w:top w:val="single" w:sz="4" w:space="0" w:color="000000"/>
              <w:left w:val="single" w:sz="4" w:space="0" w:color="000000"/>
              <w:bottom w:val="single" w:sz="4" w:space="0" w:color="000000"/>
              <w:right w:val="single" w:sz="4" w:space="0" w:color="000000"/>
            </w:tcBorders>
            <w:hideMark/>
          </w:tcPr>
          <w:p w14:paraId="338526EF" w14:textId="77777777" w:rsidR="00AC0043" w:rsidRDefault="00AC0043" w:rsidP="00AC004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AC0043" w14:paraId="726D00C3"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4BC6502D" w14:textId="77777777" w:rsidR="00AC0043" w:rsidRDefault="00AC0043" w:rsidP="00AC004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11FEAE2F" w14:textId="77777777" w:rsidR="00AC0043" w:rsidRDefault="00AC0043" w:rsidP="00AC004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5AC321D0" w14:textId="77777777" w:rsidR="00AC0043" w:rsidRDefault="00AC0043" w:rsidP="00AC0043">
      <w:pPr>
        <w:pStyle w:val="EC-Para"/>
        <w:rPr>
          <w:lang w:eastAsia="en-US"/>
        </w:rPr>
      </w:pPr>
    </w:p>
    <w:p w14:paraId="0AF514D6" w14:textId="15E09372" w:rsidR="00AC0043" w:rsidRPr="0072746F" w:rsidRDefault="005F0D47" w:rsidP="00F75673">
      <w:pPr>
        <w:pStyle w:val="EC-Title-6"/>
      </w:pPr>
      <w:r>
        <w:t xml:space="preserve">Data </w:t>
      </w:r>
      <w:r w:rsidRPr="00F75673">
        <w:t>quality</w:t>
      </w:r>
    </w:p>
    <w:p w14:paraId="31666BD3" w14:textId="2A84DCE0" w:rsidR="0097253D" w:rsidRDefault="0097253D" w:rsidP="0097253D">
      <w:pPr>
        <w:autoSpaceDE w:val="0"/>
        <w:autoSpaceDN w:val="0"/>
        <w:adjustRightInd w:val="0"/>
        <w:jc w:val="both"/>
        <w:rPr>
          <w:rFonts w:eastAsia="Arial Unicode MS" w:cs="Tahoma"/>
          <w:kern w:val="22"/>
          <w:szCs w:val="18"/>
        </w:rPr>
      </w:pPr>
      <w:bookmarkStart w:id="35" w:name="_Toc437442015"/>
      <w:r w:rsidRPr="009E3B9F">
        <w:rPr>
          <w:rFonts w:eastAsia="Arial Unicode MS" w:cs="Tahoma"/>
          <w:kern w:val="22"/>
          <w:szCs w:val="18"/>
        </w:rPr>
        <w:t xml:space="preserve">EU/EEA countries reporting data on </w:t>
      </w:r>
      <w:r w:rsidR="00C245BB" w:rsidRPr="00C245BB">
        <w:rPr>
          <w:rFonts w:eastAsia="Arial Unicode MS" w:cs="Tahoma"/>
          <w:kern w:val="22"/>
          <w:szCs w:val="18"/>
        </w:rPr>
        <w:t>echinococcosis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4C97CFF1" w14:textId="236BC3AC"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Pr="00E95571">
        <w:rPr>
          <w:rFonts w:eastAsia="Arial Unicode MS" w:cs="Tahoma"/>
          <w:kern w:val="22"/>
          <w:szCs w:val="18"/>
        </w:rPr>
        <w:t xml:space="preserve">confirmed </w:t>
      </w:r>
      <w:r w:rsidR="00C245BB" w:rsidRPr="00C245BB">
        <w:rPr>
          <w:rFonts w:eastAsia="Arial Unicode MS" w:cs="Tahoma"/>
          <w:kern w:val="22"/>
          <w:szCs w:val="18"/>
        </w:rPr>
        <w:t>echinococcosis cases</w:t>
      </w:r>
      <w:r>
        <w:rPr>
          <w:rFonts w:eastAsia="Arial Unicode MS" w:cs="Tahoma"/>
          <w:kern w:val="22"/>
          <w:szCs w:val="18"/>
        </w:rPr>
        <w:t xml:space="preserve"> are:</w:t>
      </w:r>
    </w:p>
    <w:p w14:paraId="7711231E" w14:textId="273EECB4"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677D3C8B" w14:textId="087C01B9"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4A888A12" w14:textId="590A14B1"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7325ABC1" w14:textId="4CFA2C4A"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073AF571" w14:textId="08E04276"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7BE699EF" w14:textId="25081928"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0941DA">
        <w:rPr>
          <w:rFonts w:eastAsia="Arial Unicode MS" w:cs="Tahoma"/>
          <w:kern w:val="22"/>
          <w:szCs w:val="18"/>
        </w:rPr>
        <w:t>pathogen species</w:t>
      </w:r>
      <w:r>
        <w:rPr>
          <w:rFonts w:eastAsia="Arial Unicode MS" w:cs="Tahoma"/>
          <w:kern w:val="22"/>
          <w:szCs w:val="18"/>
        </w:rPr>
        <w:t xml:space="preserve"> (%)</w:t>
      </w:r>
      <w:r w:rsidR="00F75673">
        <w:rPr>
          <w:rFonts w:eastAsia="Arial Unicode MS" w:cs="Tahoma"/>
          <w:kern w:val="22"/>
          <w:szCs w:val="18"/>
        </w:rPr>
        <w:t>.</w:t>
      </w:r>
    </w:p>
    <w:p w14:paraId="660BB84D" w14:textId="77777777" w:rsidR="00F75673" w:rsidRDefault="00F75673" w:rsidP="00F75673">
      <w:pPr>
        <w:pStyle w:val="ListParagraph"/>
        <w:autoSpaceDE w:val="0"/>
        <w:autoSpaceDN w:val="0"/>
        <w:adjustRightInd w:val="0"/>
        <w:jc w:val="both"/>
        <w:rPr>
          <w:rFonts w:eastAsia="Arial Unicode MS" w:cs="Tahoma"/>
          <w:kern w:val="22"/>
          <w:szCs w:val="18"/>
        </w:rPr>
      </w:pPr>
    </w:p>
    <w:p w14:paraId="700B3038" w14:textId="77777777" w:rsidR="00AC0043" w:rsidRDefault="00AC0043" w:rsidP="00AC0043">
      <w:pPr>
        <w:pStyle w:val="EC-Title-6"/>
        <w:outlineLvl w:val="1"/>
        <w:rPr>
          <w:rFonts w:cs="Tahoma"/>
        </w:rPr>
      </w:pPr>
      <w:r w:rsidRPr="00C82DDE">
        <w:rPr>
          <w:rFonts w:cs="Tahoma"/>
        </w:rPr>
        <w:t>Interpretation</w:t>
      </w:r>
      <w:bookmarkEnd w:id="35"/>
      <w:r w:rsidRPr="00C82DDE">
        <w:rPr>
          <w:rFonts w:cs="Tahoma"/>
        </w:rPr>
        <w:t xml:space="preserve"> </w:t>
      </w:r>
    </w:p>
    <w:p w14:paraId="7845BB98" w14:textId="77777777" w:rsidR="00AC0043" w:rsidRDefault="00AC0043" w:rsidP="00AC0043">
      <w:pPr>
        <w:pStyle w:val="EC-Para"/>
        <w:jc w:val="both"/>
        <w:rPr>
          <w:rFonts w:cs="Tahoma"/>
          <w:lang w:eastAsia="en-US"/>
        </w:rPr>
      </w:pPr>
      <w:r w:rsidRPr="00D45E3C">
        <w:rPr>
          <w:rFonts w:eastAsiaTheme="minorHAnsi" w:cs="Tahoma"/>
          <w:lang w:eastAsia="en-US"/>
        </w:rPr>
        <w:t xml:space="preserve">The </w:t>
      </w:r>
      <w:r>
        <w:rPr>
          <w:rFonts w:eastAsiaTheme="minorHAnsi" w:cs="Tahoma"/>
          <w:lang w:eastAsia="en-US"/>
        </w:rPr>
        <w:t>data</w:t>
      </w:r>
      <w:r w:rsidRPr="00D45E3C">
        <w:rPr>
          <w:rFonts w:eastAsiaTheme="minorHAnsi" w:cs="Tahoma"/>
          <w:lang w:eastAsia="en-US"/>
        </w:rPr>
        <w:t xml:space="preserve">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 and so does</w:t>
      </w:r>
      <w:r w:rsidRPr="00D45E3C">
        <w:rPr>
          <w:rFonts w:cs="Tahoma"/>
        </w:rPr>
        <w:t xml:space="preserve"> </w:t>
      </w:r>
      <w:r w:rsidRPr="00C845AB">
        <w:rPr>
          <w:rFonts w:cs="Tahoma"/>
          <w:lang w:eastAsia="en-US"/>
        </w:rPr>
        <w:t>case under-ascertainment between countries</w:t>
      </w:r>
      <w:r>
        <w:rPr>
          <w:rFonts w:cs="Tahoma"/>
          <w:lang w:eastAsia="en-US"/>
        </w:rPr>
        <w:t xml:space="preserve">. </w:t>
      </w:r>
    </w:p>
    <w:p w14:paraId="263A9BC0" w14:textId="2A034A53" w:rsidR="00AC0043" w:rsidRDefault="00AC0043" w:rsidP="00AC0043">
      <w:pPr>
        <w:pStyle w:val="EC-Para"/>
        <w:jc w:val="both"/>
        <w:rPr>
          <w:rFonts w:cs="Tahoma"/>
          <w:lang w:eastAsia="en-US"/>
        </w:rPr>
      </w:pPr>
      <w:r w:rsidRPr="00963B17">
        <w:t xml:space="preserve">Cases of cystic and alveolar echinococcosis are reported to ECDC as </w:t>
      </w:r>
      <w:r>
        <w:t>‘</w:t>
      </w:r>
      <w:r w:rsidRPr="00963B17">
        <w:t>echinococcosis</w:t>
      </w:r>
      <w:r>
        <w:t>’</w:t>
      </w:r>
      <w:r w:rsidRPr="00963B17">
        <w:t xml:space="preserve"> since the EU case definition does not distinguish between the two forms of the disease. ECDC can differentiate between the two forms by analysing the reported species. The notification of echinococcosis in humans is mandatory in </w:t>
      </w:r>
      <w:r w:rsidR="00D151F8">
        <w:t>2</w:t>
      </w:r>
      <w:r w:rsidR="00DC6BF9">
        <w:t>5</w:t>
      </w:r>
      <w:r w:rsidRPr="00963B17">
        <w:t xml:space="preserve"> </w:t>
      </w:r>
      <w:r w:rsidR="00E75405">
        <w:t>EU</w:t>
      </w:r>
      <w:r w:rsidR="008F65EE">
        <w:t>/EE</w:t>
      </w:r>
      <w:r w:rsidR="005056CD">
        <w:t>A</w:t>
      </w:r>
      <w:r w:rsidR="00857A7D">
        <w:t xml:space="preserve"> </w:t>
      </w:r>
      <w:r w:rsidR="008F65EE">
        <w:t>countries</w:t>
      </w:r>
      <w:r w:rsidRPr="00963B17">
        <w:t xml:space="preserve">. </w:t>
      </w:r>
      <w:r w:rsidR="00DF586A">
        <w:t xml:space="preserve">In </w:t>
      </w:r>
      <w:r w:rsidR="00112C47">
        <w:t xml:space="preserve">three </w:t>
      </w:r>
      <w:r w:rsidR="00D47E0F">
        <w:t>countries</w:t>
      </w:r>
      <w:r w:rsidR="007070E2">
        <w:t>,</w:t>
      </w:r>
      <w:r w:rsidRPr="00E96D27">
        <w:t xml:space="preserve"> </w:t>
      </w:r>
      <w:r w:rsidR="00DF586A" w:rsidRPr="00E96D27">
        <w:t xml:space="preserve">the notification is voluntary </w:t>
      </w:r>
      <w:r w:rsidRPr="00E96D27">
        <w:t xml:space="preserve">(Belgium, France, </w:t>
      </w:r>
      <w:r w:rsidR="00112C47">
        <w:t xml:space="preserve">and </w:t>
      </w:r>
      <w:r w:rsidRPr="00E96D27">
        <w:t>the Netherlands)</w:t>
      </w:r>
      <w:r w:rsidR="0022030F" w:rsidRPr="00E96D27">
        <w:t>.</w:t>
      </w:r>
      <w:r w:rsidR="0022030F">
        <w:t xml:space="preserve"> </w:t>
      </w:r>
      <w:r w:rsidR="004B08E0">
        <w:t xml:space="preserve">Italy </w:t>
      </w:r>
      <w:r w:rsidR="00600509">
        <w:t>reports</w:t>
      </w:r>
      <w:r w:rsidR="00AE0A2E">
        <w:t xml:space="preserve"> echinococcosis data from</w:t>
      </w:r>
      <w:r w:rsidR="001A74B8">
        <w:t xml:space="preserve"> </w:t>
      </w:r>
      <w:r w:rsidR="004B08E0">
        <w:t>202</w:t>
      </w:r>
      <w:r w:rsidR="0028358A">
        <w:t>3</w:t>
      </w:r>
      <w:r w:rsidR="00600509">
        <w:t xml:space="preserve"> onwards</w:t>
      </w:r>
      <w:r w:rsidR="00D97533">
        <w:rPr>
          <w:rFonts w:cs="Tahoma"/>
        </w:rPr>
        <w:t>.</w:t>
      </w:r>
      <w:r w:rsidR="0028358A">
        <w:t xml:space="preserve"> </w:t>
      </w:r>
      <w:r w:rsidR="003E7D51">
        <w:t>N</w:t>
      </w:r>
      <w:r w:rsidR="003E7D51" w:rsidRPr="00963B17">
        <w:t>o surveillance system</w:t>
      </w:r>
      <w:r w:rsidR="003E7D51">
        <w:t xml:space="preserve"> exist</w:t>
      </w:r>
      <w:r w:rsidR="00141B0B">
        <w:t>s</w:t>
      </w:r>
      <w:r w:rsidR="003E7D51" w:rsidRPr="00963B17">
        <w:t xml:space="preserve"> for echinococcosis</w:t>
      </w:r>
      <w:r w:rsidR="003E7D51">
        <w:t xml:space="preserve"> in</w:t>
      </w:r>
      <w:r w:rsidR="003E7D51" w:rsidRPr="00963B17">
        <w:t xml:space="preserve"> </w:t>
      </w:r>
      <w:r w:rsidRPr="00963B17">
        <w:t>Denmark</w:t>
      </w:r>
      <w:r w:rsidR="003D3AF8">
        <w:t>, and Liechtenstein</w:t>
      </w:r>
      <w:r w:rsidRPr="00963B17">
        <w:t>.</w:t>
      </w:r>
      <w:r>
        <w:t xml:space="preserve"> </w:t>
      </w:r>
      <w:r w:rsidR="00F73C7D">
        <w:t>The surveillance systems for echinococcosis</w:t>
      </w:r>
      <w:r w:rsidR="00F73C7D" w:rsidRPr="007D395C">
        <w:t xml:space="preserve"> have full national coverage in all </w:t>
      </w:r>
      <w:r w:rsidR="00310412">
        <w:t>reporting</w:t>
      </w:r>
      <w:r w:rsidR="00F27742">
        <w:t xml:space="preserve"> </w:t>
      </w:r>
      <w:r w:rsidR="00D151F8">
        <w:t>countries</w:t>
      </w:r>
      <w:r w:rsidR="00901015">
        <w:t>.</w:t>
      </w:r>
      <w:r w:rsidR="00F73C7D">
        <w:t xml:space="preserve"> </w:t>
      </w:r>
      <w:bookmarkStart w:id="36" w:name="_Hlk113022855"/>
      <w:r w:rsidR="00B810E3">
        <w:rPr>
          <w:rFonts w:cs="Tahoma"/>
        </w:rPr>
        <w:t xml:space="preserve">In Belgium, </w:t>
      </w:r>
      <w:r w:rsidR="00F7308B">
        <w:rPr>
          <w:rFonts w:cs="Tahoma"/>
        </w:rPr>
        <w:t>a change in the surveillance was</w:t>
      </w:r>
      <w:r w:rsidR="00124851">
        <w:rPr>
          <w:rFonts w:cs="Tahoma"/>
        </w:rPr>
        <w:t xml:space="preserve"> </w:t>
      </w:r>
      <w:r w:rsidR="00F7308B">
        <w:rPr>
          <w:rFonts w:cs="Tahoma"/>
        </w:rPr>
        <w:t xml:space="preserve">made </w:t>
      </w:r>
      <w:r w:rsidR="00B810E3">
        <w:rPr>
          <w:rFonts w:cs="Tahoma"/>
        </w:rPr>
        <w:t>in 2015 and rates before this date are not displayed.</w:t>
      </w:r>
      <w:bookmarkEnd w:id="36"/>
      <w:r w:rsidR="00B810E3">
        <w:rPr>
          <w:rFonts w:cs="Tahoma"/>
        </w:rPr>
        <w:t xml:space="preserve"> </w:t>
      </w:r>
      <w:r w:rsidR="004C7FF1" w:rsidRPr="004C7FF1">
        <w:rPr>
          <w:rFonts w:cs="Tahoma"/>
        </w:rPr>
        <w:t>For 20</w:t>
      </w:r>
      <w:r w:rsidR="007421E3">
        <w:rPr>
          <w:rFonts w:cs="Tahoma"/>
        </w:rPr>
        <w:t>20</w:t>
      </w:r>
      <w:r w:rsidR="008D6A90">
        <w:rPr>
          <w:rFonts w:cs="Tahoma"/>
        </w:rPr>
        <w:t xml:space="preserve"> and </w:t>
      </w:r>
      <w:r w:rsidR="00310412">
        <w:rPr>
          <w:rFonts w:cs="Tahoma"/>
        </w:rPr>
        <w:t>2021</w:t>
      </w:r>
      <w:r w:rsidR="004C7FF1" w:rsidRPr="004C7FF1">
        <w:rPr>
          <w:rFonts w:cs="Tahoma"/>
        </w:rPr>
        <w:t>, Spain has not received data from all regions and rates are therefore not displayed for th</w:t>
      </w:r>
      <w:r w:rsidR="008D6A90">
        <w:rPr>
          <w:rFonts w:cs="Tahoma"/>
        </w:rPr>
        <w:t>ese</w:t>
      </w:r>
      <w:r w:rsidR="004C7FF1" w:rsidRPr="004C7FF1">
        <w:rPr>
          <w:rFonts w:cs="Tahoma"/>
        </w:rPr>
        <w:t xml:space="preserve"> year</w:t>
      </w:r>
      <w:r w:rsidR="008D6A90">
        <w:rPr>
          <w:rFonts w:cs="Tahoma"/>
        </w:rPr>
        <w:t>s</w:t>
      </w:r>
      <w:r w:rsidR="004C7FF1" w:rsidRPr="004C7FF1">
        <w:rPr>
          <w:rFonts w:cs="Tahoma"/>
        </w:rPr>
        <w:t xml:space="preserve">. </w:t>
      </w:r>
      <w:r w:rsidR="00310412">
        <w:t>All</w:t>
      </w:r>
      <w:r w:rsidRPr="00194CB8">
        <w:t xml:space="preserve"> reporting countries </w:t>
      </w:r>
      <w:r>
        <w:rPr>
          <w:lang w:eastAsia="en-US"/>
        </w:rPr>
        <w:t>provide</w:t>
      </w:r>
      <w:r w:rsidRPr="00194CB8">
        <w:rPr>
          <w:lang w:eastAsia="en-US"/>
        </w:rPr>
        <w:t xml:space="preserve"> case-based data except Bulgaria</w:t>
      </w:r>
      <w:r w:rsidR="0041593C">
        <w:rPr>
          <w:lang w:eastAsia="en-US"/>
        </w:rPr>
        <w:t xml:space="preserve"> </w:t>
      </w:r>
      <w:r>
        <w:rPr>
          <w:lang w:eastAsia="en-US"/>
        </w:rPr>
        <w:t>and the Netherlands</w:t>
      </w:r>
      <w:r w:rsidR="00D34799">
        <w:rPr>
          <w:lang w:eastAsia="en-US"/>
        </w:rPr>
        <w:t>,</w:t>
      </w:r>
      <w:r w:rsidRPr="00194CB8">
        <w:rPr>
          <w:lang w:eastAsia="en-US"/>
        </w:rPr>
        <w:t xml:space="preserve"> </w:t>
      </w:r>
      <w:r w:rsidRPr="00194CB8">
        <w:t xml:space="preserve">which report aggregate data. </w:t>
      </w:r>
      <w:r w:rsidR="002D7C7B">
        <w:t>Aggregated</w:t>
      </w:r>
      <w:r w:rsidR="002D7C7B" w:rsidRPr="004C1587">
        <w:t xml:space="preserve"> reporting format</w:t>
      </w:r>
      <w:r w:rsidR="00C96C10">
        <w:t xml:space="preserve"> was</w:t>
      </w:r>
      <w:r w:rsidR="002D7C7B" w:rsidRPr="004C1587">
        <w:t xml:space="preserve"> included to calculate numbers of cases</w:t>
      </w:r>
      <w:r w:rsidR="002D7C7B">
        <w:t xml:space="preserve"> and </w:t>
      </w:r>
      <w:r w:rsidR="002D7C7B" w:rsidRPr="004C1587">
        <w:t xml:space="preserve">notification rates, </w:t>
      </w:r>
      <w:r w:rsidR="002D7C7B">
        <w:t xml:space="preserve">as well as </w:t>
      </w:r>
      <w:r w:rsidR="002D7C7B" w:rsidRPr="004C1587">
        <w:t xml:space="preserve">disease trends, </w:t>
      </w:r>
      <w:r w:rsidR="002D7C7B">
        <w:t>a</w:t>
      </w:r>
      <w:r w:rsidR="002D7C7B" w:rsidRPr="004C1587">
        <w:t>ge and gender distributions</w:t>
      </w:r>
      <w:r w:rsidR="002D7C7B">
        <w:t xml:space="preserve"> when this data was available</w:t>
      </w:r>
      <w:r w:rsidR="002D7C7B" w:rsidRPr="004C1587">
        <w:t>.</w:t>
      </w:r>
    </w:p>
    <w:p w14:paraId="3175CD06" w14:textId="77777777" w:rsidR="00AC0043" w:rsidRDefault="00AC0043" w:rsidP="00AC0043">
      <w:pPr>
        <w:pStyle w:val="EC-Para"/>
        <w:jc w:val="both"/>
        <w:rPr>
          <w:rFonts w:cs="Tahoma"/>
          <w:lang w:eastAsia="en-US"/>
        </w:rPr>
      </w:pPr>
      <w:r w:rsidRPr="00EA31E5">
        <w:rPr>
          <w:rFonts w:cs="Tahoma"/>
          <w:lang w:eastAsia="en-US"/>
        </w:rPr>
        <w:t>The completenes</w:t>
      </w:r>
      <w:r>
        <w:rPr>
          <w:rFonts w:cs="Tahoma"/>
          <w:lang w:eastAsia="en-US"/>
        </w:rPr>
        <w:t>s of some variables such as</w:t>
      </w:r>
      <w:r w:rsidRPr="00EA31E5">
        <w:rPr>
          <w:rFonts w:cs="Tahoma"/>
          <w:lang w:eastAsia="en-US"/>
        </w:rPr>
        <w:t xml:space="preserve"> hospitalisation, outcome or </w:t>
      </w:r>
      <w:r>
        <w:rPr>
          <w:rFonts w:cs="Tahoma"/>
          <w:lang w:eastAsia="en-US"/>
        </w:rPr>
        <w:t>travel history</w:t>
      </w:r>
      <w:r w:rsidRPr="00EA31E5">
        <w:rPr>
          <w:rFonts w:cs="Tahoma"/>
          <w:lang w:eastAsia="en-US"/>
        </w:rPr>
        <w:t xml:space="preserve"> var</w:t>
      </w:r>
      <w:r>
        <w:rPr>
          <w:rFonts w:cs="Tahoma"/>
          <w:lang w:eastAsia="en-US"/>
        </w:rPr>
        <w:t>ies</w:t>
      </w:r>
      <w:r w:rsidRPr="00EA31E5">
        <w:rPr>
          <w:rFonts w:cs="Tahoma"/>
          <w:lang w:eastAsia="en-US"/>
        </w:rPr>
        <w:t xml:space="preserve"> between countries and years; some countries </w:t>
      </w:r>
      <w:proofErr w:type="gramStart"/>
      <w:r w:rsidRPr="00EA31E5">
        <w:rPr>
          <w:rFonts w:cs="Tahoma"/>
          <w:lang w:eastAsia="en-US"/>
        </w:rPr>
        <w:t>are able to</w:t>
      </w:r>
      <w:proofErr w:type="gramEnd"/>
      <w:r w:rsidRPr="00EA31E5">
        <w:rPr>
          <w:rFonts w:cs="Tahoma"/>
          <w:lang w:eastAsia="en-US"/>
        </w:rPr>
        <w:t xml:space="preserve"> collect and integrate this type of information from different sources, other countries are not. </w:t>
      </w:r>
      <w:r w:rsidRPr="00C845AB">
        <w:rPr>
          <w:rFonts w:cs="Tahoma"/>
          <w:lang w:eastAsia="en-US"/>
        </w:rPr>
        <w:t>Even if overall data completeness is high for some variables, the reader should refrain from direct</w:t>
      </w:r>
      <w:r>
        <w:rPr>
          <w:rFonts w:cs="Tahoma"/>
          <w:lang w:eastAsia="en-US"/>
        </w:rPr>
        <w:t>ly</w:t>
      </w:r>
      <w:r w:rsidRPr="00C845AB">
        <w:rPr>
          <w:rFonts w:cs="Tahoma"/>
          <w:lang w:eastAsia="en-US"/>
        </w:rPr>
        <w:t xml:space="preserve"> compari</w:t>
      </w:r>
      <w:r>
        <w:rPr>
          <w:rFonts w:cs="Tahoma"/>
          <w:lang w:eastAsia="en-US"/>
        </w:rPr>
        <w:t>ng</w:t>
      </w:r>
      <w:r w:rsidRPr="00C845AB">
        <w:rPr>
          <w:rFonts w:cs="Tahoma"/>
          <w:lang w:eastAsia="en-US"/>
        </w:rPr>
        <w:t xml:space="preserve"> countries witho</w:t>
      </w:r>
      <w:r>
        <w:rPr>
          <w:rFonts w:cs="Tahoma"/>
          <w:lang w:eastAsia="en-US"/>
        </w:rPr>
        <w:t xml:space="preserve">ut </w:t>
      </w:r>
      <w:proofErr w:type="gramStart"/>
      <w:r>
        <w:rPr>
          <w:rFonts w:cs="Tahoma"/>
          <w:lang w:eastAsia="en-US"/>
        </w:rPr>
        <w:t>taking into account</w:t>
      </w:r>
      <w:proofErr w:type="gramEnd"/>
      <w:r>
        <w:rPr>
          <w:rFonts w:cs="Tahoma"/>
          <w:lang w:eastAsia="en-US"/>
        </w:rPr>
        <w:t xml:space="preserve"> </w:t>
      </w:r>
      <w:r w:rsidRPr="00C845AB">
        <w:rPr>
          <w:rFonts w:cs="Tahoma"/>
          <w:lang w:eastAsia="en-US"/>
        </w:rPr>
        <w:t>limitations.</w:t>
      </w:r>
      <w:r w:rsidRPr="00EA31E5">
        <w:rPr>
          <w:rFonts w:cs="Tahoma"/>
          <w:lang w:eastAsia="en-US"/>
        </w:rPr>
        <w:t xml:space="preserve">  </w:t>
      </w:r>
    </w:p>
    <w:p w14:paraId="0DA5B927" w14:textId="77777777" w:rsidR="00F75673" w:rsidRPr="00EA31E5" w:rsidRDefault="00F75673" w:rsidP="00AC0043">
      <w:pPr>
        <w:pStyle w:val="EC-Para"/>
        <w:jc w:val="both"/>
        <w:rPr>
          <w:rFonts w:cs="Tahoma"/>
          <w:lang w:eastAsia="en-US"/>
        </w:rPr>
      </w:pPr>
    </w:p>
    <w:p w14:paraId="0F472278" w14:textId="77777777" w:rsidR="00AC0043" w:rsidRDefault="00AC0043" w:rsidP="00AC0043">
      <w:pPr>
        <w:pStyle w:val="EC-Title-6"/>
        <w:outlineLvl w:val="1"/>
        <w:rPr>
          <w:rFonts w:cs="Tahoma"/>
          <w:color w:val="FF0000"/>
          <w:sz w:val="20"/>
          <w:szCs w:val="20"/>
        </w:rPr>
      </w:pPr>
      <w:bookmarkStart w:id="37" w:name="_Toc437442016"/>
      <w:r>
        <w:t>Reports published by ECDC on echinococcosis</w:t>
      </w:r>
      <w:bookmarkEnd w:id="37"/>
      <w:r>
        <w:t xml:space="preserve"> </w:t>
      </w:r>
    </w:p>
    <w:p w14:paraId="37020D6B" w14:textId="77777777" w:rsidR="00AC0043" w:rsidRDefault="00AC0043" w:rsidP="00AC0043">
      <w:pPr>
        <w:pStyle w:val="EC-Para"/>
        <w:jc w:val="both"/>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2C607EDC" w14:textId="77777777" w:rsidR="009D4D86" w:rsidRDefault="009D4D86" w:rsidP="00A1421E">
      <w:pPr>
        <w:pStyle w:val="EC-Para"/>
        <w:spacing w:after="0"/>
        <w:jc w:val="both"/>
        <w:rPr>
          <w:b/>
        </w:rPr>
      </w:pPr>
    </w:p>
    <w:p w14:paraId="6D74571E" w14:textId="4A1FB6A3" w:rsidR="00A93D07" w:rsidRPr="009D4D86" w:rsidRDefault="00A93D07" w:rsidP="00A93D07">
      <w:pPr>
        <w:pStyle w:val="EC-Para"/>
        <w:spacing w:after="0"/>
        <w:rPr>
          <w:rFonts w:eastAsiaTheme="minorHAnsi" w:cs="Tahoma"/>
          <w:b/>
          <w:lang w:eastAsia="en-US"/>
        </w:rPr>
      </w:pPr>
      <w:r w:rsidRPr="009D4D86">
        <w:rPr>
          <w:rFonts w:eastAsiaTheme="minorHAnsi" w:cs="Tahoma"/>
          <w:b/>
          <w:lang w:eastAsia="en-US"/>
        </w:rPr>
        <w:t>Annual epidemiological report for 202</w:t>
      </w:r>
      <w:r w:rsidR="00A57C8D">
        <w:rPr>
          <w:rFonts w:eastAsiaTheme="minorHAnsi" w:cs="Tahoma"/>
          <w:b/>
          <w:lang w:eastAsia="en-US"/>
        </w:rPr>
        <w:t>2</w:t>
      </w:r>
      <w:r w:rsidRPr="009D4D86">
        <w:rPr>
          <w:rFonts w:eastAsiaTheme="minorHAnsi" w:cs="Tahoma"/>
          <w:b/>
          <w:lang w:eastAsia="en-US"/>
        </w:rPr>
        <w:t xml:space="preserve"> – Echinococcosis:</w:t>
      </w:r>
    </w:p>
    <w:p w14:paraId="72F13B3F" w14:textId="61C68E04" w:rsidR="00A93D07" w:rsidRDefault="00000000" w:rsidP="00A93D07">
      <w:pPr>
        <w:pStyle w:val="EC-Para"/>
        <w:spacing w:after="0"/>
        <w:jc w:val="both"/>
      </w:pPr>
      <w:hyperlink r:id="rId35" w:history="1">
        <w:r w:rsidR="003F5E13" w:rsidRPr="003F5E13">
          <w:rPr>
            <w:rStyle w:val="Hyperlink"/>
            <w:sz w:val="18"/>
          </w:rPr>
          <w:t>Echinococcosis - Annual Epidemiological Report for 2022 (europa.eu)</w:t>
        </w:r>
      </w:hyperlink>
    </w:p>
    <w:p w14:paraId="23136E31" w14:textId="77777777" w:rsidR="00A93D07" w:rsidRDefault="00A93D07" w:rsidP="00A93D07">
      <w:pPr>
        <w:pStyle w:val="EC-Para"/>
        <w:spacing w:after="0"/>
        <w:jc w:val="both"/>
      </w:pPr>
    </w:p>
    <w:p w14:paraId="4A8B6C37" w14:textId="75F0B768" w:rsidR="00A1421E" w:rsidRDefault="00A1421E" w:rsidP="00A93D07">
      <w:pPr>
        <w:pStyle w:val="EC-Para"/>
        <w:spacing w:after="0"/>
        <w:jc w:val="both"/>
        <w:rPr>
          <w:b/>
        </w:rPr>
      </w:pPr>
      <w:r w:rsidRPr="009D4D86">
        <w:rPr>
          <w:b/>
        </w:rPr>
        <w:t>EFSA and ECDC (European Food Safety Authority and European Centre for Disease Prevention and Control), 202</w:t>
      </w:r>
      <w:r w:rsidR="00A57C8D">
        <w:rPr>
          <w:b/>
        </w:rPr>
        <w:t>3</w:t>
      </w:r>
      <w:r w:rsidRPr="009D4D86">
        <w:rPr>
          <w:b/>
        </w:rPr>
        <w:t>. The European Union One Health 202</w:t>
      </w:r>
      <w:r w:rsidR="00A57C8D">
        <w:rPr>
          <w:b/>
        </w:rPr>
        <w:t>2</w:t>
      </w:r>
      <w:r w:rsidRPr="009D4D86">
        <w:rPr>
          <w:b/>
        </w:rPr>
        <w:t xml:space="preserve"> Zoonoses Report</w:t>
      </w:r>
      <w:r w:rsidR="00A93D07">
        <w:rPr>
          <w:b/>
        </w:rPr>
        <w:t xml:space="preserve"> (December 2023)</w:t>
      </w:r>
      <w:r w:rsidRPr="009D4D86">
        <w:rPr>
          <w:b/>
        </w:rPr>
        <w:t>:</w:t>
      </w:r>
    </w:p>
    <w:p w14:paraId="70D225F8" w14:textId="6B71A525" w:rsidR="00C77E15" w:rsidRDefault="00000000" w:rsidP="00A93D07">
      <w:pPr>
        <w:pStyle w:val="EC-Para"/>
        <w:spacing w:after="0"/>
        <w:jc w:val="both"/>
        <w:rPr>
          <w:bCs/>
        </w:rPr>
      </w:pPr>
      <w:hyperlink r:id="rId36" w:history="1">
        <w:r w:rsidR="00C77E15" w:rsidRPr="008D42C9">
          <w:rPr>
            <w:rStyle w:val="Hyperlink"/>
            <w:bCs/>
            <w:sz w:val="18"/>
          </w:rPr>
          <w:t>https://efsa.onlinelibrary.wiley.com/doi/epdf/10.2903/j.efsa.2023.8442</w:t>
        </w:r>
      </w:hyperlink>
    </w:p>
    <w:p w14:paraId="2256290D" w14:textId="77777777" w:rsidR="00C77E15" w:rsidRPr="00C77E15" w:rsidRDefault="00C77E15" w:rsidP="00A93D07">
      <w:pPr>
        <w:pStyle w:val="EC-Para"/>
        <w:spacing w:after="0"/>
        <w:jc w:val="both"/>
        <w:rPr>
          <w:bCs/>
        </w:rPr>
      </w:pPr>
    </w:p>
    <w:p w14:paraId="6AD92934" w14:textId="3AC40980" w:rsidR="00A1421E" w:rsidRPr="009D4D86" w:rsidRDefault="00A1421E" w:rsidP="00E02496">
      <w:pPr>
        <w:pStyle w:val="EC-Para"/>
        <w:spacing w:line="240" w:lineRule="auto"/>
        <w:jc w:val="both"/>
        <w:rPr>
          <w:b/>
        </w:rPr>
      </w:pPr>
    </w:p>
    <w:p w14:paraId="2F5491AC" w14:textId="7A0358D8" w:rsidR="009D4D86" w:rsidRPr="00AF6A7D" w:rsidRDefault="009D4D86">
      <w:pPr>
        <w:rPr>
          <w:rStyle w:val="Hyperlink"/>
          <w:sz w:val="18"/>
          <w:szCs w:val="18"/>
        </w:rPr>
      </w:pPr>
      <w:r w:rsidRPr="00AF6A7D">
        <w:rPr>
          <w:rStyle w:val="Hyperlink"/>
          <w:sz w:val="18"/>
          <w:szCs w:val="18"/>
        </w:rPr>
        <w:br w:type="page"/>
      </w:r>
    </w:p>
    <w:p w14:paraId="04391CBA" w14:textId="5B471FB4" w:rsidR="00AC0043" w:rsidRDefault="00AC0043" w:rsidP="009F5B73">
      <w:pPr>
        <w:pStyle w:val="EC-Title-6"/>
        <w:outlineLvl w:val="1"/>
      </w:pPr>
      <w:r>
        <w:lastRenderedPageBreak/>
        <w:t>Annex 1</w:t>
      </w:r>
      <w:r>
        <w:t xml:space="preserve">. Surveillance systems overview, </w:t>
      </w:r>
      <w:r w:rsidR="00A32FE1">
        <w:t>202</w:t>
      </w:r>
      <w:r w:rsidR="00A57C8D">
        <w:t>3</w:t>
      </w:r>
    </w:p>
    <w:tbl>
      <w:tblPr>
        <w:tblW w:w="9822" w:type="dxa"/>
        <w:tblInd w:w="-5" w:type="dxa"/>
        <w:tblLook w:val="04A0" w:firstRow="1" w:lastRow="0" w:firstColumn="1" w:lastColumn="0" w:noHBand="0" w:noVBand="1"/>
      </w:tblPr>
      <w:tblGrid>
        <w:gridCol w:w="1072"/>
        <w:gridCol w:w="2550"/>
        <w:gridCol w:w="570"/>
        <w:gridCol w:w="570"/>
        <w:gridCol w:w="570"/>
        <w:gridCol w:w="570"/>
        <w:gridCol w:w="570"/>
        <w:gridCol w:w="570"/>
        <w:gridCol w:w="570"/>
        <w:gridCol w:w="570"/>
        <w:gridCol w:w="1640"/>
      </w:tblGrid>
      <w:tr w:rsidR="00D70C92" w:rsidRPr="00995DD3" w14:paraId="1EC79124" w14:textId="77777777" w:rsidTr="00891C4E">
        <w:trPr>
          <w:trHeight w:val="294"/>
        </w:trPr>
        <w:tc>
          <w:tcPr>
            <w:tcW w:w="1072"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3C28EF0D" w14:textId="77777777" w:rsidR="00310412" w:rsidRPr="00995DD3" w:rsidRDefault="00310412" w:rsidP="00310412">
            <w:pPr>
              <w:rPr>
                <w:rFonts w:eastAsia="Times New Roman" w:cs="Tahoma"/>
                <w:b/>
                <w:bCs/>
                <w:color w:val="FFFFFF"/>
                <w:sz w:val="14"/>
                <w:szCs w:val="14"/>
                <w:lang w:eastAsia="en-GB"/>
              </w:rPr>
            </w:pPr>
            <w:r w:rsidRPr="00995DD3">
              <w:rPr>
                <w:rFonts w:eastAsia="Times New Roman" w:cs="Tahoma"/>
                <w:b/>
                <w:bCs/>
                <w:color w:val="FFFFFF"/>
                <w:sz w:val="14"/>
                <w:szCs w:val="14"/>
                <w:lang w:eastAsia="en-GB"/>
              </w:rPr>
              <w:t>Country</w:t>
            </w: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096795E6" w14:textId="77777777" w:rsidR="00310412" w:rsidRPr="00995DD3" w:rsidRDefault="00310412" w:rsidP="00310412">
            <w:pPr>
              <w:rPr>
                <w:rFonts w:eastAsia="Times New Roman" w:cs="Tahoma"/>
                <w:b/>
                <w:bCs/>
                <w:color w:val="FFFFFF"/>
                <w:sz w:val="14"/>
                <w:szCs w:val="14"/>
                <w:lang w:eastAsia="en-GB"/>
              </w:rPr>
            </w:pPr>
            <w:r w:rsidRPr="00995DD3">
              <w:rPr>
                <w:rFonts w:eastAsia="Times New Roman" w:cs="Tahoma"/>
                <w:b/>
                <w:bCs/>
                <w:color w:val="FFFFFF"/>
                <w:sz w:val="14"/>
                <w:szCs w:val="14"/>
                <w:lang w:eastAsia="en-GB"/>
              </w:rPr>
              <w:t>Data source</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5EE59AA" w14:textId="77777777" w:rsidR="00310412" w:rsidRPr="00995DD3" w:rsidRDefault="00310412" w:rsidP="00310412">
            <w:pPr>
              <w:jc w:val="center"/>
              <w:rPr>
                <w:rFonts w:eastAsia="Times New Roman" w:cs="Tahoma"/>
                <w:b/>
                <w:bCs/>
                <w:color w:val="FFFFFF"/>
                <w:sz w:val="14"/>
                <w:szCs w:val="14"/>
                <w:lang w:eastAsia="en-GB"/>
              </w:rPr>
            </w:pPr>
            <w:r w:rsidRPr="00995DD3">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03F2C90B" w14:textId="77777777" w:rsidR="00310412" w:rsidRPr="00995DD3" w:rsidRDefault="00310412" w:rsidP="00310412">
            <w:pPr>
              <w:jc w:val="center"/>
              <w:rPr>
                <w:rFonts w:eastAsia="Times New Roman" w:cs="Tahoma"/>
                <w:b/>
                <w:bCs/>
                <w:color w:val="FFFFFF"/>
                <w:sz w:val="14"/>
                <w:szCs w:val="14"/>
                <w:lang w:eastAsia="en-GB"/>
              </w:rPr>
            </w:pPr>
            <w:r w:rsidRPr="00995DD3">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4176F42" w14:textId="77777777" w:rsidR="00310412" w:rsidRPr="00995DD3" w:rsidRDefault="00310412" w:rsidP="00310412">
            <w:pPr>
              <w:jc w:val="center"/>
              <w:rPr>
                <w:rFonts w:eastAsia="Times New Roman" w:cs="Tahoma"/>
                <w:b/>
                <w:bCs/>
                <w:color w:val="FFFFFF"/>
                <w:sz w:val="14"/>
                <w:szCs w:val="14"/>
                <w:lang w:eastAsia="en-GB"/>
              </w:rPr>
            </w:pPr>
            <w:r w:rsidRPr="00995DD3">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213FCA8" w14:textId="77777777" w:rsidR="00310412" w:rsidRPr="00995DD3" w:rsidRDefault="00310412" w:rsidP="00310412">
            <w:pPr>
              <w:jc w:val="center"/>
              <w:rPr>
                <w:rFonts w:eastAsia="Times New Roman" w:cs="Tahoma"/>
                <w:b/>
                <w:bCs/>
                <w:color w:val="FFFFFF"/>
                <w:sz w:val="14"/>
                <w:szCs w:val="14"/>
                <w:lang w:eastAsia="en-GB"/>
              </w:rPr>
            </w:pPr>
            <w:r w:rsidRPr="00995DD3">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33D0B663" w14:textId="77777777" w:rsidR="00310412" w:rsidRPr="00995DD3" w:rsidRDefault="00310412" w:rsidP="00310412">
            <w:pPr>
              <w:jc w:val="center"/>
              <w:rPr>
                <w:rFonts w:eastAsia="Times New Roman" w:cs="Tahoma"/>
                <w:b/>
                <w:bCs/>
                <w:color w:val="FFFFFF"/>
                <w:sz w:val="14"/>
                <w:szCs w:val="14"/>
                <w:lang w:eastAsia="en-GB"/>
              </w:rPr>
            </w:pPr>
            <w:r w:rsidRPr="00995DD3">
              <w:rPr>
                <w:rFonts w:eastAsia="Times New Roman" w:cs="Tahoma"/>
                <w:b/>
                <w:bCs/>
                <w:color w:val="FFFFFF"/>
                <w:sz w:val="14"/>
                <w:szCs w:val="14"/>
                <w:lang w:eastAsia="en-GB"/>
              </w:rPr>
              <w:t>Data reported by</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68F1C962" w14:textId="77777777" w:rsidR="00310412" w:rsidRPr="00995DD3" w:rsidRDefault="00310412" w:rsidP="00310412">
            <w:pPr>
              <w:rPr>
                <w:rFonts w:eastAsia="Times New Roman" w:cs="Tahoma"/>
                <w:b/>
                <w:bCs/>
                <w:color w:val="FFFFFF"/>
                <w:sz w:val="14"/>
                <w:szCs w:val="14"/>
                <w:lang w:eastAsia="en-GB"/>
              </w:rPr>
            </w:pPr>
            <w:r w:rsidRPr="00995DD3">
              <w:rPr>
                <w:rFonts w:eastAsia="Times New Roman" w:cs="Tahoma"/>
                <w:b/>
                <w:bCs/>
                <w:color w:val="FFFFFF"/>
                <w:sz w:val="14"/>
                <w:szCs w:val="14"/>
                <w:lang w:eastAsia="en-GB"/>
              </w:rPr>
              <w:t>Case definition used</w:t>
            </w:r>
          </w:p>
        </w:tc>
      </w:tr>
      <w:tr w:rsidR="00D70C92" w:rsidRPr="00995DD3" w14:paraId="0B1836AC" w14:textId="77777777" w:rsidTr="00891C4E">
        <w:trPr>
          <w:trHeight w:val="2798"/>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6917D211" w14:textId="77777777" w:rsidR="00310412" w:rsidRPr="00995DD3" w:rsidRDefault="00310412" w:rsidP="00310412">
            <w:pPr>
              <w:rPr>
                <w:rFonts w:eastAsia="Times New Roman" w:cs="Tahoma"/>
                <w:b/>
                <w:bCs/>
                <w:color w:val="FFFFFF"/>
                <w:sz w:val="14"/>
                <w:szCs w:val="14"/>
                <w:lang w:eastAsia="en-GB"/>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51E2B4A9" w14:textId="77777777" w:rsidR="00310412" w:rsidRPr="00995DD3" w:rsidRDefault="00310412" w:rsidP="00310412">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139931C" w14:textId="77777777" w:rsidR="00310412" w:rsidRPr="00995DD3" w:rsidRDefault="00310412" w:rsidP="00310412">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18CD593D" w14:textId="77777777" w:rsidR="00310412" w:rsidRPr="00995DD3" w:rsidRDefault="00310412" w:rsidP="00310412">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18E53841" w14:textId="77777777" w:rsidR="00310412" w:rsidRPr="00995DD3" w:rsidRDefault="00310412" w:rsidP="00310412">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2CABD258" w14:textId="77777777" w:rsidR="00310412" w:rsidRPr="00995DD3" w:rsidRDefault="00310412" w:rsidP="00310412">
            <w:pPr>
              <w:rPr>
                <w:rFonts w:eastAsia="Times New Roman" w:cs="Tahoma"/>
                <w:b/>
                <w:bCs/>
                <w:color w:val="FFFFFF"/>
                <w:sz w:val="14"/>
                <w:szCs w:val="14"/>
                <w:lang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56B1490E" w14:textId="77777777" w:rsidR="00310412" w:rsidRPr="00995DD3" w:rsidRDefault="00310412" w:rsidP="00310412">
            <w:pPr>
              <w:jc w:val="center"/>
              <w:rPr>
                <w:rFonts w:eastAsia="Times New Roman" w:cs="Tahoma"/>
                <w:b/>
                <w:bCs/>
                <w:color w:val="FFFFFF"/>
                <w:sz w:val="14"/>
                <w:szCs w:val="14"/>
                <w:lang w:eastAsia="en-GB"/>
              </w:rPr>
            </w:pPr>
            <w:r w:rsidRPr="00995DD3">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6A4C806D" w14:textId="77777777" w:rsidR="00310412" w:rsidRPr="00995DD3" w:rsidRDefault="00310412" w:rsidP="00310412">
            <w:pPr>
              <w:jc w:val="center"/>
              <w:rPr>
                <w:rFonts w:eastAsia="Times New Roman" w:cs="Tahoma"/>
                <w:b/>
                <w:bCs/>
                <w:color w:val="FFFFFF"/>
                <w:sz w:val="14"/>
                <w:szCs w:val="14"/>
                <w:lang w:eastAsia="en-GB"/>
              </w:rPr>
            </w:pPr>
            <w:r w:rsidRPr="00995DD3">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13E7D222" w14:textId="77777777" w:rsidR="00310412" w:rsidRPr="00995DD3" w:rsidRDefault="00310412" w:rsidP="00310412">
            <w:pPr>
              <w:jc w:val="center"/>
              <w:rPr>
                <w:rFonts w:eastAsia="Times New Roman" w:cs="Tahoma"/>
                <w:b/>
                <w:bCs/>
                <w:color w:val="FFFFFF"/>
                <w:sz w:val="14"/>
                <w:szCs w:val="14"/>
                <w:lang w:eastAsia="en-GB"/>
              </w:rPr>
            </w:pPr>
            <w:r w:rsidRPr="00995DD3">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3F75117B" w14:textId="77777777" w:rsidR="00310412" w:rsidRPr="00995DD3" w:rsidRDefault="00310412" w:rsidP="00310412">
            <w:pPr>
              <w:jc w:val="center"/>
              <w:rPr>
                <w:rFonts w:eastAsia="Times New Roman" w:cs="Tahoma"/>
                <w:b/>
                <w:bCs/>
                <w:color w:val="FFFFFF"/>
                <w:sz w:val="14"/>
                <w:szCs w:val="14"/>
                <w:lang w:eastAsia="en-GB"/>
              </w:rPr>
            </w:pPr>
            <w:r w:rsidRPr="00995DD3">
              <w:rPr>
                <w:rFonts w:eastAsia="Times New Roman" w:cs="Tahoma"/>
                <w:b/>
                <w:bCs/>
                <w:color w:val="FFFFFF"/>
                <w:sz w:val="14"/>
                <w:szCs w:val="14"/>
                <w:lang w:eastAsia="en-GB"/>
              </w:rPr>
              <w:t>Others</w:t>
            </w: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092C7F31" w14:textId="77777777" w:rsidR="00310412" w:rsidRPr="00995DD3" w:rsidRDefault="00310412" w:rsidP="00310412">
            <w:pPr>
              <w:rPr>
                <w:rFonts w:eastAsia="Times New Roman" w:cs="Tahoma"/>
                <w:b/>
                <w:bCs/>
                <w:color w:val="FFFFFF"/>
                <w:sz w:val="14"/>
                <w:szCs w:val="14"/>
                <w:lang w:eastAsia="en-GB"/>
              </w:rPr>
            </w:pPr>
          </w:p>
        </w:tc>
      </w:tr>
      <w:tr w:rsidR="000C12BF" w:rsidRPr="00995DD3" w14:paraId="625D3429" w14:textId="77777777" w:rsidTr="00891C4E">
        <w:trPr>
          <w:trHeight w:val="235"/>
        </w:trPr>
        <w:tc>
          <w:tcPr>
            <w:tcW w:w="1072" w:type="dxa"/>
            <w:tcBorders>
              <w:top w:val="single" w:sz="4" w:space="0" w:color="000000"/>
              <w:left w:val="single" w:sz="4" w:space="0" w:color="000000"/>
              <w:bottom w:val="nil"/>
              <w:right w:val="single" w:sz="4" w:space="0" w:color="auto"/>
            </w:tcBorders>
            <w:shd w:val="clear" w:color="000000" w:fill="D9D9D9"/>
            <w:noWrap/>
            <w:vAlign w:val="bottom"/>
            <w:hideMark/>
          </w:tcPr>
          <w:p w14:paraId="3AF61CF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Austria</w:t>
            </w:r>
          </w:p>
        </w:tc>
        <w:tc>
          <w:tcPr>
            <w:tcW w:w="2550" w:type="dxa"/>
            <w:tcBorders>
              <w:top w:val="single" w:sz="4" w:space="0" w:color="000000"/>
              <w:left w:val="nil"/>
              <w:bottom w:val="nil"/>
              <w:right w:val="single" w:sz="4" w:space="0" w:color="auto"/>
            </w:tcBorders>
            <w:shd w:val="clear" w:color="000000" w:fill="D9D9D9"/>
            <w:noWrap/>
            <w:vAlign w:val="bottom"/>
            <w:hideMark/>
          </w:tcPr>
          <w:p w14:paraId="0EC2A16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AT-</w:t>
            </w:r>
            <w:proofErr w:type="spellStart"/>
            <w:r w:rsidRPr="00995DD3">
              <w:rPr>
                <w:rFonts w:eastAsia="Times New Roman" w:cs="Tahoma"/>
                <w:sz w:val="14"/>
                <w:szCs w:val="14"/>
                <w:lang w:eastAsia="en-GB"/>
              </w:rPr>
              <w:t>Epidemiegesetz</w:t>
            </w:r>
            <w:proofErr w:type="spellEnd"/>
          </w:p>
        </w:tc>
        <w:tc>
          <w:tcPr>
            <w:tcW w:w="570" w:type="dxa"/>
            <w:tcBorders>
              <w:top w:val="single" w:sz="4" w:space="0" w:color="000000"/>
              <w:left w:val="nil"/>
              <w:bottom w:val="nil"/>
              <w:right w:val="single" w:sz="4" w:space="0" w:color="auto"/>
            </w:tcBorders>
            <w:shd w:val="clear" w:color="000000" w:fill="D9D9D9"/>
            <w:noWrap/>
            <w:vAlign w:val="bottom"/>
            <w:hideMark/>
          </w:tcPr>
          <w:p w14:paraId="5BB5B1B2"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single" w:sz="4" w:space="0" w:color="000000"/>
              <w:left w:val="nil"/>
              <w:bottom w:val="nil"/>
              <w:right w:val="single" w:sz="4" w:space="0" w:color="auto"/>
            </w:tcBorders>
            <w:shd w:val="clear" w:color="000000" w:fill="D9D9D9"/>
            <w:noWrap/>
            <w:vAlign w:val="bottom"/>
            <w:hideMark/>
          </w:tcPr>
          <w:p w14:paraId="646EE0FD"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single" w:sz="4" w:space="0" w:color="000000"/>
              <w:left w:val="nil"/>
              <w:bottom w:val="nil"/>
              <w:right w:val="single" w:sz="4" w:space="0" w:color="auto"/>
            </w:tcBorders>
            <w:shd w:val="clear" w:color="000000" w:fill="D9D9D9"/>
            <w:noWrap/>
            <w:vAlign w:val="bottom"/>
            <w:hideMark/>
          </w:tcPr>
          <w:p w14:paraId="0CBA364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single" w:sz="4" w:space="0" w:color="000000"/>
              <w:left w:val="nil"/>
              <w:bottom w:val="nil"/>
              <w:right w:val="single" w:sz="4" w:space="0" w:color="auto"/>
            </w:tcBorders>
            <w:shd w:val="clear" w:color="000000" w:fill="D9D9D9"/>
            <w:noWrap/>
            <w:vAlign w:val="bottom"/>
            <w:hideMark/>
          </w:tcPr>
          <w:p w14:paraId="5EC04E7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single" w:sz="4" w:space="0" w:color="000000"/>
              <w:left w:val="nil"/>
              <w:bottom w:val="nil"/>
              <w:right w:val="single" w:sz="4" w:space="0" w:color="auto"/>
            </w:tcBorders>
            <w:shd w:val="clear" w:color="000000" w:fill="D9D9D9"/>
            <w:noWrap/>
            <w:vAlign w:val="bottom"/>
            <w:hideMark/>
          </w:tcPr>
          <w:p w14:paraId="128F899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279F506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25DD8A9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3F1A9BA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1640" w:type="dxa"/>
            <w:tcBorders>
              <w:top w:val="single" w:sz="4" w:space="0" w:color="000000"/>
              <w:left w:val="nil"/>
              <w:bottom w:val="nil"/>
              <w:right w:val="single" w:sz="4" w:space="0" w:color="000000"/>
            </w:tcBorders>
            <w:shd w:val="clear" w:color="000000" w:fill="D9D9D9"/>
            <w:noWrap/>
            <w:vAlign w:val="bottom"/>
            <w:hideMark/>
          </w:tcPr>
          <w:p w14:paraId="7AD1EC2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EU-2008</w:t>
            </w:r>
          </w:p>
        </w:tc>
      </w:tr>
      <w:tr w:rsidR="00034328" w:rsidRPr="00995DD3" w14:paraId="6B52080C"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hideMark/>
          </w:tcPr>
          <w:p w14:paraId="2CA6F850"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Belgium</w:t>
            </w:r>
          </w:p>
        </w:tc>
        <w:tc>
          <w:tcPr>
            <w:tcW w:w="2550" w:type="dxa"/>
            <w:tcBorders>
              <w:top w:val="nil"/>
              <w:left w:val="nil"/>
              <w:bottom w:val="nil"/>
              <w:right w:val="single" w:sz="4" w:space="0" w:color="auto"/>
            </w:tcBorders>
            <w:shd w:val="clear" w:color="auto" w:fill="auto"/>
            <w:noWrap/>
            <w:vAlign w:val="bottom"/>
            <w:hideMark/>
          </w:tcPr>
          <w:p w14:paraId="1C90F2B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BE-REFLAB</w:t>
            </w:r>
          </w:p>
        </w:tc>
        <w:tc>
          <w:tcPr>
            <w:tcW w:w="570" w:type="dxa"/>
            <w:tcBorders>
              <w:top w:val="nil"/>
              <w:left w:val="nil"/>
              <w:bottom w:val="nil"/>
              <w:right w:val="single" w:sz="4" w:space="0" w:color="auto"/>
            </w:tcBorders>
            <w:shd w:val="clear" w:color="auto" w:fill="auto"/>
            <w:noWrap/>
            <w:vAlign w:val="bottom"/>
            <w:hideMark/>
          </w:tcPr>
          <w:p w14:paraId="7FBC7EFE"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7D60C3A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O</w:t>
            </w:r>
          </w:p>
        </w:tc>
        <w:tc>
          <w:tcPr>
            <w:tcW w:w="570" w:type="dxa"/>
            <w:tcBorders>
              <w:top w:val="nil"/>
              <w:left w:val="nil"/>
              <w:bottom w:val="nil"/>
              <w:right w:val="single" w:sz="4" w:space="0" w:color="auto"/>
            </w:tcBorders>
            <w:shd w:val="clear" w:color="auto" w:fill="auto"/>
            <w:noWrap/>
            <w:vAlign w:val="bottom"/>
            <w:hideMark/>
          </w:tcPr>
          <w:p w14:paraId="043F587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D31322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35EF8F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D81BE92"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5578D2A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17358AC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hideMark/>
          </w:tcPr>
          <w:p w14:paraId="7C19229E"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0C12BF" w:rsidRPr="00995DD3" w14:paraId="01603184"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hideMark/>
          </w:tcPr>
          <w:p w14:paraId="450BAFE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Bulgaria</w:t>
            </w:r>
          </w:p>
        </w:tc>
        <w:tc>
          <w:tcPr>
            <w:tcW w:w="2550" w:type="dxa"/>
            <w:tcBorders>
              <w:top w:val="nil"/>
              <w:left w:val="nil"/>
              <w:bottom w:val="nil"/>
              <w:right w:val="single" w:sz="4" w:space="0" w:color="auto"/>
            </w:tcBorders>
            <w:shd w:val="clear" w:color="000000" w:fill="D9D9D9"/>
            <w:noWrap/>
            <w:vAlign w:val="bottom"/>
            <w:hideMark/>
          </w:tcPr>
          <w:p w14:paraId="6C68921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BG-NATIONAL_SURVEILLANCE</w:t>
            </w:r>
          </w:p>
        </w:tc>
        <w:tc>
          <w:tcPr>
            <w:tcW w:w="570" w:type="dxa"/>
            <w:tcBorders>
              <w:top w:val="nil"/>
              <w:left w:val="nil"/>
              <w:bottom w:val="nil"/>
              <w:right w:val="single" w:sz="4" w:space="0" w:color="auto"/>
            </w:tcBorders>
            <w:shd w:val="clear" w:color="000000" w:fill="D9D9D9"/>
            <w:noWrap/>
            <w:vAlign w:val="bottom"/>
            <w:hideMark/>
          </w:tcPr>
          <w:p w14:paraId="02B8DC9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08F33FBC"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76E0CF9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2988987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A</w:t>
            </w:r>
          </w:p>
        </w:tc>
        <w:tc>
          <w:tcPr>
            <w:tcW w:w="570" w:type="dxa"/>
            <w:tcBorders>
              <w:top w:val="nil"/>
              <w:left w:val="nil"/>
              <w:bottom w:val="nil"/>
              <w:right w:val="single" w:sz="4" w:space="0" w:color="auto"/>
            </w:tcBorders>
            <w:shd w:val="clear" w:color="000000" w:fill="D9D9D9"/>
            <w:noWrap/>
            <w:vAlign w:val="bottom"/>
            <w:hideMark/>
          </w:tcPr>
          <w:p w14:paraId="784E8012"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6942720"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2CADE8BE"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26C68D1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1640" w:type="dxa"/>
            <w:tcBorders>
              <w:top w:val="nil"/>
              <w:left w:val="nil"/>
              <w:bottom w:val="nil"/>
              <w:right w:val="single" w:sz="4" w:space="0" w:color="000000"/>
            </w:tcBorders>
            <w:shd w:val="clear" w:color="000000" w:fill="D9D9D9"/>
            <w:noWrap/>
            <w:vAlign w:val="bottom"/>
            <w:hideMark/>
          </w:tcPr>
          <w:p w14:paraId="2A1EF9C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034328" w:rsidRPr="00995DD3" w14:paraId="3C4D29AF"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hideMark/>
          </w:tcPr>
          <w:p w14:paraId="6258449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Croatia</w:t>
            </w:r>
          </w:p>
        </w:tc>
        <w:tc>
          <w:tcPr>
            <w:tcW w:w="2550" w:type="dxa"/>
            <w:tcBorders>
              <w:top w:val="nil"/>
              <w:left w:val="nil"/>
              <w:bottom w:val="nil"/>
              <w:right w:val="single" w:sz="4" w:space="0" w:color="auto"/>
            </w:tcBorders>
            <w:shd w:val="clear" w:color="auto" w:fill="auto"/>
            <w:noWrap/>
            <w:vAlign w:val="bottom"/>
            <w:hideMark/>
          </w:tcPr>
          <w:p w14:paraId="6F4CDC3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HR-CNIPH</w:t>
            </w:r>
          </w:p>
        </w:tc>
        <w:tc>
          <w:tcPr>
            <w:tcW w:w="570" w:type="dxa"/>
            <w:tcBorders>
              <w:top w:val="nil"/>
              <w:left w:val="nil"/>
              <w:bottom w:val="nil"/>
              <w:right w:val="single" w:sz="4" w:space="0" w:color="auto"/>
            </w:tcBorders>
            <w:shd w:val="clear" w:color="auto" w:fill="auto"/>
            <w:noWrap/>
            <w:vAlign w:val="bottom"/>
            <w:hideMark/>
          </w:tcPr>
          <w:p w14:paraId="72A9944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EAA67B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A58F3E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191AF78"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2D058488"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7BA2B80"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C239C0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D2579C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1640" w:type="dxa"/>
            <w:tcBorders>
              <w:top w:val="nil"/>
              <w:left w:val="nil"/>
              <w:bottom w:val="nil"/>
              <w:right w:val="single" w:sz="4" w:space="0" w:color="000000"/>
            </w:tcBorders>
            <w:shd w:val="clear" w:color="auto" w:fill="auto"/>
            <w:noWrap/>
            <w:vAlign w:val="bottom"/>
            <w:hideMark/>
          </w:tcPr>
          <w:p w14:paraId="71BEB5B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EU-2012</w:t>
            </w:r>
          </w:p>
        </w:tc>
      </w:tr>
      <w:tr w:rsidR="000C12BF" w:rsidRPr="00995DD3" w14:paraId="64D844F8"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hideMark/>
          </w:tcPr>
          <w:p w14:paraId="7744E51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Cyprus</w:t>
            </w:r>
          </w:p>
        </w:tc>
        <w:tc>
          <w:tcPr>
            <w:tcW w:w="2550" w:type="dxa"/>
            <w:tcBorders>
              <w:top w:val="nil"/>
              <w:left w:val="nil"/>
              <w:bottom w:val="nil"/>
              <w:right w:val="single" w:sz="4" w:space="0" w:color="auto"/>
            </w:tcBorders>
            <w:shd w:val="clear" w:color="000000" w:fill="D9D9D9"/>
            <w:noWrap/>
            <w:vAlign w:val="bottom"/>
            <w:hideMark/>
          </w:tcPr>
          <w:p w14:paraId="29152D8C"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CY-NOTIFIED_DISEASES</w:t>
            </w:r>
          </w:p>
        </w:tc>
        <w:tc>
          <w:tcPr>
            <w:tcW w:w="570" w:type="dxa"/>
            <w:tcBorders>
              <w:top w:val="nil"/>
              <w:left w:val="nil"/>
              <w:bottom w:val="nil"/>
              <w:right w:val="single" w:sz="4" w:space="0" w:color="auto"/>
            </w:tcBorders>
            <w:shd w:val="clear" w:color="000000" w:fill="D9D9D9"/>
            <w:noWrap/>
            <w:vAlign w:val="bottom"/>
            <w:hideMark/>
          </w:tcPr>
          <w:p w14:paraId="2C812250"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710E115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43BCB609"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39A0595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5790A29E"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62BB67D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A8B277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5775552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000000" w:fill="D9D9D9"/>
            <w:noWrap/>
            <w:vAlign w:val="bottom"/>
            <w:hideMark/>
          </w:tcPr>
          <w:p w14:paraId="4B505BA2"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EU-2008</w:t>
            </w:r>
          </w:p>
        </w:tc>
      </w:tr>
      <w:tr w:rsidR="00034328" w:rsidRPr="00995DD3" w14:paraId="74CC4E6A"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hideMark/>
          </w:tcPr>
          <w:p w14:paraId="57DAC63E"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Czechia</w:t>
            </w:r>
          </w:p>
        </w:tc>
        <w:tc>
          <w:tcPr>
            <w:tcW w:w="2550" w:type="dxa"/>
            <w:tcBorders>
              <w:top w:val="nil"/>
              <w:left w:val="nil"/>
              <w:bottom w:val="nil"/>
              <w:right w:val="single" w:sz="4" w:space="0" w:color="auto"/>
            </w:tcBorders>
            <w:shd w:val="clear" w:color="auto" w:fill="auto"/>
            <w:noWrap/>
            <w:vAlign w:val="bottom"/>
            <w:hideMark/>
          </w:tcPr>
          <w:p w14:paraId="7EF424C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CZ-ISIN</w:t>
            </w:r>
          </w:p>
        </w:tc>
        <w:tc>
          <w:tcPr>
            <w:tcW w:w="570" w:type="dxa"/>
            <w:tcBorders>
              <w:top w:val="nil"/>
              <w:left w:val="nil"/>
              <w:bottom w:val="nil"/>
              <w:right w:val="single" w:sz="4" w:space="0" w:color="auto"/>
            </w:tcBorders>
            <w:shd w:val="clear" w:color="auto" w:fill="auto"/>
            <w:noWrap/>
            <w:vAlign w:val="bottom"/>
            <w:hideMark/>
          </w:tcPr>
          <w:p w14:paraId="77346BA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311261F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29465160"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09AC8C4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B8DF5F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022598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0D1647D"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C08DE1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hideMark/>
          </w:tcPr>
          <w:p w14:paraId="4B3CC13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EU-2008</w:t>
            </w:r>
          </w:p>
        </w:tc>
      </w:tr>
      <w:tr w:rsidR="000C12BF" w:rsidRPr="00995DD3" w14:paraId="36CF5D5C"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hideMark/>
          </w:tcPr>
          <w:p w14:paraId="5CE91BA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Estonia</w:t>
            </w:r>
          </w:p>
        </w:tc>
        <w:tc>
          <w:tcPr>
            <w:tcW w:w="2550" w:type="dxa"/>
            <w:tcBorders>
              <w:top w:val="nil"/>
              <w:left w:val="nil"/>
              <w:bottom w:val="nil"/>
              <w:right w:val="single" w:sz="4" w:space="0" w:color="auto"/>
            </w:tcBorders>
            <w:shd w:val="clear" w:color="000000" w:fill="D9D9D9"/>
            <w:noWrap/>
            <w:vAlign w:val="bottom"/>
            <w:hideMark/>
          </w:tcPr>
          <w:p w14:paraId="75D6220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EE-NAKIS</w:t>
            </w:r>
          </w:p>
        </w:tc>
        <w:tc>
          <w:tcPr>
            <w:tcW w:w="570" w:type="dxa"/>
            <w:tcBorders>
              <w:top w:val="nil"/>
              <w:left w:val="nil"/>
              <w:bottom w:val="nil"/>
              <w:right w:val="single" w:sz="4" w:space="0" w:color="auto"/>
            </w:tcBorders>
            <w:shd w:val="clear" w:color="000000" w:fill="D9D9D9"/>
            <w:noWrap/>
            <w:vAlign w:val="bottom"/>
            <w:hideMark/>
          </w:tcPr>
          <w:p w14:paraId="32E4D41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0FA8628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49D87A0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10CF60F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7EC7196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3726571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4E6E82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39647310"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000000" w:fill="D9D9D9"/>
            <w:noWrap/>
            <w:vAlign w:val="bottom"/>
            <w:hideMark/>
          </w:tcPr>
          <w:p w14:paraId="5D9EF950"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034328" w:rsidRPr="00995DD3" w14:paraId="6D14EBBE"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hideMark/>
          </w:tcPr>
          <w:p w14:paraId="4C3D707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Finland</w:t>
            </w:r>
          </w:p>
        </w:tc>
        <w:tc>
          <w:tcPr>
            <w:tcW w:w="2550" w:type="dxa"/>
            <w:tcBorders>
              <w:top w:val="nil"/>
              <w:left w:val="nil"/>
              <w:bottom w:val="nil"/>
              <w:right w:val="single" w:sz="4" w:space="0" w:color="auto"/>
            </w:tcBorders>
            <w:shd w:val="clear" w:color="auto" w:fill="auto"/>
            <w:noWrap/>
            <w:vAlign w:val="bottom"/>
            <w:hideMark/>
          </w:tcPr>
          <w:p w14:paraId="6C1010C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FI-NIDR</w:t>
            </w:r>
          </w:p>
        </w:tc>
        <w:tc>
          <w:tcPr>
            <w:tcW w:w="570" w:type="dxa"/>
            <w:tcBorders>
              <w:top w:val="nil"/>
              <w:left w:val="nil"/>
              <w:bottom w:val="nil"/>
              <w:right w:val="single" w:sz="4" w:space="0" w:color="auto"/>
            </w:tcBorders>
            <w:shd w:val="clear" w:color="auto" w:fill="auto"/>
            <w:noWrap/>
            <w:vAlign w:val="bottom"/>
            <w:hideMark/>
          </w:tcPr>
          <w:p w14:paraId="3F602E5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7DF3C5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A1AA2EE"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AE96FAE"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186E63B8"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DF446E9"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F5133E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69412E42"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hideMark/>
          </w:tcPr>
          <w:p w14:paraId="0498983C"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EU-2012</w:t>
            </w:r>
          </w:p>
        </w:tc>
      </w:tr>
      <w:tr w:rsidR="000C12BF" w:rsidRPr="00995DD3" w14:paraId="6E6E8734"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hideMark/>
          </w:tcPr>
          <w:p w14:paraId="56A4CFD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France</w:t>
            </w:r>
          </w:p>
        </w:tc>
        <w:tc>
          <w:tcPr>
            <w:tcW w:w="2550" w:type="dxa"/>
            <w:tcBorders>
              <w:top w:val="nil"/>
              <w:left w:val="nil"/>
              <w:bottom w:val="nil"/>
              <w:right w:val="single" w:sz="4" w:space="0" w:color="auto"/>
            </w:tcBorders>
            <w:shd w:val="clear" w:color="000000" w:fill="D9D9D9"/>
            <w:noWrap/>
            <w:vAlign w:val="bottom"/>
            <w:hideMark/>
          </w:tcPr>
          <w:p w14:paraId="0BC6094E" w14:textId="77777777" w:rsidR="00310412" w:rsidRPr="00037D5B" w:rsidRDefault="00310412" w:rsidP="008F05D8">
            <w:pPr>
              <w:spacing w:before="120" w:after="0"/>
              <w:rPr>
                <w:rFonts w:eastAsia="Times New Roman" w:cs="Tahoma"/>
                <w:sz w:val="12"/>
                <w:szCs w:val="12"/>
                <w:lang w:eastAsia="en-GB"/>
              </w:rPr>
            </w:pPr>
            <w:r w:rsidRPr="00037D5B">
              <w:rPr>
                <w:rFonts w:eastAsia="Times New Roman" w:cs="Tahoma"/>
                <w:sz w:val="12"/>
                <w:szCs w:val="12"/>
                <w:lang w:eastAsia="en-GB"/>
              </w:rPr>
              <w:t>FR-NATIONAL_REFERENCE_CENTRES</w:t>
            </w:r>
          </w:p>
        </w:tc>
        <w:tc>
          <w:tcPr>
            <w:tcW w:w="570" w:type="dxa"/>
            <w:tcBorders>
              <w:top w:val="nil"/>
              <w:left w:val="nil"/>
              <w:bottom w:val="nil"/>
              <w:right w:val="single" w:sz="4" w:space="0" w:color="auto"/>
            </w:tcBorders>
            <w:shd w:val="clear" w:color="000000" w:fill="D9D9D9"/>
            <w:noWrap/>
            <w:vAlign w:val="bottom"/>
            <w:hideMark/>
          </w:tcPr>
          <w:p w14:paraId="475FB08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V</w:t>
            </w:r>
          </w:p>
        </w:tc>
        <w:tc>
          <w:tcPr>
            <w:tcW w:w="570" w:type="dxa"/>
            <w:tcBorders>
              <w:top w:val="nil"/>
              <w:left w:val="nil"/>
              <w:bottom w:val="nil"/>
              <w:right w:val="single" w:sz="4" w:space="0" w:color="auto"/>
            </w:tcBorders>
            <w:shd w:val="clear" w:color="000000" w:fill="D9D9D9"/>
            <w:noWrap/>
            <w:vAlign w:val="bottom"/>
            <w:hideMark/>
          </w:tcPr>
          <w:p w14:paraId="3D0417E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611642EC"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2E124C8D"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0F0F778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F68E8EE"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6BCD47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252FC98D"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w:t>
            </w:r>
          </w:p>
        </w:tc>
        <w:tc>
          <w:tcPr>
            <w:tcW w:w="1640" w:type="dxa"/>
            <w:tcBorders>
              <w:top w:val="nil"/>
              <w:left w:val="nil"/>
              <w:bottom w:val="nil"/>
              <w:right w:val="single" w:sz="4" w:space="0" w:color="000000"/>
            </w:tcBorders>
            <w:shd w:val="clear" w:color="000000" w:fill="D9D9D9"/>
            <w:noWrap/>
            <w:vAlign w:val="bottom"/>
            <w:hideMark/>
          </w:tcPr>
          <w:p w14:paraId="3553E46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Not specified/unknown</w:t>
            </w:r>
          </w:p>
        </w:tc>
      </w:tr>
      <w:tr w:rsidR="00034328" w:rsidRPr="00995DD3" w14:paraId="07F7E139"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hideMark/>
          </w:tcPr>
          <w:p w14:paraId="2145C7C9"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Germany</w:t>
            </w:r>
          </w:p>
        </w:tc>
        <w:tc>
          <w:tcPr>
            <w:tcW w:w="2550" w:type="dxa"/>
            <w:tcBorders>
              <w:top w:val="nil"/>
              <w:left w:val="nil"/>
              <w:bottom w:val="nil"/>
              <w:right w:val="single" w:sz="4" w:space="0" w:color="auto"/>
            </w:tcBorders>
            <w:shd w:val="clear" w:color="auto" w:fill="auto"/>
            <w:noWrap/>
            <w:vAlign w:val="bottom"/>
            <w:hideMark/>
          </w:tcPr>
          <w:p w14:paraId="0D0E2118"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DE-SURVNET@RKI-7.3</w:t>
            </w:r>
          </w:p>
        </w:tc>
        <w:tc>
          <w:tcPr>
            <w:tcW w:w="570" w:type="dxa"/>
            <w:tcBorders>
              <w:top w:val="nil"/>
              <w:left w:val="nil"/>
              <w:bottom w:val="nil"/>
              <w:right w:val="single" w:sz="4" w:space="0" w:color="auto"/>
            </w:tcBorders>
            <w:shd w:val="clear" w:color="auto" w:fill="auto"/>
            <w:noWrap/>
            <w:vAlign w:val="bottom"/>
            <w:hideMark/>
          </w:tcPr>
          <w:p w14:paraId="72185C99"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2BA55358"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07B10E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C43BDF8"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1DDB7CF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8567CC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8FD49A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27FF50B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hideMark/>
          </w:tcPr>
          <w:p w14:paraId="08C851D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Other</w:t>
            </w:r>
          </w:p>
        </w:tc>
      </w:tr>
      <w:tr w:rsidR="000C12BF" w:rsidRPr="00995DD3" w14:paraId="01050C6D"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hideMark/>
          </w:tcPr>
          <w:p w14:paraId="4B880BD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Greece</w:t>
            </w:r>
          </w:p>
        </w:tc>
        <w:tc>
          <w:tcPr>
            <w:tcW w:w="2550" w:type="dxa"/>
            <w:tcBorders>
              <w:top w:val="nil"/>
              <w:left w:val="nil"/>
              <w:bottom w:val="nil"/>
              <w:right w:val="single" w:sz="4" w:space="0" w:color="auto"/>
            </w:tcBorders>
            <w:shd w:val="clear" w:color="000000" w:fill="D9D9D9"/>
            <w:noWrap/>
            <w:vAlign w:val="bottom"/>
            <w:hideMark/>
          </w:tcPr>
          <w:p w14:paraId="3D3A2F09"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EL-NOTIFIABLE_DISEASES</w:t>
            </w:r>
          </w:p>
        </w:tc>
        <w:tc>
          <w:tcPr>
            <w:tcW w:w="570" w:type="dxa"/>
            <w:tcBorders>
              <w:top w:val="nil"/>
              <w:left w:val="nil"/>
              <w:bottom w:val="nil"/>
              <w:right w:val="single" w:sz="4" w:space="0" w:color="auto"/>
            </w:tcBorders>
            <w:shd w:val="clear" w:color="000000" w:fill="D9D9D9"/>
            <w:noWrap/>
            <w:vAlign w:val="bottom"/>
            <w:hideMark/>
          </w:tcPr>
          <w:p w14:paraId="7C2B4B80"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23FC6889"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25430D2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185BC87E"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142735E9"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3F4BDE99"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CA75AD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B54B9F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w:t>
            </w:r>
          </w:p>
        </w:tc>
        <w:tc>
          <w:tcPr>
            <w:tcW w:w="1640" w:type="dxa"/>
            <w:tcBorders>
              <w:top w:val="nil"/>
              <w:left w:val="nil"/>
              <w:bottom w:val="nil"/>
              <w:right w:val="single" w:sz="4" w:space="0" w:color="000000"/>
            </w:tcBorders>
            <w:shd w:val="clear" w:color="000000" w:fill="D9D9D9"/>
            <w:noWrap/>
            <w:vAlign w:val="bottom"/>
            <w:hideMark/>
          </w:tcPr>
          <w:p w14:paraId="1C6F9DC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034328" w:rsidRPr="00995DD3" w14:paraId="14E4F682"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hideMark/>
          </w:tcPr>
          <w:p w14:paraId="39BA745C"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Hungary</w:t>
            </w:r>
          </w:p>
        </w:tc>
        <w:tc>
          <w:tcPr>
            <w:tcW w:w="2550" w:type="dxa"/>
            <w:tcBorders>
              <w:top w:val="nil"/>
              <w:left w:val="nil"/>
              <w:bottom w:val="nil"/>
              <w:right w:val="single" w:sz="4" w:space="0" w:color="auto"/>
            </w:tcBorders>
            <w:shd w:val="clear" w:color="auto" w:fill="auto"/>
            <w:noWrap/>
            <w:vAlign w:val="bottom"/>
            <w:hideMark/>
          </w:tcPr>
          <w:p w14:paraId="410EC13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HU-Zoonoses</w:t>
            </w:r>
          </w:p>
        </w:tc>
        <w:tc>
          <w:tcPr>
            <w:tcW w:w="570" w:type="dxa"/>
            <w:tcBorders>
              <w:top w:val="nil"/>
              <w:left w:val="nil"/>
              <w:bottom w:val="nil"/>
              <w:right w:val="single" w:sz="4" w:space="0" w:color="auto"/>
            </w:tcBorders>
            <w:shd w:val="clear" w:color="auto" w:fill="auto"/>
            <w:noWrap/>
            <w:vAlign w:val="bottom"/>
            <w:hideMark/>
          </w:tcPr>
          <w:p w14:paraId="6E165CF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AF8C28C"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644C60D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12B9B7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0F877D4"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719D80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5827B5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9C25B7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hideMark/>
          </w:tcPr>
          <w:p w14:paraId="203B101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EU-2012</w:t>
            </w:r>
          </w:p>
        </w:tc>
      </w:tr>
      <w:tr w:rsidR="000C12BF" w:rsidRPr="00995DD3" w14:paraId="208AA1A4"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hideMark/>
          </w:tcPr>
          <w:p w14:paraId="2ED19CE3"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Iceland</w:t>
            </w:r>
          </w:p>
        </w:tc>
        <w:tc>
          <w:tcPr>
            <w:tcW w:w="2550" w:type="dxa"/>
            <w:tcBorders>
              <w:top w:val="nil"/>
              <w:left w:val="nil"/>
              <w:bottom w:val="nil"/>
              <w:right w:val="single" w:sz="4" w:space="0" w:color="auto"/>
            </w:tcBorders>
            <w:shd w:val="clear" w:color="000000" w:fill="D9D9D9"/>
            <w:noWrap/>
            <w:vAlign w:val="bottom"/>
            <w:hideMark/>
          </w:tcPr>
          <w:p w14:paraId="3A7C8B2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IS-SUBJECT_TO_REGISTRATION</w:t>
            </w:r>
          </w:p>
        </w:tc>
        <w:tc>
          <w:tcPr>
            <w:tcW w:w="570" w:type="dxa"/>
            <w:tcBorders>
              <w:top w:val="nil"/>
              <w:left w:val="nil"/>
              <w:bottom w:val="nil"/>
              <w:right w:val="single" w:sz="4" w:space="0" w:color="auto"/>
            </w:tcBorders>
            <w:shd w:val="clear" w:color="000000" w:fill="D9D9D9"/>
            <w:noWrap/>
            <w:vAlign w:val="bottom"/>
            <w:hideMark/>
          </w:tcPr>
          <w:p w14:paraId="56F2429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26F146E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113A515B"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054FDB7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63A2272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w:t>
            </w:r>
          </w:p>
        </w:tc>
        <w:tc>
          <w:tcPr>
            <w:tcW w:w="570" w:type="dxa"/>
            <w:tcBorders>
              <w:top w:val="nil"/>
              <w:left w:val="nil"/>
              <w:bottom w:val="nil"/>
              <w:right w:val="single" w:sz="4" w:space="0" w:color="auto"/>
            </w:tcBorders>
            <w:shd w:val="clear" w:color="000000" w:fill="D9D9D9"/>
            <w:noWrap/>
            <w:vAlign w:val="bottom"/>
            <w:hideMark/>
          </w:tcPr>
          <w:p w14:paraId="5EC62B8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38205F5"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w:t>
            </w:r>
          </w:p>
        </w:tc>
        <w:tc>
          <w:tcPr>
            <w:tcW w:w="570" w:type="dxa"/>
            <w:tcBorders>
              <w:top w:val="nil"/>
              <w:left w:val="nil"/>
              <w:bottom w:val="nil"/>
              <w:right w:val="single" w:sz="4" w:space="0" w:color="auto"/>
            </w:tcBorders>
            <w:shd w:val="clear" w:color="000000" w:fill="D9D9D9"/>
            <w:noWrap/>
            <w:vAlign w:val="bottom"/>
            <w:hideMark/>
          </w:tcPr>
          <w:p w14:paraId="5E2B6F4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w:t>
            </w:r>
          </w:p>
        </w:tc>
        <w:tc>
          <w:tcPr>
            <w:tcW w:w="1640" w:type="dxa"/>
            <w:tcBorders>
              <w:top w:val="nil"/>
              <w:left w:val="nil"/>
              <w:bottom w:val="nil"/>
              <w:right w:val="single" w:sz="4" w:space="0" w:color="000000"/>
            </w:tcBorders>
            <w:shd w:val="clear" w:color="000000" w:fill="D9D9D9"/>
            <w:noWrap/>
            <w:vAlign w:val="bottom"/>
            <w:hideMark/>
          </w:tcPr>
          <w:p w14:paraId="4357F624" w14:textId="14062EBF"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EU-201</w:t>
            </w:r>
            <w:r w:rsidR="003A12EB" w:rsidRPr="00995DD3">
              <w:rPr>
                <w:rFonts w:eastAsia="Times New Roman" w:cs="Tahoma"/>
                <w:sz w:val="14"/>
                <w:szCs w:val="14"/>
                <w:lang w:eastAsia="en-GB"/>
              </w:rPr>
              <w:t>8</w:t>
            </w:r>
          </w:p>
        </w:tc>
      </w:tr>
      <w:tr w:rsidR="00034328" w:rsidRPr="00995DD3" w14:paraId="2912B645" w14:textId="77777777" w:rsidTr="00891C4E">
        <w:trPr>
          <w:trHeight w:val="235"/>
        </w:trPr>
        <w:tc>
          <w:tcPr>
            <w:tcW w:w="1072" w:type="dxa"/>
            <w:tcBorders>
              <w:top w:val="nil"/>
              <w:left w:val="single" w:sz="4" w:space="0" w:color="000000"/>
              <w:right w:val="single" w:sz="4" w:space="0" w:color="auto"/>
            </w:tcBorders>
            <w:shd w:val="clear" w:color="auto" w:fill="auto"/>
            <w:noWrap/>
            <w:vAlign w:val="bottom"/>
            <w:hideMark/>
          </w:tcPr>
          <w:p w14:paraId="0167CCE6"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Ireland</w:t>
            </w:r>
          </w:p>
        </w:tc>
        <w:tc>
          <w:tcPr>
            <w:tcW w:w="2550" w:type="dxa"/>
            <w:tcBorders>
              <w:top w:val="nil"/>
              <w:left w:val="nil"/>
              <w:right w:val="single" w:sz="4" w:space="0" w:color="auto"/>
            </w:tcBorders>
            <w:shd w:val="clear" w:color="auto" w:fill="auto"/>
            <w:noWrap/>
            <w:vAlign w:val="bottom"/>
            <w:hideMark/>
          </w:tcPr>
          <w:p w14:paraId="062C4F80"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IE-CIDR</w:t>
            </w:r>
          </w:p>
        </w:tc>
        <w:tc>
          <w:tcPr>
            <w:tcW w:w="570" w:type="dxa"/>
            <w:tcBorders>
              <w:top w:val="nil"/>
              <w:left w:val="nil"/>
              <w:right w:val="single" w:sz="4" w:space="0" w:color="auto"/>
            </w:tcBorders>
            <w:shd w:val="clear" w:color="auto" w:fill="auto"/>
            <w:noWrap/>
            <w:vAlign w:val="bottom"/>
            <w:hideMark/>
          </w:tcPr>
          <w:p w14:paraId="6CF2A0F7"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right w:val="single" w:sz="4" w:space="0" w:color="auto"/>
            </w:tcBorders>
            <w:shd w:val="clear" w:color="auto" w:fill="auto"/>
            <w:noWrap/>
            <w:vAlign w:val="bottom"/>
            <w:hideMark/>
          </w:tcPr>
          <w:p w14:paraId="3316034C"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right w:val="single" w:sz="4" w:space="0" w:color="auto"/>
            </w:tcBorders>
            <w:shd w:val="clear" w:color="auto" w:fill="auto"/>
            <w:noWrap/>
            <w:vAlign w:val="bottom"/>
            <w:hideMark/>
          </w:tcPr>
          <w:p w14:paraId="6E8953D9"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right w:val="single" w:sz="4" w:space="0" w:color="auto"/>
            </w:tcBorders>
            <w:shd w:val="clear" w:color="auto" w:fill="auto"/>
            <w:noWrap/>
            <w:vAlign w:val="bottom"/>
            <w:hideMark/>
          </w:tcPr>
          <w:p w14:paraId="2562927C"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right w:val="single" w:sz="4" w:space="0" w:color="auto"/>
            </w:tcBorders>
            <w:shd w:val="clear" w:color="auto" w:fill="auto"/>
            <w:noWrap/>
            <w:vAlign w:val="bottom"/>
            <w:hideMark/>
          </w:tcPr>
          <w:p w14:paraId="519A7331"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right w:val="single" w:sz="4" w:space="0" w:color="auto"/>
            </w:tcBorders>
            <w:shd w:val="clear" w:color="auto" w:fill="auto"/>
            <w:noWrap/>
            <w:vAlign w:val="bottom"/>
            <w:hideMark/>
          </w:tcPr>
          <w:p w14:paraId="2D41F7F8"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right w:val="single" w:sz="4" w:space="0" w:color="auto"/>
            </w:tcBorders>
            <w:shd w:val="clear" w:color="auto" w:fill="auto"/>
            <w:noWrap/>
            <w:vAlign w:val="bottom"/>
            <w:hideMark/>
          </w:tcPr>
          <w:p w14:paraId="56D29E6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right w:val="single" w:sz="4" w:space="0" w:color="auto"/>
            </w:tcBorders>
            <w:shd w:val="clear" w:color="auto" w:fill="auto"/>
            <w:noWrap/>
            <w:vAlign w:val="bottom"/>
            <w:hideMark/>
          </w:tcPr>
          <w:p w14:paraId="6914209F"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right w:val="single" w:sz="4" w:space="0" w:color="000000"/>
            </w:tcBorders>
            <w:shd w:val="clear" w:color="auto" w:fill="auto"/>
            <w:noWrap/>
            <w:vAlign w:val="bottom"/>
            <w:hideMark/>
          </w:tcPr>
          <w:p w14:paraId="443464FA" w14:textId="77777777" w:rsidR="00310412" w:rsidRPr="00995DD3" w:rsidRDefault="00310412" w:rsidP="008F05D8">
            <w:pPr>
              <w:spacing w:before="120" w:after="0"/>
              <w:rPr>
                <w:rFonts w:eastAsia="Times New Roman" w:cs="Tahoma"/>
                <w:sz w:val="14"/>
                <w:szCs w:val="14"/>
                <w:lang w:eastAsia="en-GB"/>
              </w:rPr>
            </w:pPr>
            <w:r w:rsidRPr="00995DD3">
              <w:rPr>
                <w:rFonts w:eastAsia="Times New Roman" w:cs="Tahoma"/>
                <w:sz w:val="14"/>
                <w:szCs w:val="14"/>
                <w:lang w:eastAsia="en-GB"/>
              </w:rPr>
              <w:t>EU-2008</w:t>
            </w:r>
          </w:p>
        </w:tc>
      </w:tr>
      <w:tr w:rsidR="000C12BF" w:rsidRPr="00995DD3" w14:paraId="203C3122" w14:textId="77777777" w:rsidTr="003E1C05">
        <w:trPr>
          <w:trHeight w:val="235"/>
        </w:trPr>
        <w:tc>
          <w:tcPr>
            <w:tcW w:w="1072" w:type="dxa"/>
            <w:tcBorders>
              <w:top w:val="nil"/>
              <w:left w:val="single" w:sz="4" w:space="0" w:color="000000"/>
              <w:bottom w:val="nil"/>
              <w:right w:val="single" w:sz="4" w:space="0" w:color="auto"/>
            </w:tcBorders>
            <w:shd w:val="clear" w:color="auto" w:fill="D9D9D9" w:themeFill="background1" w:themeFillShade="D9"/>
            <w:noWrap/>
            <w:vAlign w:val="bottom"/>
          </w:tcPr>
          <w:p w14:paraId="1A415267" w14:textId="41DF5059" w:rsidR="00220773" w:rsidRPr="00995DD3" w:rsidRDefault="00220773" w:rsidP="00220773">
            <w:pPr>
              <w:spacing w:before="120" w:after="0"/>
              <w:rPr>
                <w:rFonts w:eastAsia="Times New Roman" w:cs="Tahoma"/>
                <w:sz w:val="14"/>
                <w:szCs w:val="14"/>
                <w:lang w:eastAsia="en-GB"/>
              </w:rPr>
            </w:pPr>
            <w:r>
              <w:rPr>
                <w:rFonts w:eastAsia="Times New Roman" w:cs="Tahoma"/>
                <w:sz w:val="14"/>
                <w:szCs w:val="14"/>
                <w:lang w:eastAsia="en-GB"/>
              </w:rPr>
              <w:t>Italy</w:t>
            </w:r>
          </w:p>
        </w:tc>
        <w:tc>
          <w:tcPr>
            <w:tcW w:w="2550" w:type="dxa"/>
            <w:tcBorders>
              <w:top w:val="nil"/>
              <w:left w:val="nil"/>
              <w:bottom w:val="nil"/>
              <w:right w:val="single" w:sz="4" w:space="0" w:color="auto"/>
            </w:tcBorders>
            <w:shd w:val="clear" w:color="auto" w:fill="D9D9D9" w:themeFill="background1" w:themeFillShade="D9"/>
            <w:noWrap/>
          </w:tcPr>
          <w:p w14:paraId="5702E6C0" w14:textId="10D3A806" w:rsidR="00220773" w:rsidRPr="000F61E6" w:rsidRDefault="00220773" w:rsidP="00220773">
            <w:pPr>
              <w:spacing w:before="120" w:after="0"/>
              <w:rPr>
                <w:rFonts w:eastAsia="Times New Roman" w:cs="Tahoma"/>
                <w:sz w:val="14"/>
                <w:szCs w:val="14"/>
                <w:lang w:eastAsia="en-GB"/>
              </w:rPr>
            </w:pPr>
            <w:r w:rsidRPr="000F61E6">
              <w:rPr>
                <w:rFonts w:cs="Tahoma"/>
                <w:sz w:val="14"/>
                <w:szCs w:val="14"/>
              </w:rPr>
              <w:t>IT-NRS</w:t>
            </w:r>
          </w:p>
        </w:tc>
        <w:tc>
          <w:tcPr>
            <w:tcW w:w="570" w:type="dxa"/>
            <w:tcBorders>
              <w:top w:val="nil"/>
              <w:left w:val="nil"/>
              <w:bottom w:val="nil"/>
              <w:right w:val="single" w:sz="4" w:space="0" w:color="auto"/>
            </w:tcBorders>
            <w:shd w:val="clear" w:color="auto" w:fill="D9D9D9" w:themeFill="background1" w:themeFillShade="D9"/>
            <w:noWrap/>
          </w:tcPr>
          <w:p w14:paraId="255B2978" w14:textId="22E1AB06" w:rsidR="00220773" w:rsidRPr="000F61E6" w:rsidRDefault="00220773" w:rsidP="00220773">
            <w:pPr>
              <w:spacing w:before="120" w:after="0"/>
              <w:rPr>
                <w:rFonts w:eastAsia="Times New Roman" w:cs="Tahoma"/>
                <w:sz w:val="14"/>
                <w:szCs w:val="14"/>
                <w:lang w:eastAsia="en-GB"/>
              </w:rPr>
            </w:pPr>
            <w:r w:rsidRPr="000F61E6">
              <w:rPr>
                <w:rFonts w:cs="Tahoma"/>
                <w:sz w:val="14"/>
                <w:szCs w:val="14"/>
              </w:rPr>
              <w:t>Cp</w:t>
            </w:r>
          </w:p>
        </w:tc>
        <w:tc>
          <w:tcPr>
            <w:tcW w:w="570" w:type="dxa"/>
            <w:tcBorders>
              <w:top w:val="nil"/>
              <w:left w:val="nil"/>
              <w:bottom w:val="nil"/>
              <w:right w:val="single" w:sz="4" w:space="0" w:color="auto"/>
            </w:tcBorders>
            <w:shd w:val="clear" w:color="auto" w:fill="D9D9D9" w:themeFill="background1" w:themeFillShade="D9"/>
            <w:noWrap/>
          </w:tcPr>
          <w:p w14:paraId="3552B2A4" w14:textId="466ACB8A" w:rsidR="00220773" w:rsidRPr="000F61E6" w:rsidRDefault="00220773" w:rsidP="00220773">
            <w:pPr>
              <w:spacing w:before="120" w:after="0"/>
              <w:rPr>
                <w:rFonts w:eastAsia="Times New Roman" w:cs="Tahoma"/>
                <w:sz w:val="14"/>
                <w:szCs w:val="14"/>
                <w:lang w:eastAsia="en-GB"/>
              </w:rPr>
            </w:pPr>
            <w:r w:rsidRPr="000F61E6">
              <w:rPr>
                <w:rFonts w:cs="Tahoma"/>
                <w:sz w:val="14"/>
                <w:szCs w:val="14"/>
              </w:rPr>
              <w:t>Co</w:t>
            </w:r>
          </w:p>
        </w:tc>
        <w:tc>
          <w:tcPr>
            <w:tcW w:w="570" w:type="dxa"/>
            <w:tcBorders>
              <w:top w:val="nil"/>
              <w:left w:val="nil"/>
              <w:bottom w:val="nil"/>
              <w:right w:val="single" w:sz="4" w:space="0" w:color="auto"/>
            </w:tcBorders>
            <w:shd w:val="clear" w:color="auto" w:fill="D9D9D9" w:themeFill="background1" w:themeFillShade="D9"/>
            <w:noWrap/>
          </w:tcPr>
          <w:p w14:paraId="409C1372" w14:textId="0A0F361E" w:rsidR="00220773" w:rsidRPr="000F61E6" w:rsidRDefault="00220773" w:rsidP="00220773">
            <w:pPr>
              <w:spacing w:before="120" w:after="0"/>
              <w:rPr>
                <w:rFonts w:eastAsia="Times New Roman" w:cs="Tahoma"/>
                <w:sz w:val="14"/>
                <w:szCs w:val="14"/>
                <w:lang w:eastAsia="en-GB"/>
              </w:rPr>
            </w:pPr>
            <w:r w:rsidRPr="000F61E6">
              <w:rPr>
                <w:rFonts w:cs="Tahoma"/>
                <w:sz w:val="14"/>
                <w:szCs w:val="14"/>
              </w:rPr>
              <w:t>P</w:t>
            </w:r>
          </w:p>
        </w:tc>
        <w:tc>
          <w:tcPr>
            <w:tcW w:w="570" w:type="dxa"/>
            <w:tcBorders>
              <w:top w:val="nil"/>
              <w:left w:val="nil"/>
              <w:bottom w:val="nil"/>
              <w:right w:val="single" w:sz="4" w:space="0" w:color="auto"/>
            </w:tcBorders>
            <w:shd w:val="clear" w:color="auto" w:fill="D9D9D9" w:themeFill="background1" w:themeFillShade="D9"/>
            <w:noWrap/>
          </w:tcPr>
          <w:p w14:paraId="3EA2DC66" w14:textId="1D49941C" w:rsidR="00220773" w:rsidRPr="000F61E6" w:rsidRDefault="00220773" w:rsidP="00220773">
            <w:pPr>
              <w:spacing w:before="120" w:after="0"/>
              <w:rPr>
                <w:rFonts w:eastAsia="Times New Roman" w:cs="Tahoma"/>
                <w:sz w:val="14"/>
                <w:szCs w:val="14"/>
                <w:lang w:eastAsia="en-GB"/>
              </w:rPr>
            </w:pPr>
            <w:r>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tcPr>
          <w:p w14:paraId="08EE02AF" w14:textId="40AD0583" w:rsidR="00220773" w:rsidRPr="000F61E6" w:rsidRDefault="00220773" w:rsidP="00220773">
            <w:pPr>
              <w:spacing w:before="120" w:after="0"/>
              <w:rPr>
                <w:rFonts w:eastAsia="Times New Roman" w:cs="Tahoma"/>
                <w:sz w:val="14"/>
                <w:szCs w:val="14"/>
                <w:lang w:eastAsia="en-GB"/>
              </w:rPr>
            </w:pPr>
            <w:r w:rsidRPr="000F61E6">
              <w:rPr>
                <w:rFonts w:cs="Tahoma"/>
                <w:sz w:val="14"/>
                <w:szCs w:val="14"/>
              </w:rPr>
              <w:t>N</w:t>
            </w:r>
          </w:p>
        </w:tc>
        <w:tc>
          <w:tcPr>
            <w:tcW w:w="570" w:type="dxa"/>
            <w:tcBorders>
              <w:top w:val="nil"/>
              <w:left w:val="nil"/>
              <w:bottom w:val="nil"/>
              <w:right w:val="single" w:sz="4" w:space="0" w:color="auto"/>
            </w:tcBorders>
            <w:shd w:val="clear" w:color="auto" w:fill="D9D9D9" w:themeFill="background1" w:themeFillShade="D9"/>
            <w:noWrap/>
          </w:tcPr>
          <w:p w14:paraId="2DE9ADF2" w14:textId="48B93C78" w:rsidR="00220773" w:rsidRPr="000F61E6" w:rsidRDefault="00220773" w:rsidP="00220773">
            <w:pPr>
              <w:spacing w:before="120" w:after="0"/>
              <w:rPr>
                <w:rFonts w:eastAsia="Times New Roman" w:cs="Tahoma"/>
                <w:sz w:val="14"/>
                <w:szCs w:val="14"/>
                <w:lang w:eastAsia="en-GB"/>
              </w:rPr>
            </w:pPr>
            <w:r w:rsidRPr="000F61E6">
              <w:rPr>
                <w:rFonts w:cs="Tahoma"/>
                <w:sz w:val="14"/>
                <w:szCs w:val="14"/>
              </w:rPr>
              <w:t>Y</w:t>
            </w:r>
          </w:p>
        </w:tc>
        <w:tc>
          <w:tcPr>
            <w:tcW w:w="570" w:type="dxa"/>
            <w:tcBorders>
              <w:top w:val="nil"/>
              <w:left w:val="nil"/>
              <w:bottom w:val="nil"/>
              <w:right w:val="single" w:sz="4" w:space="0" w:color="auto"/>
            </w:tcBorders>
            <w:shd w:val="clear" w:color="auto" w:fill="D9D9D9" w:themeFill="background1" w:themeFillShade="D9"/>
            <w:noWrap/>
          </w:tcPr>
          <w:p w14:paraId="78C2E37E" w14:textId="0551A52F" w:rsidR="00220773" w:rsidRPr="000F61E6" w:rsidRDefault="00220773" w:rsidP="00220773">
            <w:pPr>
              <w:spacing w:before="120" w:after="0"/>
              <w:rPr>
                <w:rFonts w:eastAsia="Times New Roman" w:cs="Tahoma"/>
                <w:sz w:val="14"/>
                <w:szCs w:val="14"/>
                <w:lang w:eastAsia="en-GB"/>
              </w:rPr>
            </w:pPr>
            <w:r w:rsidRPr="000F61E6">
              <w:rPr>
                <w:rFonts w:cs="Tahoma"/>
                <w:sz w:val="14"/>
                <w:szCs w:val="14"/>
              </w:rPr>
              <w:t>Y</w:t>
            </w:r>
          </w:p>
        </w:tc>
        <w:tc>
          <w:tcPr>
            <w:tcW w:w="570" w:type="dxa"/>
            <w:tcBorders>
              <w:top w:val="nil"/>
              <w:left w:val="nil"/>
              <w:bottom w:val="nil"/>
              <w:right w:val="single" w:sz="4" w:space="0" w:color="auto"/>
            </w:tcBorders>
            <w:shd w:val="clear" w:color="auto" w:fill="D9D9D9" w:themeFill="background1" w:themeFillShade="D9"/>
            <w:noWrap/>
          </w:tcPr>
          <w:p w14:paraId="679E5D05" w14:textId="283AAA88" w:rsidR="00220773" w:rsidRPr="000F61E6" w:rsidRDefault="00220773" w:rsidP="00220773">
            <w:pPr>
              <w:spacing w:before="120" w:after="0"/>
              <w:rPr>
                <w:rFonts w:eastAsia="Times New Roman" w:cs="Tahoma"/>
                <w:sz w:val="14"/>
                <w:szCs w:val="14"/>
                <w:lang w:eastAsia="en-GB"/>
              </w:rPr>
            </w:pPr>
            <w:r w:rsidRPr="000F61E6">
              <w:rPr>
                <w:rFonts w:cs="Tahoma"/>
                <w:sz w:val="14"/>
                <w:szCs w:val="14"/>
              </w:rPr>
              <w:t>N</w:t>
            </w:r>
          </w:p>
        </w:tc>
        <w:tc>
          <w:tcPr>
            <w:tcW w:w="1640" w:type="dxa"/>
            <w:tcBorders>
              <w:top w:val="nil"/>
              <w:left w:val="nil"/>
              <w:bottom w:val="nil"/>
              <w:right w:val="single" w:sz="4" w:space="0" w:color="000000"/>
            </w:tcBorders>
            <w:shd w:val="clear" w:color="auto" w:fill="D9D9D9" w:themeFill="background1" w:themeFillShade="D9"/>
            <w:noWrap/>
          </w:tcPr>
          <w:p w14:paraId="41637995" w14:textId="6DACEE8F" w:rsidR="00220773" w:rsidRPr="000F61E6" w:rsidRDefault="00220773" w:rsidP="00220773">
            <w:pPr>
              <w:spacing w:before="120" w:after="0"/>
              <w:rPr>
                <w:rFonts w:eastAsia="Times New Roman" w:cs="Tahoma"/>
                <w:sz w:val="14"/>
                <w:szCs w:val="14"/>
                <w:lang w:eastAsia="en-GB"/>
              </w:rPr>
            </w:pPr>
            <w:r w:rsidRPr="000F61E6">
              <w:rPr>
                <w:rFonts w:cs="Tahoma"/>
                <w:sz w:val="14"/>
                <w:szCs w:val="14"/>
              </w:rPr>
              <w:t>Other</w:t>
            </w:r>
          </w:p>
        </w:tc>
      </w:tr>
      <w:tr w:rsidR="00220773" w:rsidRPr="00995DD3" w14:paraId="02269E11"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tcPr>
          <w:p w14:paraId="306279BE" w14:textId="4C011884"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Latvia</w:t>
            </w:r>
          </w:p>
        </w:tc>
        <w:tc>
          <w:tcPr>
            <w:tcW w:w="2550" w:type="dxa"/>
            <w:tcBorders>
              <w:top w:val="nil"/>
              <w:left w:val="nil"/>
              <w:bottom w:val="nil"/>
              <w:right w:val="single" w:sz="4" w:space="0" w:color="auto"/>
            </w:tcBorders>
            <w:shd w:val="clear" w:color="auto" w:fill="auto"/>
            <w:noWrap/>
            <w:vAlign w:val="bottom"/>
          </w:tcPr>
          <w:p w14:paraId="4CE52878" w14:textId="61166AE0"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LV-BSN</w:t>
            </w:r>
          </w:p>
        </w:tc>
        <w:tc>
          <w:tcPr>
            <w:tcW w:w="570" w:type="dxa"/>
            <w:tcBorders>
              <w:top w:val="nil"/>
              <w:left w:val="nil"/>
              <w:bottom w:val="nil"/>
              <w:right w:val="single" w:sz="4" w:space="0" w:color="auto"/>
            </w:tcBorders>
            <w:shd w:val="clear" w:color="auto" w:fill="auto"/>
            <w:noWrap/>
            <w:vAlign w:val="bottom"/>
          </w:tcPr>
          <w:p w14:paraId="0E4E5126" w14:textId="340EF4E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6D8BD234" w14:textId="3CD73B55"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280C05F6" w14:textId="280C02CC"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704D6596" w14:textId="6FD41A8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643F26AC" w14:textId="370BC09C"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65BB8600" w14:textId="58E8E06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66108EF5" w14:textId="78F6F244"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2449287E" w14:textId="34B902C8"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tcPr>
          <w:p w14:paraId="25A33B4C" w14:textId="52981627" w:rsidR="00220773" w:rsidRPr="00995DD3" w:rsidRDefault="00537592" w:rsidP="00220773">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0C12BF" w:rsidRPr="00995DD3" w14:paraId="4C2A4031"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tcPr>
          <w:p w14:paraId="4DE73AAD" w14:textId="4A91A41B"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Lithuania</w:t>
            </w:r>
          </w:p>
        </w:tc>
        <w:tc>
          <w:tcPr>
            <w:tcW w:w="2550" w:type="dxa"/>
            <w:tcBorders>
              <w:top w:val="nil"/>
              <w:left w:val="nil"/>
              <w:bottom w:val="nil"/>
              <w:right w:val="single" w:sz="4" w:space="0" w:color="auto"/>
            </w:tcBorders>
            <w:shd w:val="clear" w:color="000000" w:fill="D9D9D9"/>
            <w:noWrap/>
            <w:vAlign w:val="bottom"/>
          </w:tcPr>
          <w:p w14:paraId="3AC2CEDF" w14:textId="50518ABB"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LT-COMMUNICABLE_DISEASES</w:t>
            </w:r>
          </w:p>
        </w:tc>
        <w:tc>
          <w:tcPr>
            <w:tcW w:w="570" w:type="dxa"/>
            <w:tcBorders>
              <w:top w:val="nil"/>
              <w:left w:val="nil"/>
              <w:bottom w:val="nil"/>
              <w:right w:val="single" w:sz="4" w:space="0" w:color="auto"/>
            </w:tcBorders>
            <w:shd w:val="clear" w:color="000000" w:fill="D9D9D9"/>
            <w:noWrap/>
            <w:vAlign w:val="bottom"/>
          </w:tcPr>
          <w:p w14:paraId="5E871A8D" w14:textId="6344097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00126F64" w14:textId="442CED48"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5E47EC79" w14:textId="0A97BA14"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0847D10D" w14:textId="79CA3959"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462BA0D6" w14:textId="5E07125A"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12C605AA" w14:textId="5057ECD2"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51D40F04" w14:textId="5825243B"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4F50F880" w14:textId="23EBD383"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000000" w:fill="D9D9D9"/>
            <w:noWrap/>
            <w:vAlign w:val="bottom"/>
          </w:tcPr>
          <w:p w14:paraId="705A1D7D" w14:textId="291E0788"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220773" w:rsidRPr="00995DD3" w14:paraId="6C519B79"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tcPr>
          <w:p w14:paraId="0BED7457" w14:textId="0013B611"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Luxembourg</w:t>
            </w:r>
          </w:p>
        </w:tc>
        <w:tc>
          <w:tcPr>
            <w:tcW w:w="2550" w:type="dxa"/>
            <w:tcBorders>
              <w:top w:val="nil"/>
              <w:left w:val="nil"/>
              <w:bottom w:val="nil"/>
              <w:right w:val="single" w:sz="4" w:space="0" w:color="auto"/>
            </w:tcBorders>
            <w:shd w:val="clear" w:color="auto" w:fill="auto"/>
            <w:noWrap/>
            <w:vAlign w:val="bottom"/>
          </w:tcPr>
          <w:p w14:paraId="2F94ED98" w14:textId="0F3C4C7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LU-SYSTEM1</w:t>
            </w:r>
          </w:p>
        </w:tc>
        <w:tc>
          <w:tcPr>
            <w:tcW w:w="570" w:type="dxa"/>
            <w:tcBorders>
              <w:top w:val="nil"/>
              <w:left w:val="nil"/>
              <w:bottom w:val="nil"/>
              <w:right w:val="single" w:sz="4" w:space="0" w:color="auto"/>
            </w:tcBorders>
            <w:shd w:val="clear" w:color="auto" w:fill="auto"/>
            <w:noWrap/>
            <w:vAlign w:val="bottom"/>
          </w:tcPr>
          <w:p w14:paraId="7F6BBEB3" w14:textId="174F5EF6"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637FDB1A" w14:textId="5AFAB4B0"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3B055ADF" w14:textId="5EF2A9DB"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577C0277" w14:textId="1E6B3018"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4B7766D2" w14:textId="1120D406"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3EB06D17" w14:textId="3372B2B6"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1155ED4A" w14:textId="523EC35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287CF2DF" w14:textId="4CD9990E"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tcPr>
          <w:p w14:paraId="5C7E1752" w14:textId="52D198DC"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0C12BF" w:rsidRPr="00995DD3" w14:paraId="52716424"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tcPr>
          <w:p w14:paraId="11C6665F" w14:textId="4DE2038B"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Netherlands</w:t>
            </w:r>
          </w:p>
        </w:tc>
        <w:tc>
          <w:tcPr>
            <w:tcW w:w="2550" w:type="dxa"/>
            <w:tcBorders>
              <w:top w:val="nil"/>
              <w:left w:val="nil"/>
              <w:bottom w:val="nil"/>
              <w:right w:val="single" w:sz="4" w:space="0" w:color="auto"/>
            </w:tcBorders>
            <w:shd w:val="clear" w:color="000000" w:fill="D9D9D9"/>
            <w:noWrap/>
          </w:tcPr>
          <w:p w14:paraId="03521645" w14:textId="72AEBA3E"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NL-LIMS</w:t>
            </w:r>
          </w:p>
        </w:tc>
        <w:tc>
          <w:tcPr>
            <w:tcW w:w="570" w:type="dxa"/>
            <w:tcBorders>
              <w:top w:val="nil"/>
              <w:left w:val="nil"/>
              <w:bottom w:val="nil"/>
              <w:right w:val="single" w:sz="4" w:space="0" w:color="auto"/>
            </w:tcBorders>
            <w:shd w:val="clear" w:color="000000" w:fill="D9D9D9"/>
            <w:noWrap/>
          </w:tcPr>
          <w:p w14:paraId="7F2CFAAD" w14:textId="342BD90E"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V</w:t>
            </w:r>
          </w:p>
        </w:tc>
        <w:tc>
          <w:tcPr>
            <w:tcW w:w="570" w:type="dxa"/>
            <w:tcBorders>
              <w:top w:val="nil"/>
              <w:left w:val="nil"/>
              <w:bottom w:val="nil"/>
              <w:right w:val="single" w:sz="4" w:space="0" w:color="auto"/>
            </w:tcBorders>
            <w:shd w:val="clear" w:color="000000" w:fill="D9D9D9"/>
            <w:noWrap/>
          </w:tcPr>
          <w:p w14:paraId="7B99C618" w14:textId="1132C3BB"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Co</w:t>
            </w:r>
          </w:p>
        </w:tc>
        <w:tc>
          <w:tcPr>
            <w:tcW w:w="570" w:type="dxa"/>
            <w:tcBorders>
              <w:top w:val="nil"/>
              <w:left w:val="nil"/>
              <w:bottom w:val="nil"/>
              <w:right w:val="single" w:sz="4" w:space="0" w:color="auto"/>
            </w:tcBorders>
            <w:shd w:val="clear" w:color="000000" w:fill="D9D9D9"/>
            <w:noWrap/>
          </w:tcPr>
          <w:p w14:paraId="5551723D" w14:textId="638BA803"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P</w:t>
            </w:r>
          </w:p>
        </w:tc>
        <w:tc>
          <w:tcPr>
            <w:tcW w:w="570" w:type="dxa"/>
            <w:tcBorders>
              <w:top w:val="nil"/>
              <w:left w:val="nil"/>
              <w:bottom w:val="nil"/>
              <w:right w:val="single" w:sz="4" w:space="0" w:color="auto"/>
            </w:tcBorders>
            <w:shd w:val="clear" w:color="000000" w:fill="D9D9D9"/>
            <w:noWrap/>
          </w:tcPr>
          <w:p w14:paraId="3098812D" w14:textId="7FB95513"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A</w:t>
            </w:r>
          </w:p>
        </w:tc>
        <w:tc>
          <w:tcPr>
            <w:tcW w:w="570" w:type="dxa"/>
            <w:tcBorders>
              <w:top w:val="nil"/>
              <w:left w:val="nil"/>
              <w:bottom w:val="nil"/>
              <w:right w:val="single" w:sz="4" w:space="0" w:color="auto"/>
            </w:tcBorders>
            <w:shd w:val="clear" w:color="000000" w:fill="D9D9D9"/>
            <w:noWrap/>
          </w:tcPr>
          <w:p w14:paraId="65A06E37" w14:textId="0401BFE1"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Y</w:t>
            </w:r>
          </w:p>
        </w:tc>
        <w:tc>
          <w:tcPr>
            <w:tcW w:w="570" w:type="dxa"/>
            <w:tcBorders>
              <w:top w:val="nil"/>
              <w:left w:val="nil"/>
              <w:bottom w:val="nil"/>
              <w:right w:val="single" w:sz="4" w:space="0" w:color="auto"/>
            </w:tcBorders>
            <w:shd w:val="clear" w:color="000000" w:fill="D9D9D9"/>
            <w:noWrap/>
          </w:tcPr>
          <w:p w14:paraId="56B13023" w14:textId="522AC586"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N</w:t>
            </w:r>
          </w:p>
        </w:tc>
        <w:tc>
          <w:tcPr>
            <w:tcW w:w="570" w:type="dxa"/>
            <w:tcBorders>
              <w:top w:val="nil"/>
              <w:left w:val="nil"/>
              <w:bottom w:val="nil"/>
              <w:right w:val="single" w:sz="4" w:space="0" w:color="auto"/>
            </w:tcBorders>
            <w:shd w:val="clear" w:color="000000" w:fill="D9D9D9"/>
            <w:noWrap/>
          </w:tcPr>
          <w:p w14:paraId="669087BA" w14:textId="4DE874A7"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N</w:t>
            </w:r>
          </w:p>
        </w:tc>
        <w:tc>
          <w:tcPr>
            <w:tcW w:w="570" w:type="dxa"/>
            <w:tcBorders>
              <w:top w:val="nil"/>
              <w:left w:val="nil"/>
              <w:bottom w:val="nil"/>
              <w:right w:val="single" w:sz="4" w:space="0" w:color="auto"/>
            </w:tcBorders>
            <w:shd w:val="clear" w:color="000000" w:fill="D9D9D9"/>
            <w:noWrap/>
          </w:tcPr>
          <w:p w14:paraId="51B3E2AE" w14:textId="69D015BD"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U</w:t>
            </w:r>
          </w:p>
        </w:tc>
        <w:tc>
          <w:tcPr>
            <w:tcW w:w="1640" w:type="dxa"/>
            <w:tcBorders>
              <w:top w:val="nil"/>
              <w:left w:val="nil"/>
              <w:bottom w:val="nil"/>
              <w:right w:val="single" w:sz="4" w:space="0" w:color="000000"/>
            </w:tcBorders>
            <w:shd w:val="clear" w:color="000000" w:fill="D9D9D9"/>
            <w:noWrap/>
          </w:tcPr>
          <w:p w14:paraId="7D0C0D91" w14:textId="6EDEE327" w:rsidR="00220773" w:rsidRPr="00995DD3" w:rsidRDefault="00220773" w:rsidP="00220773">
            <w:pPr>
              <w:spacing w:before="120" w:after="0"/>
              <w:rPr>
                <w:rFonts w:eastAsia="Times New Roman" w:cs="Tahoma"/>
                <w:sz w:val="14"/>
                <w:szCs w:val="14"/>
                <w:lang w:eastAsia="en-GB"/>
              </w:rPr>
            </w:pPr>
            <w:r w:rsidRPr="00FA36B2">
              <w:rPr>
                <w:rFonts w:cs="Tahoma"/>
                <w:color w:val="000000"/>
                <w:sz w:val="14"/>
                <w:szCs w:val="14"/>
              </w:rPr>
              <w:t>EU-20</w:t>
            </w:r>
            <w:r>
              <w:rPr>
                <w:rFonts w:cs="Tahoma"/>
                <w:color w:val="000000"/>
                <w:sz w:val="14"/>
                <w:szCs w:val="14"/>
              </w:rPr>
              <w:t>1</w:t>
            </w:r>
            <w:r w:rsidRPr="00FA36B2">
              <w:rPr>
                <w:rFonts w:cs="Tahoma"/>
                <w:color w:val="000000"/>
                <w:sz w:val="14"/>
                <w:szCs w:val="14"/>
              </w:rPr>
              <w:t>8</w:t>
            </w:r>
          </w:p>
        </w:tc>
      </w:tr>
      <w:tr w:rsidR="00220773" w:rsidRPr="00995DD3" w14:paraId="70E173F4"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tcPr>
          <w:p w14:paraId="69413836" w14:textId="77BD33CB"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Malta</w:t>
            </w:r>
          </w:p>
        </w:tc>
        <w:tc>
          <w:tcPr>
            <w:tcW w:w="2550" w:type="dxa"/>
            <w:tcBorders>
              <w:top w:val="nil"/>
              <w:left w:val="nil"/>
              <w:bottom w:val="nil"/>
              <w:right w:val="single" w:sz="4" w:space="0" w:color="auto"/>
            </w:tcBorders>
            <w:shd w:val="clear" w:color="auto" w:fill="auto"/>
            <w:noWrap/>
            <w:vAlign w:val="bottom"/>
          </w:tcPr>
          <w:p w14:paraId="0616573F" w14:textId="3078F0DA"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MT-DISEASE_SURVEILLANCE</w:t>
            </w:r>
          </w:p>
        </w:tc>
        <w:tc>
          <w:tcPr>
            <w:tcW w:w="570" w:type="dxa"/>
            <w:tcBorders>
              <w:top w:val="nil"/>
              <w:left w:val="nil"/>
              <w:bottom w:val="nil"/>
              <w:right w:val="single" w:sz="4" w:space="0" w:color="auto"/>
            </w:tcBorders>
            <w:shd w:val="clear" w:color="auto" w:fill="auto"/>
            <w:noWrap/>
            <w:vAlign w:val="bottom"/>
          </w:tcPr>
          <w:p w14:paraId="221DC762" w14:textId="2ABCA9A6"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6B76B69E" w14:textId="22C4FF9A"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4448B832" w14:textId="7A8E768E"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34CF261D" w14:textId="46672DF5"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09F5F91C" w14:textId="7F5AD9F4"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3C626118" w14:textId="5B68708E"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253398DB" w14:textId="50B2EECC"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477BD9CF" w14:textId="7B7FE192"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1640" w:type="dxa"/>
            <w:tcBorders>
              <w:top w:val="nil"/>
              <w:left w:val="nil"/>
              <w:bottom w:val="nil"/>
              <w:right w:val="single" w:sz="4" w:space="0" w:color="000000"/>
            </w:tcBorders>
            <w:shd w:val="clear" w:color="auto" w:fill="auto"/>
            <w:noWrap/>
            <w:vAlign w:val="bottom"/>
          </w:tcPr>
          <w:p w14:paraId="755FA247" w14:textId="73FD9998" w:rsidR="00220773" w:rsidRPr="00FA36B2"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0C12BF" w:rsidRPr="00995DD3" w14:paraId="332A7041"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tcPr>
          <w:p w14:paraId="6E6D55C1" w14:textId="62FA4A49" w:rsidR="00220773" w:rsidRPr="00995DD3" w:rsidRDefault="00220773" w:rsidP="00220773">
            <w:pPr>
              <w:spacing w:before="120" w:after="0"/>
              <w:rPr>
                <w:rFonts w:cs="Tahoma"/>
                <w:b/>
                <w:bCs/>
                <w:color w:val="000000"/>
                <w:sz w:val="14"/>
                <w:szCs w:val="14"/>
              </w:rPr>
            </w:pPr>
            <w:r w:rsidRPr="00995DD3">
              <w:rPr>
                <w:rFonts w:eastAsia="Times New Roman" w:cs="Tahoma"/>
                <w:sz w:val="14"/>
                <w:szCs w:val="14"/>
                <w:lang w:eastAsia="en-GB"/>
              </w:rPr>
              <w:t>Norway</w:t>
            </w:r>
          </w:p>
        </w:tc>
        <w:tc>
          <w:tcPr>
            <w:tcW w:w="2550" w:type="dxa"/>
            <w:tcBorders>
              <w:top w:val="nil"/>
              <w:left w:val="nil"/>
              <w:bottom w:val="nil"/>
              <w:right w:val="single" w:sz="4" w:space="0" w:color="auto"/>
            </w:tcBorders>
            <w:shd w:val="clear" w:color="000000" w:fill="D9D9D9"/>
            <w:noWrap/>
            <w:vAlign w:val="bottom"/>
          </w:tcPr>
          <w:p w14:paraId="737FB5C9" w14:textId="3700CC47"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NO-MSIS_A</w:t>
            </w:r>
          </w:p>
        </w:tc>
        <w:tc>
          <w:tcPr>
            <w:tcW w:w="570" w:type="dxa"/>
            <w:tcBorders>
              <w:top w:val="nil"/>
              <w:left w:val="nil"/>
              <w:bottom w:val="nil"/>
              <w:right w:val="single" w:sz="4" w:space="0" w:color="auto"/>
            </w:tcBorders>
            <w:shd w:val="clear" w:color="000000" w:fill="D9D9D9"/>
            <w:noWrap/>
            <w:vAlign w:val="bottom"/>
          </w:tcPr>
          <w:p w14:paraId="056DD6C9" w14:textId="34A9A000"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61D58CBF" w14:textId="6A6C0287"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58857046" w14:textId="4CA9EFC6"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1231150F" w14:textId="2E606D00"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00019BF2" w14:textId="44426C52"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58C84EEE" w14:textId="43425F07"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1788ED43" w14:textId="64447631"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B02DAC9" w14:textId="31773029"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000000" w:fill="D9D9D9"/>
            <w:noWrap/>
            <w:vAlign w:val="bottom"/>
          </w:tcPr>
          <w:p w14:paraId="37903ABF" w14:textId="447F601F" w:rsidR="00220773" w:rsidRPr="00995DD3" w:rsidRDefault="00220773" w:rsidP="00220773">
            <w:pPr>
              <w:spacing w:before="120" w:after="0"/>
              <w:rPr>
                <w:rFonts w:cs="Tahoma"/>
                <w:color w:val="000000"/>
                <w:sz w:val="14"/>
                <w:szCs w:val="14"/>
              </w:rPr>
            </w:pPr>
            <w:r w:rsidRPr="00995DD3">
              <w:rPr>
                <w:rFonts w:eastAsia="Times New Roman" w:cs="Tahoma"/>
                <w:sz w:val="14"/>
                <w:szCs w:val="14"/>
                <w:lang w:eastAsia="en-GB"/>
              </w:rPr>
              <w:t>EU-2018</w:t>
            </w:r>
          </w:p>
        </w:tc>
      </w:tr>
      <w:tr w:rsidR="00220773" w:rsidRPr="00995DD3" w14:paraId="62A6FF64"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tcPr>
          <w:p w14:paraId="631BABA4" w14:textId="65976D2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Poland</w:t>
            </w:r>
          </w:p>
        </w:tc>
        <w:tc>
          <w:tcPr>
            <w:tcW w:w="2550" w:type="dxa"/>
            <w:tcBorders>
              <w:top w:val="nil"/>
              <w:left w:val="nil"/>
              <w:bottom w:val="nil"/>
              <w:right w:val="single" w:sz="4" w:space="0" w:color="auto"/>
            </w:tcBorders>
            <w:shd w:val="clear" w:color="auto" w:fill="auto"/>
            <w:noWrap/>
            <w:vAlign w:val="bottom"/>
          </w:tcPr>
          <w:p w14:paraId="3794A85E" w14:textId="7D44A1C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PL-NATIONAL_SURVEILLANCE</w:t>
            </w:r>
          </w:p>
        </w:tc>
        <w:tc>
          <w:tcPr>
            <w:tcW w:w="570" w:type="dxa"/>
            <w:tcBorders>
              <w:top w:val="nil"/>
              <w:left w:val="nil"/>
              <w:bottom w:val="nil"/>
              <w:right w:val="single" w:sz="4" w:space="0" w:color="auto"/>
            </w:tcBorders>
            <w:shd w:val="clear" w:color="auto" w:fill="auto"/>
            <w:noWrap/>
            <w:vAlign w:val="bottom"/>
          </w:tcPr>
          <w:p w14:paraId="5D0BE64E" w14:textId="4D002DBB"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2C8F151B" w14:textId="1AE74D4E"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08296D53" w14:textId="368D722B"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3853CBB1" w14:textId="6B61A460"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01BA042B" w14:textId="1BEBDF07"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583EA84E" w14:textId="42D7D59A"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6CBAB80" w14:textId="6D2A486A"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E7F454F" w14:textId="0A28F1B0"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tcPr>
          <w:p w14:paraId="7392D29E" w14:textId="5FCCA50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EU-2008</w:t>
            </w:r>
          </w:p>
        </w:tc>
      </w:tr>
      <w:tr w:rsidR="000C12BF" w:rsidRPr="00995DD3" w14:paraId="1E2F620D"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tcPr>
          <w:p w14:paraId="3BA0933E" w14:textId="48E50C29"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Portugal</w:t>
            </w:r>
          </w:p>
        </w:tc>
        <w:tc>
          <w:tcPr>
            <w:tcW w:w="2550" w:type="dxa"/>
            <w:tcBorders>
              <w:top w:val="nil"/>
              <w:left w:val="nil"/>
              <w:bottom w:val="nil"/>
              <w:right w:val="single" w:sz="4" w:space="0" w:color="auto"/>
            </w:tcBorders>
            <w:shd w:val="clear" w:color="000000" w:fill="D9D9D9"/>
            <w:noWrap/>
            <w:vAlign w:val="bottom"/>
          </w:tcPr>
          <w:p w14:paraId="1A3D8B4A" w14:textId="16106753"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PT-ECHINOCOCCOSIS</w:t>
            </w:r>
          </w:p>
        </w:tc>
        <w:tc>
          <w:tcPr>
            <w:tcW w:w="570" w:type="dxa"/>
            <w:tcBorders>
              <w:top w:val="nil"/>
              <w:left w:val="nil"/>
              <w:bottom w:val="nil"/>
              <w:right w:val="single" w:sz="4" w:space="0" w:color="auto"/>
            </w:tcBorders>
            <w:shd w:val="clear" w:color="000000" w:fill="D9D9D9"/>
            <w:noWrap/>
            <w:vAlign w:val="bottom"/>
          </w:tcPr>
          <w:p w14:paraId="46156096" w14:textId="0E589A3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3D273801" w14:textId="7822141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249C4C37" w14:textId="4E6A8356"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1B24A942" w14:textId="673D5C2C"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687E0332" w14:textId="3805ED56"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454D742C" w14:textId="566EBE8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476EA21D" w14:textId="71911DE8"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7A4DFC1D" w14:textId="673542B1"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000000" w:fill="D9D9D9"/>
            <w:noWrap/>
            <w:vAlign w:val="bottom"/>
          </w:tcPr>
          <w:p w14:paraId="1CCDCC9D" w14:textId="014C726C"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220773" w:rsidRPr="00995DD3" w14:paraId="1814DBB1"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tcPr>
          <w:p w14:paraId="1AD15D59" w14:textId="6CCE3ED9"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Romania</w:t>
            </w:r>
          </w:p>
        </w:tc>
        <w:tc>
          <w:tcPr>
            <w:tcW w:w="2550" w:type="dxa"/>
            <w:tcBorders>
              <w:top w:val="nil"/>
              <w:left w:val="nil"/>
              <w:bottom w:val="nil"/>
              <w:right w:val="single" w:sz="4" w:space="0" w:color="auto"/>
            </w:tcBorders>
            <w:shd w:val="clear" w:color="auto" w:fill="auto"/>
            <w:noWrap/>
            <w:vAlign w:val="bottom"/>
          </w:tcPr>
          <w:p w14:paraId="6CF6E3E4" w14:textId="3F4DEBB7"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RO-</w:t>
            </w:r>
            <w:proofErr w:type="spellStart"/>
            <w:r w:rsidRPr="00995DD3">
              <w:rPr>
                <w:rFonts w:eastAsia="Times New Roman" w:cs="Tahoma"/>
                <w:sz w:val="14"/>
                <w:szCs w:val="14"/>
                <w:lang w:eastAsia="en-GB"/>
              </w:rPr>
              <w:t>RNSSy</w:t>
            </w:r>
            <w:proofErr w:type="spellEnd"/>
          </w:p>
        </w:tc>
        <w:tc>
          <w:tcPr>
            <w:tcW w:w="570" w:type="dxa"/>
            <w:tcBorders>
              <w:top w:val="nil"/>
              <w:left w:val="nil"/>
              <w:bottom w:val="nil"/>
              <w:right w:val="single" w:sz="4" w:space="0" w:color="auto"/>
            </w:tcBorders>
            <w:shd w:val="clear" w:color="auto" w:fill="auto"/>
            <w:noWrap/>
            <w:vAlign w:val="bottom"/>
          </w:tcPr>
          <w:p w14:paraId="56918362" w14:textId="2B58AB9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276A33A0" w14:textId="03BC819A"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304B3F9E" w14:textId="71C4A312"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51D4569B" w14:textId="1FB0D73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5A0B59B7" w14:textId="5E3DEFA3"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007DA06B" w14:textId="091F2E10"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6E7FE1AA" w14:textId="0C36DA3B"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3B012AD3" w14:textId="2F5EC8A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tcPr>
          <w:p w14:paraId="36D4AD9B" w14:textId="62455403"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0C12BF" w:rsidRPr="00995DD3" w14:paraId="16150E3A" w14:textId="77777777" w:rsidTr="00891C4E">
        <w:trPr>
          <w:trHeight w:val="235"/>
        </w:trPr>
        <w:tc>
          <w:tcPr>
            <w:tcW w:w="1072" w:type="dxa"/>
            <w:tcBorders>
              <w:top w:val="nil"/>
              <w:left w:val="single" w:sz="4" w:space="0" w:color="000000"/>
              <w:bottom w:val="nil"/>
              <w:right w:val="single" w:sz="4" w:space="0" w:color="auto"/>
            </w:tcBorders>
            <w:shd w:val="clear" w:color="000000" w:fill="D9D9D9"/>
            <w:noWrap/>
            <w:vAlign w:val="bottom"/>
          </w:tcPr>
          <w:p w14:paraId="733CDA9B" w14:textId="18B4D5A7"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Slovakia</w:t>
            </w:r>
          </w:p>
        </w:tc>
        <w:tc>
          <w:tcPr>
            <w:tcW w:w="2550" w:type="dxa"/>
            <w:tcBorders>
              <w:top w:val="nil"/>
              <w:left w:val="nil"/>
              <w:bottom w:val="nil"/>
              <w:right w:val="single" w:sz="4" w:space="0" w:color="auto"/>
            </w:tcBorders>
            <w:shd w:val="clear" w:color="000000" w:fill="D9D9D9"/>
            <w:noWrap/>
            <w:vAlign w:val="bottom"/>
          </w:tcPr>
          <w:p w14:paraId="009B6D30" w14:textId="6C7523FC"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SK-EPIS</w:t>
            </w:r>
          </w:p>
        </w:tc>
        <w:tc>
          <w:tcPr>
            <w:tcW w:w="570" w:type="dxa"/>
            <w:tcBorders>
              <w:top w:val="nil"/>
              <w:left w:val="nil"/>
              <w:bottom w:val="nil"/>
              <w:right w:val="single" w:sz="4" w:space="0" w:color="auto"/>
            </w:tcBorders>
            <w:shd w:val="clear" w:color="000000" w:fill="D9D9D9"/>
            <w:noWrap/>
            <w:vAlign w:val="bottom"/>
          </w:tcPr>
          <w:p w14:paraId="65B88E19" w14:textId="64F25CDA"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74302FBE" w14:textId="40E0FD06"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77A48F72" w14:textId="1257A341"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A</w:t>
            </w:r>
          </w:p>
        </w:tc>
        <w:tc>
          <w:tcPr>
            <w:tcW w:w="570" w:type="dxa"/>
            <w:tcBorders>
              <w:top w:val="nil"/>
              <w:left w:val="nil"/>
              <w:bottom w:val="nil"/>
              <w:right w:val="single" w:sz="4" w:space="0" w:color="auto"/>
            </w:tcBorders>
            <w:shd w:val="clear" w:color="000000" w:fill="D9D9D9"/>
            <w:noWrap/>
            <w:vAlign w:val="bottom"/>
          </w:tcPr>
          <w:p w14:paraId="7F1FF954" w14:textId="471EA072"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08AD0188" w14:textId="7CFE1937"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020752D" w14:textId="3B1A5116"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283C3716" w14:textId="7BA58770"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291A04A9" w14:textId="1849DAB6"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000000" w:fill="D9D9D9"/>
            <w:noWrap/>
            <w:vAlign w:val="bottom"/>
          </w:tcPr>
          <w:p w14:paraId="66318DAD" w14:textId="645837E1"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220773" w:rsidRPr="00995DD3" w14:paraId="2762DA9E" w14:textId="77777777" w:rsidTr="00891C4E">
        <w:trPr>
          <w:trHeight w:val="235"/>
        </w:trPr>
        <w:tc>
          <w:tcPr>
            <w:tcW w:w="1072" w:type="dxa"/>
            <w:tcBorders>
              <w:top w:val="nil"/>
              <w:left w:val="single" w:sz="4" w:space="0" w:color="000000"/>
              <w:bottom w:val="nil"/>
              <w:right w:val="single" w:sz="4" w:space="0" w:color="auto"/>
            </w:tcBorders>
            <w:shd w:val="clear" w:color="auto" w:fill="auto"/>
            <w:noWrap/>
            <w:vAlign w:val="bottom"/>
          </w:tcPr>
          <w:p w14:paraId="40CF7B85" w14:textId="2764A2A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Slovenia</w:t>
            </w:r>
          </w:p>
        </w:tc>
        <w:tc>
          <w:tcPr>
            <w:tcW w:w="2550" w:type="dxa"/>
            <w:tcBorders>
              <w:top w:val="nil"/>
              <w:left w:val="nil"/>
              <w:bottom w:val="nil"/>
              <w:right w:val="single" w:sz="4" w:space="0" w:color="auto"/>
            </w:tcBorders>
            <w:shd w:val="clear" w:color="auto" w:fill="auto"/>
            <w:noWrap/>
            <w:vAlign w:val="bottom"/>
          </w:tcPr>
          <w:p w14:paraId="72C27CD9" w14:textId="5AC1D549"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SI-SURVIVAL</w:t>
            </w:r>
          </w:p>
        </w:tc>
        <w:tc>
          <w:tcPr>
            <w:tcW w:w="570" w:type="dxa"/>
            <w:tcBorders>
              <w:top w:val="nil"/>
              <w:left w:val="nil"/>
              <w:bottom w:val="nil"/>
              <w:right w:val="single" w:sz="4" w:space="0" w:color="auto"/>
            </w:tcBorders>
            <w:shd w:val="clear" w:color="auto" w:fill="auto"/>
            <w:noWrap/>
            <w:vAlign w:val="bottom"/>
          </w:tcPr>
          <w:p w14:paraId="2A3C8160" w14:textId="592036D2"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6E3C131E" w14:textId="43E4064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11B65E89" w14:textId="1DD2CD62"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1C557255" w14:textId="3B1DE36C"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150FE213" w14:textId="04AA7044"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1D60B96A" w14:textId="19A1A5D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22B5C810" w14:textId="6964DBDC"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32C8DC43" w14:textId="5D537930"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nil"/>
              <w:right w:val="single" w:sz="4" w:space="0" w:color="000000"/>
            </w:tcBorders>
            <w:shd w:val="clear" w:color="auto" w:fill="auto"/>
            <w:noWrap/>
            <w:vAlign w:val="bottom"/>
          </w:tcPr>
          <w:p w14:paraId="5EB6D6FF" w14:textId="665D0059"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EU-2008</w:t>
            </w:r>
          </w:p>
        </w:tc>
      </w:tr>
      <w:tr w:rsidR="00D70C92" w:rsidRPr="00995DD3" w14:paraId="144658E8" w14:textId="77777777" w:rsidTr="00891C4E">
        <w:trPr>
          <w:trHeight w:val="235"/>
        </w:trPr>
        <w:tc>
          <w:tcPr>
            <w:tcW w:w="1072" w:type="dxa"/>
            <w:tcBorders>
              <w:top w:val="nil"/>
              <w:left w:val="single" w:sz="4" w:space="0" w:color="000000"/>
              <w:right w:val="single" w:sz="4" w:space="0" w:color="auto"/>
            </w:tcBorders>
            <w:shd w:val="clear" w:color="000000" w:fill="D9D9D9"/>
            <w:noWrap/>
            <w:vAlign w:val="bottom"/>
          </w:tcPr>
          <w:p w14:paraId="16699B0B" w14:textId="18E35557"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Spain</w:t>
            </w:r>
          </w:p>
        </w:tc>
        <w:tc>
          <w:tcPr>
            <w:tcW w:w="2550" w:type="dxa"/>
            <w:tcBorders>
              <w:top w:val="nil"/>
              <w:left w:val="nil"/>
              <w:right w:val="single" w:sz="4" w:space="0" w:color="auto"/>
            </w:tcBorders>
            <w:shd w:val="clear" w:color="000000" w:fill="D9D9D9"/>
            <w:noWrap/>
            <w:vAlign w:val="bottom"/>
          </w:tcPr>
          <w:p w14:paraId="6C6DBEF3" w14:textId="644D9982"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ES-STATUTORY_DISEASES</w:t>
            </w:r>
          </w:p>
        </w:tc>
        <w:tc>
          <w:tcPr>
            <w:tcW w:w="570" w:type="dxa"/>
            <w:tcBorders>
              <w:top w:val="nil"/>
              <w:left w:val="nil"/>
              <w:right w:val="single" w:sz="4" w:space="0" w:color="auto"/>
            </w:tcBorders>
            <w:shd w:val="clear" w:color="000000" w:fill="D9D9D9"/>
            <w:noWrap/>
            <w:vAlign w:val="bottom"/>
          </w:tcPr>
          <w:p w14:paraId="494354D5" w14:textId="10070531"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right w:val="single" w:sz="4" w:space="0" w:color="auto"/>
            </w:tcBorders>
            <w:shd w:val="clear" w:color="000000" w:fill="D9D9D9"/>
            <w:noWrap/>
            <w:vAlign w:val="bottom"/>
          </w:tcPr>
          <w:p w14:paraId="371A403A" w14:textId="785EF107"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right w:val="single" w:sz="4" w:space="0" w:color="auto"/>
            </w:tcBorders>
            <w:shd w:val="clear" w:color="000000" w:fill="D9D9D9"/>
            <w:noWrap/>
            <w:vAlign w:val="bottom"/>
          </w:tcPr>
          <w:p w14:paraId="051ECA8A" w14:textId="6D519DA4"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right w:val="single" w:sz="4" w:space="0" w:color="auto"/>
            </w:tcBorders>
            <w:shd w:val="clear" w:color="000000" w:fill="D9D9D9"/>
            <w:noWrap/>
            <w:vAlign w:val="bottom"/>
          </w:tcPr>
          <w:p w14:paraId="094CBEF7" w14:textId="6F197F68"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right w:val="single" w:sz="4" w:space="0" w:color="auto"/>
            </w:tcBorders>
            <w:shd w:val="clear" w:color="000000" w:fill="D9D9D9"/>
            <w:noWrap/>
            <w:vAlign w:val="bottom"/>
          </w:tcPr>
          <w:p w14:paraId="6046D15C" w14:textId="4039A919"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right w:val="single" w:sz="4" w:space="0" w:color="auto"/>
            </w:tcBorders>
            <w:shd w:val="clear" w:color="000000" w:fill="D9D9D9"/>
            <w:noWrap/>
            <w:vAlign w:val="bottom"/>
          </w:tcPr>
          <w:p w14:paraId="17DAA924" w14:textId="7F1908B5"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right w:val="single" w:sz="4" w:space="0" w:color="auto"/>
            </w:tcBorders>
            <w:shd w:val="clear" w:color="000000" w:fill="D9D9D9"/>
            <w:noWrap/>
            <w:vAlign w:val="bottom"/>
          </w:tcPr>
          <w:p w14:paraId="3A978113" w14:textId="7E7005C8"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right w:val="single" w:sz="4" w:space="0" w:color="auto"/>
            </w:tcBorders>
            <w:shd w:val="clear" w:color="000000" w:fill="D9D9D9"/>
            <w:noWrap/>
            <w:vAlign w:val="bottom"/>
          </w:tcPr>
          <w:p w14:paraId="613F9C2E" w14:textId="2A9AB794"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right w:val="single" w:sz="4" w:space="0" w:color="000000"/>
            </w:tcBorders>
            <w:shd w:val="clear" w:color="000000" w:fill="D9D9D9"/>
            <w:noWrap/>
            <w:vAlign w:val="bottom"/>
          </w:tcPr>
          <w:p w14:paraId="6057683A" w14:textId="0C816E3A"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r w:rsidR="00220773" w:rsidRPr="00995DD3" w14:paraId="26234B66" w14:textId="77777777" w:rsidTr="00891C4E">
        <w:trPr>
          <w:trHeight w:val="235"/>
        </w:trPr>
        <w:tc>
          <w:tcPr>
            <w:tcW w:w="1072" w:type="dxa"/>
            <w:tcBorders>
              <w:top w:val="nil"/>
              <w:left w:val="single" w:sz="4" w:space="0" w:color="000000"/>
              <w:bottom w:val="single" w:sz="4" w:space="0" w:color="000000"/>
              <w:right w:val="single" w:sz="4" w:space="0" w:color="auto"/>
            </w:tcBorders>
            <w:shd w:val="clear" w:color="auto" w:fill="auto"/>
            <w:noWrap/>
            <w:vAlign w:val="bottom"/>
          </w:tcPr>
          <w:p w14:paraId="69CD7BF8" w14:textId="5C6E6928"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Sweden</w:t>
            </w:r>
          </w:p>
        </w:tc>
        <w:tc>
          <w:tcPr>
            <w:tcW w:w="2550" w:type="dxa"/>
            <w:tcBorders>
              <w:top w:val="nil"/>
              <w:left w:val="nil"/>
              <w:bottom w:val="single" w:sz="4" w:space="0" w:color="000000"/>
              <w:right w:val="single" w:sz="4" w:space="0" w:color="auto"/>
            </w:tcBorders>
            <w:shd w:val="clear" w:color="auto" w:fill="auto"/>
            <w:noWrap/>
            <w:vAlign w:val="bottom"/>
          </w:tcPr>
          <w:p w14:paraId="0B19C212" w14:textId="12C50551"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SE-SMINET</w:t>
            </w:r>
          </w:p>
        </w:tc>
        <w:tc>
          <w:tcPr>
            <w:tcW w:w="570" w:type="dxa"/>
            <w:tcBorders>
              <w:top w:val="nil"/>
              <w:left w:val="nil"/>
              <w:bottom w:val="single" w:sz="4" w:space="0" w:color="000000"/>
              <w:right w:val="single" w:sz="4" w:space="0" w:color="auto"/>
            </w:tcBorders>
            <w:shd w:val="clear" w:color="auto" w:fill="auto"/>
            <w:noWrap/>
            <w:vAlign w:val="bottom"/>
          </w:tcPr>
          <w:p w14:paraId="7636F25F" w14:textId="2B69A97A"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Cp</w:t>
            </w:r>
          </w:p>
        </w:tc>
        <w:tc>
          <w:tcPr>
            <w:tcW w:w="570" w:type="dxa"/>
            <w:tcBorders>
              <w:top w:val="nil"/>
              <w:left w:val="nil"/>
              <w:bottom w:val="single" w:sz="4" w:space="0" w:color="000000"/>
              <w:right w:val="single" w:sz="4" w:space="0" w:color="auto"/>
            </w:tcBorders>
            <w:shd w:val="clear" w:color="auto" w:fill="auto"/>
            <w:noWrap/>
            <w:vAlign w:val="bottom"/>
          </w:tcPr>
          <w:p w14:paraId="34FD0B71" w14:textId="0F9777E1"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Co</w:t>
            </w:r>
          </w:p>
        </w:tc>
        <w:tc>
          <w:tcPr>
            <w:tcW w:w="570" w:type="dxa"/>
            <w:tcBorders>
              <w:top w:val="nil"/>
              <w:left w:val="nil"/>
              <w:bottom w:val="single" w:sz="4" w:space="0" w:color="000000"/>
              <w:right w:val="single" w:sz="4" w:space="0" w:color="auto"/>
            </w:tcBorders>
            <w:shd w:val="clear" w:color="auto" w:fill="auto"/>
            <w:noWrap/>
            <w:vAlign w:val="bottom"/>
          </w:tcPr>
          <w:p w14:paraId="6AACBB4D" w14:textId="40DE9BF3"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P</w:t>
            </w:r>
          </w:p>
        </w:tc>
        <w:tc>
          <w:tcPr>
            <w:tcW w:w="570" w:type="dxa"/>
            <w:tcBorders>
              <w:top w:val="nil"/>
              <w:left w:val="nil"/>
              <w:bottom w:val="single" w:sz="4" w:space="0" w:color="000000"/>
              <w:right w:val="single" w:sz="4" w:space="0" w:color="auto"/>
            </w:tcBorders>
            <w:shd w:val="clear" w:color="auto" w:fill="auto"/>
            <w:noWrap/>
            <w:vAlign w:val="bottom"/>
          </w:tcPr>
          <w:p w14:paraId="7F9A5D39" w14:textId="37118F5F"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C</w:t>
            </w:r>
          </w:p>
        </w:tc>
        <w:tc>
          <w:tcPr>
            <w:tcW w:w="570" w:type="dxa"/>
            <w:tcBorders>
              <w:top w:val="nil"/>
              <w:left w:val="nil"/>
              <w:bottom w:val="single" w:sz="4" w:space="0" w:color="000000"/>
              <w:right w:val="single" w:sz="4" w:space="0" w:color="auto"/>
            </w:tcBorders>
            <w:shd w:val="clear" w:color="auto" w:fill="auto"/>
            <w:noWrap/>
            <w:vAlign w:val="bottom"/>
          </w:tcPr>
          <w:p w14:paraId="5FF75542" w14:textId="37B5FE0A"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single" w:sz="4" w:space="0" w:color="000000"/>
              <w:right w:val="single" w:sz="4" w:space="0" w:color="auto"/>
            </w:tcBorders>
            <w:shd w:val="clear" w:color="auto" w:fill="auto"/>
            <w:noWrap/>
            <w:vAlign w:val="bottom"/>
          </w:tcPr>
          <w:p w14:paraId="2E8EA111" w14:textId="5BDF86E5"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Y</w:t>
            </w:r>
          </w:p>
        </w:tc>
        <w:tc>
          <w:tcPr>
            <w:tcW w:w="570" w:type="dxa"/>
            <w:tcBorders>
              <w:top w:val="nil"/>
              <w:left w:val="nil"/>
              <w:bottom w:val="single" w:sz="4" w:space="0" w:color="000000"/>
              <w:right w:val="single" w:sz="4" w:space="0" w:color="auto"/>
            </w:tcBorders>
            <w:shd w:val="clear" w:color="auto" w:fill="auto"/>
            <w:noWrap/>
            <w:vAlign w:val="bottom"/>
          </w:tcPr>
          <w:p w14:paraId="30C5C5B8" w14:textId="2946E10D"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570" w:type="dxa"/>
            <w:tcBorders>
              <w:top w:val="nil"/>
              <w:left w:val="nil"/>
              <w:bottom w:val="single" w:sz="4" w:space="0" w:color="000000"/>
              <w:right w:val="single" w:sz="4" w:space="0" w:color="auto"/>
            </w:tcBorders>
            <w:shd w:val="clear" w:color="auto" w:fill="auto"/>
            <w:noWrap/>
            <w:vAlign w:val="bottom"/>
          </w:tcPr>
          <w:p w14:paraId="2E3EF4B1" w14:textId="1F346BBE"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N</w:t>
            </w:r>
          </w:p>
        </w:tc>
        <w:tc>
          <w:tcPr>
            <w:tcW w:w="1640" w:type="dxa"/>
            <w:tcBorders>
              <w:top w:val="nil"/>
              <w:left w:val="nil"/>
              <w:bottom w:val="single" w:sz="4" w:space="0" w:color="000000"/>
              <w:right w:val="single" w:sz="4" w:space="0" w:color="000000"/>
            </w:tcBorders>
            <w:shd w:val="clear" w:color="auto" w:fill="auto"/>
            <w:noWrap/>
            <w:vAlign w:val="bottom"/>
          </w:tcPr>
          <w:p w14:paraId="403E03C4" w14:textId="39161E75" w:rsidR="00220773" w:rsidRPr="00995DD3" w:rsidRDefault="00220773" w:rsidP="00220773">
            <w:pPr>
              <w:spacing w:before="120" w:after="0"/>
              <w:rPr>
                <w:rFonts w:eastAsia="Times New Roman" w:cs="Tahoma"/>
                <w:sz w:val="14"/>
                <w:szCs w:val="14"/>
                <w:lang w:eastAsia="en-GB"/>
              </w:rPr>
            </w:pPr>
            <w:r w:rsidRPr="00995DD3">
              <w:rPr>
                <w:rFonts w:eastAsia="Times New Roman" w:cs="Tahoma"/>
                <w:sz w:val="14"/>
                <w:szCs w:val="14"/>
                <w:lang w:eastAsia="en-GB"/>
              </w:rPr>
              <w:t>EU-2018</w:t>
            </w:r>
          </w:p>
        </w:tc>
      </w:tr>
    </w:tbl>
    <w:p w14:paraId="2820168D" w14:textId="3966A518" w:rsidR="00AC0043" w:rsidRDefault="00AC0043">
      <w:pPr>
        <w:spacing w:after="200" w:line="276" w:lineRule="auto"/>
        <w:rPr>
          <w:rFonts w:eastAsia="Arial Unicode MS"/>
          <w:kern w:val="22"/>
          <w:szCs w:val="18"/>
        </w:rPr>
      </w:pPr>
      <w:r>
        <w:br w:type="page"/>
      </w:r>
    </w:p>
    <w:p w14:paraId="51C440E9" w14:textId="10BE0B0F" w:rsidR="00AC0043" w:rsidRPr="00D87F86" w:rsidRDefault="00AC0043" w:rsidP="009F5B73">
      <w:pPr>
        <w:pStyle w:val="EC-Title-5"/>
        <w:outlineLvl w:val="0"/>
        <w:rPr>
          <w:i/>
        </w:rPr>
      </w:pPr>
      <w:bookmarkStart w:id="38" w:name="_Toc437442017"/>
      <w:bookmarkStart w:id="39" w:name="_Toc127531823"/>
      <w:r w:rsidRPr="00D87F86">
        <w:lastRenderedPageBreak/>
        <w:t>Giardiasis</w:t>
      </w:r>
      <w:bookmarkEnd w:id="38"/>
      <w:r w:rsidR="007E3783" w:rsidRPr="00D87F86">
        <w:t xml:space="preserve"> (</w:t>
      </w:r>
      <w:proofErr w:type="spellStart"/>
      <w:r w:rsidR="00A605A9" w:rsidRPr="00D87F86">
        <w:t>l</w:t>
      </w:r>
      <w:r w:rsidR="007E3783" w:rsidRPr="00D87F86">
        <w:t>ambliasis</w:t>
      </w:r>
      <w:proofErr w:type="spellEnd"/>
      <w:r w:rsidR="007E3783" w:rsidRPr="00D87F86">
        <w:t>)</w:t>
      </w:r>
      <w:bookmarkEnd w:id="39"/>
    </w:p>
    <w:p w14:paraId="6B895183" w14:textId="0B0CE1FE" w:rsidR="00EE1F3C" w:rsidRPr="00A32FE1" w:rsidRDefault="00CB3144" w:rsidP="00EE1F3C">
      <w:pPr>
        <w:pStyle w:val="EC-Para"/>
        <w:jc w:val="right"/>
        <w:rPr>
          <w:b/>
          <w:lang w:eastAsia="en-US"/>
        </w:rPr>
      </w:pPr>
      <w:r>
        <w:rPr>
          <w:b/>
          <w:lang w:eastAsia="en-US"/>
        </w:rPr>
        <w:t>Last updated: 13 August 2024</w:t>
      </w:r>
    </w:p>
    <w:p w14:paraId="0E08FDDD" w14:textId="016791F6"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658462AF" w14:textId="77777777" w:rsidR="006F212C" w:rsidRPr="00D87F86" w:rsidRDefault="006F212C" w:rsidP="00D77D35">
      <w:pPr>
        <w:pStyle w:val="EC-Para"/>
        <w:jc w:val="right"/>
        <w:rPr>
          <w:b/>
          <w:lang w:eastAsia="en-US"/>
        </w:rPr>
      </w:pPr>
    </w:p>
    <w:p w14:paraId="69917316" w14:textId="60B5DB65" w:rsidR="00AC0043" w:rsidRPr="00D87F86" w:rsidRDefault="00AC0043" w:rsidP="00AC0043">
      <w:pPr>
        <w:autoSpaceDE w:val="0"/>
        <w:autoSpaceDN w:val="0"/>
        <w:adjustRightInd w:val="0"/>
        <w:spacing w:after="120"/>
        <w:jc w:val="both"/>
        <w:rPr>
          <w:rFonts w:cs="Tahoma"/>
          <w:szCs w:val="18"/>
        </w:rPr>
      </w:pPr>
      <w:r w:rsidRPr="00D87F86">
        <w:rPr>
          <w:rFonts w:cs="Tahoma"/>
          <w:szCs w:val="18"/>
        </w:rPr>
        <w:t xml:space="preserve">Giardiasis is </w:t>
      </w:r>
      <w:r w:rsidRPr="00D87F86">
        <w:rPr>
          <w:rFonts w:cs="Tahoma"/>
          <w:szCs w:val="18"/>
          <w:lang w:val="en"/>
        </w:rPr>
        <w:t>an</w:t>
      </w:r>
      <w:r w:rsidRPr="00D87F86">
        <w:rPr>
          <w:rFonts w:cs="Tahoma"/>
          <w:szCs w:val="18"/>
        </w:rPr>
        <w:t xml:space="preserve"> intestinal </w:t>
      </w:r>
      <w:r w:rsidRPr="00D87F86">
        <w:rPr>
          <w:rFonts w:cs="Tahoma"/>
          <w:bCs/>
          <w:szCs w:val="18"/>
        </w:rPr>
        <w:t>infection</w:t>
      </w:r>
      <w:r w:rsidRPr="00D87F86">
        <w:rPr>
          <w:rFonts w:cs="Tahoma"/>
          <w:szCs w:val="18"/>
        </w:rPr>
        <w:t xml:space="preserve"> caused by ingestion of cysts from the protozoan </w:t>
      </w:r>
      <w:r w:rsidRPr="00D87F86">
        <w:rPr>
          <w:rFonts w:cs="Tahoma"/>
          <w:bCs/>
          <w:i/>
          <w:szCs w:val="18"/>
        </w:rPr>
        <w:t>Giardia</w:t>
      </w:r>
      <w:r w:rsidRPr="00D87F86">
        <w:rPr>
          <w:rFonts w:cs="Tahoma"/>
          <w:i/>
          <w:szCs w:val="18"/>
        </w:rPr>
        <w:t xml:space="preserve"> lamblia </w:t>
      </w:r>
      <w:r w:rsidRPr="00D87F86">
        <w:rPr>
          <w:rFonts w:cs="Tahoma"/>
          <w:szCs w:val="18"/>
          <w:lang w:val="en"/>
        </w:rPr>
        <w:t>(</w:t>
      </w:r>
      <w:r w:rsidRPr="00D87F86">
        <w:rPr>
          <w:rFonts w:cs="Tahoma"/>
          <w:bCs/>
          <w:i/>
          <w:szCs w:val="18"/>
        </w:rPr>
        <w:t xml:space="preserve">Giardia intestinalis </w:t>
      </w:r>
      <w:r w:rsidRPr="00D87F86">
        <w:rPr>
          <w:rFonts w:cs="Tahoma"/>
          <w:bCs/>
          <w:szCs w:val="18"/>
        </w:rPr>
        <w:t>and</w:t>
      </w:r>
      <w:r w:rsidRPr="00D87F86">
        <w:rPr>
          <w:rFonts w:cs="Tahoma"/>
          <w:bCs/>
          <w:i/>
          <w:szCs w:val="18"/>
        </w:rPr>
        <w:t xml:space="preserve"> Giardia </w:t>
      </w:r>
      <w:proofErr w:type="spellStart"/>
      <w:r w:rsidRPr="00D87F86">
        <w:rPr>
          <w:rFonts w:cs="Tahoma"/>
          <w:bCs/>
          <w:i/>
          <w:szCs w:val="18"/>
        </w:rPr>
        <w:t>duodenalis</w:t>
      </w:r>
      <w:proofErr w:type="spellEnd"/>
      <w:r w:rsidRPr="00D87F86">
        <w:rPr>
          <w:rFonts w:cs="Tahoma"/>
          <w:szCs w:val="18"/>
          <w:lang w:val="en"/>
        </w:rPr>
        <w:t xml:space="preserve"> are synonyms)</w:t>
      </w:r>
      <w:r w:rsidRPr="00D87F86">
        <w:rPr>
          <w:i/>
          <w:iCs/>
        </w:rPr>
        <w:t xml:space="preserve">. </w:t>
      </w:r>
      <w:r w:rsidRPr="00D87F86">
        <w:rPr>
          <w:rFonts w:cs="Tahoma"/>
          <w:szCs w:val="18"/>
          <w:lang w:val="en"/>
        </w:rPr>
        <w:t>For</w:t>
      </w:r>
      <w:r w:rsidRPr="00D87F86">
        <w:rPr>
          <w:rFonts w:eastAsiaTheme="minorHAnsi" w:cs="Tahoma"/>
          <w:szCs w:val="18"/>
        </w:rPr>
        <w:t xml:space="preserve"> a more detailed description of the disease and its epidemiology, please </w:t>
      </w:r>
      <w:r w:rsidRPr="009D4D86">
        <w:rPr>
          <w:rFonts w:eastAsiaTheme="minorHAnsi" w:cs="Tahoma"/>
          <w:szCs w:val="18"/>
        </w:rPr>
        <w:t>click</w:t>
      </w:r>
      <w:r w:rsidRPr="009D4D86">
        <w:rPr>
          <w:rFonts w:cs="Tahoma"/>
          <w:szCs w:val="18"/>
        </w:rPr>
        <w:t xml:space="preserve"> </w:t>
      </w:r>
      <w:hyperlink r:id="rId37" w:history="1">
        <w:r w:rsidRPr="009D4D86">
          <w:rPr>
            <w:rStyle w:val="Hyperlink"/>
            <w:i/>
            <w:sz w:val="18"/>
            <w:szCs w:val="18"/>
          </w:rPr>
          <w:t>here</w:t>
        </w:r>
      </w:hyperlink>
      <w:r w:rsidRPr="009D4D86">
        <w:rPr>
          <w:rStyle w:val="Hyperlink"/>
          <w:i/>
          <w:sz w:val="18"/>
          <w:szCs w:val="18"/>
        </w:rPr>
        <w:t>.</w:t>
      </w:r>
      <w:r w:rsidRPr="00D87F86">
        <w:rPr>
          <w:rStyle w:val="Hyperlink"/>
          <w:i/>
        </w:rPr>
        <w:t xml:space="preserve">  </w:t>
      </w:r>
    </w:p>
    <w:p w14:paraId="0BF905DC" w14:textId="77777777" w:rsidR="00AC0043" w:rsidRPr="00D87F86" w:rsidRDefault="00AC0043" w:rsidP="009F5B73">
      <w:pPr>
        <w:pStyle w:val="EC-Title-6"/>
        <w:outlineLvl w:val="1"/>
        <w:rPr>
          <w:rFonts w:cs="Tahoma"/>
        </w:rPr>
      </w:pPr>
      <w:r w:rsidRPr="00D87F86">
        <w:rPr>
          <w:rFonts w:cs="Tahoma"/>
        </w:rPr>
        <w:t>Data</w:t>
      </w:r>
    </w:p>
    <w:p w14:paraId="6B628DDB" w14:textId="033CC8D7" w:rsidR="00AC0043" w:rsidRPr="00D87F86" w:rsidRDefault="00AC0043" w:rsidP="00AC0043">
      <w:pPr>
        <w:pStyle w:val="EC-Para"/>
        <w:jc w:val="both"/>
        <w:rPr>
          <w:rFonts w:cs="Tahoma"/>
        </w:rPr>
      </w:pPr>
      <w:r w:rsidRPr="00D87F86">
        <w:rPr>
          <w:rFonts w:cs="Tahoma"/>
        </w:rPr>
        <w:t xml:space="preserve">The Surveillance Atlas of Infectious Diseases displays data on giardiasis reported by the </w:t>
      </w:r>
      <w:r w:rsidR="00E75405" w:rsidRPr="00D87F86">
        <w:rPr>
          <w:rFonts w:cs="Tahoma"/>
        </w:rPr>
        <w:t>EU/EEA countries</w:t>
      </w:r>
      <w:r w:rsidRPr="00D87F86">
        <w:rPr>
          <w:rFonts w:cs="Tahoma"/>
        </w:rPr>
        <w:t>. Cases should be reported according to the 201</w:t>
      </w:r>
      <w:r w:rsidR="00F53BCA" w:rsidRPr="00D87F86">
        <w:rPr>
          <w:rFonts w:cs="Tahoma"/>
        </w:rPr>
        <w:t>8</w:t>
      </w:r>
      <w:r w:rsidRPr="00D87F86">
        <w:rPr>
          <w:rFonts w:cs="Tahoma"/>
        </w:rPr>
        <w:t xml:space="preserve"> EU case definition for giardiasis</w:t>
      </w:r>
      <w:r w:rsidR="00A605A9" w:rsidRPr="00D87F86">
        <w:rPr>
          <w:rFonts w:cs="Tahoma"/>
        </w:rPr>
        <w:t xml:space="preserve"> </w:t>
      </w:r>
      <w:proofErr w:type="spellStart"/>
      <w:r w:rsidR="00A605A9" w:rsidRPr="00D87F86">
        <w:rPr>
          <w:rFonts w:cs="Tahoma"/>
        </w:rPr>
        <w:t>lambliasis</w:t>
      </w:r>
      <w:proofErr w:type="spellEnd"/>
      <w:r w:rsidRPr="00D87F86">
        <w:rPr>
          <w:rStyle w:val="FootnoteReference"/>
          <w:rFonts w:eastAsiaTheme="minorHAnsi" w:cs="Tahoma"/>
          <w:szCs w:val="20"/>
          <w:lang w:eastAsia="en-US"/>
        </w:rPr>
        <w:footnoteReference w:id="18"/>
      </w:r>
      <w:r w:rsidRPr="00D87F86">
        <w:rPr>
          <w:rFonts w:cs="Tahoma"/>
        </w:rPr>
        <w:t>:</w:t>
      </w:r>
    </w:p>
    <w:p w14:paraId="3EE8E898" w14:textId="77777777" w:rsidR="00AC0043" w:rsidRPr="00D87F86" w:rsidRDefault="00AC0043" w:rsidP="00AC0043">
      <w:pPr>
        <w:autoSpaceDE w:val="0"/>
        <w:autoSpaceDN w:val="0"/>
        <w:adjustRightInd w:val="0"/>
        <w:spacing w:before="60" w:after="60"/>
        <w:rPr>
          <w:rFonts w:eastAsiaTheme="minorHAnsi" w:cs="Tahoma"/>
          <w:b/>
          <w:bCs/>
          <w:color w:val="000000"/>
          <w:szCs w:val="18"/>
        </w:rPr>
      </w:pPr>
    </w:p>
    <w:p w14:paraId="082FE790"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b/>
          <w:bCs/>
          <w:color w:val="000000"/>
          <w:szCs w:val="18"/>
        </w:rPr>
        <w:t xml:space="preserve">Clinical criteria </w:t>
      </w:r>
    </w:p>
    <w:p w14:paraId="30D338B5"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Any person with at least one of the following four: </w:t>
      </w:r>
    </w:p>
    <w:p w14:paraId="323356D7"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w:t>
      </w:r>
      <w:proofErr w:type="gramStart"/>
      <w:r w:rsidRPr="00D87F86">
        <w:rPr>
          <w:rFonts w:eastAsiaTheme="minorHAnsi" w:cs="Tahoma"/>
          <w:color w:val="000000"/>
          <w:szCs w:val="18"/>
        </w:rPr>
        <w:t>Diarrhoea;</w:t>
      </w:r>
      <w:proofErr w:type="gramEnd"/>
      <w:r w:rsidRPr="00D87F86">
        <w:rPr>
          <w:rFonts w:eastAsiaTheme="minorHAnsi" w:cs="Tahoma"/>
          <w:color w:val="000000"/>
          <w:szCs w:val="18"/>
        </w:rPr>
        <w:t xml:space="preserve"> </w:t>
      </w:r>
    </w:p>
    <w:p w14:paraId="76973CD6"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Abdominal </w:t>
      </w:r>
      <w:proofErr w:type="gramStart"/>
      <w:r w:rsidRPr="00D87F86">
        <w:rPr>
          <w:rFonts w:eastAsiaTheme="minorHAnsi" w:cs="Tahoma"/>
          <w:color w:val="000000"/>
          <w:szCs w:val="18"/>
        </w:rPr>
        <w:t>pain;</w:t>
      </w:r>
      <w:proofErr w:type="gramEnd"/>
      <w:r w:rsidRPr="00D87F86">
        <w:rPr>
          <w:rFonts w:eastAsiaTheme="minorHAnsi" w:cs="Tahoma"/>
          <w:color w:val="000000"/>
          <w:szCs w:val="18"/>
        </w:rPr>
        <w:t xml:space="preserve"> </w:t>
      </w:r>
    </w:p>
    <w:p w14:paraId="2305C991"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w:t>
      </w:r>
      <w:proofErr w:type="gramStart"/>
      <w:r w:rsidRPr="00D87F86">
        <w:rPr>
          <w:rFonts w:eastAsiaTheme="minorHAnsi" w:cs="Tahoma"/>
          <w:color w:val="000000"/>
          <w:szCs w:val="18"/>
        </w:rPr>
        <w:t>Bloating;</w:t>
      </w:r>
      <w:proofErr w:type="gramEnd"/>
      <w:r w:rsidRPr="00D87F86">
        <w:rPr>
          <w:rFonts w:eastAsiaTheme="minorHAnsi" w:cs="Tahoma"/>
          <w:color w:val="000000"/>
          <w:szCs w:val="18"/>
        </w:rPr>
        <w:t xml:space="preserve"> </w:t>
      </w:r>
    </w:p>
    <w:p w14:paraId="301281D7"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Signs of malabsorption (e.g. </w:t>
      </w:r>
      <w:proofErr w:type="spellStart"/>
      <w:r w:rsidRPr="00D87F86">
        <w:rPr>
          <w:rFonts w:eastAsiaTheme="minorHAnsi" w:cs="Tahoma"/>
          <w:color w:val="000000"/>
          <w:szCs w:val="18"/>
        </w:rPr>
        <w:t>steatorrhoea</w:t>
      </w:r>
      <w:proofErr w:type="spellEnd"/>
      <w:r w:rsidRPr="00D87F86">
        <w:rPr>
          <w:rFonts w:eastAsiaTheme="minorHAnsi" w:cs="Tahoma"/>
          <w:color w:val="000000"/>
          <w:szCs w:val="18"/>
        </w:rPr>
        <w:t>, weight loss).</w:t>
      </w:r>
    </w:p>
    <w:p w14:paraId="510BD77E"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b/>
          <w:bCs/>
          <w:color w:val="000000"/>
          <w:szCs w:val="18"/>
        </w:rPr>
        <w:t xml:space="preserve">Laboratory criteria </w:t>
      </w:r>
    </w:p>
    <w:p w14:paraId="4E56D410"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At least one of the following two: </w:t>
      </w:r>
    </w:p>
    <w:p w14:paraId="74125B1A" w14:textId="23F9391E"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Demonstration of </w:t>
      </w:r>
      <w:r w:rsidRPr="00D87F86">
        <w:rPr>
          <w:rFonts w:eastAsiaTheme="minorHAnsi" w:cs="Tahoma"/>
          <w:i/>
          <w:iCs/>
          <w:color w:val="000000"/>
          <w:szCs w:val="18"/>
        </w:rPr>
        <w:t xml:space="preserve">Giardia lamblia </w:t>
      </w:r>
      <w:r w:rsidRPr="00D87F86">
        <w:rPr>
          <w:rFonts w:eastAsiaTheme="minorHAnsi" w:cs="Tahoma"/>
          <w:color w:val="000000"/>
          <w:szCs w:val="18"/>
        </w:rPr>
        <w:t xml:space="preserve">cysts or trophozoites in stool, duodenal fluid or small-bowel </w:t>
      </w:r>
      <w:proofErr w:type="gramStart"/>
      <w:r w:rsidRPr="00D87F86">
        <w:rPr>
          <w:rFonts w:eastAsiaTheme="minorHAnsi" w:cs="Tahoma"/>
          <w:color w:val="000000"/>
          <w:szCs w:val="18"/>
        </w:rPr>
        <w:t>biopsy;</w:t>
      </w:r>
      <w:proofErr w:type="gramEnd"/>
      <w:r w:rsidRPr="00D87F86">
        <w:rPr>
          <w:rFonts w:eastAsiaTheme="minorHAnsi" w:cs="Tahoma"/>
          <w:color w:val="000000"/>
          <w:szCs w:val="18"/>
        </w:rPr>
        <w:t xml:space="preserve"> </w:t>
      </w:r>
    </w:p>
    <w:p w14:paraId="4278E92D" w14:textId="77777777" w:rsidR="007E3783" w:rsidRPr="00D87F86" w:rsidRDefault="007E3783" w:rsidP="00AC0043">
      <w:pPr>
        <w:autoSpaceDE w:val="0"/>
        <w:autoSpaceDN w:val="0"/>
        <w:adjustRightInd w:val="0"/>
        <w:spacing w:before="60" w:after="60"/>
        <w:rPr>
          <w:szCs w:val="18"/>
        </w:rPr>
      </w:pPr>
      <w:r w:rsidRPr="00D87F86">
        <w:rPr>
          <w:szCs w:val="18"/>
        </w:rPr>
        <w:t xml:space="preserve">— Demonstration of </w:t>
      </w:r>
      <w:r w:rsidRPr="00D87F86">
        <w:rPr>
          <w:i/>
          <w:szCs w:val="18"/>
        </w:rPr>
        <w:t>Giardia lamblia</w:t>
      </w:r>
      <w:r w:rsidRPr="00D87F86">
        <w:rPr>
          <w:szCs w:val="18"/>
        </w:rPr>
        <w:t xml:space="preserve"> antigen in stool, duodenal fluid or small-bowel biopsy </w:t>
      </w:r>
    </w:p>
    <w:p w14:paraId="69E4536F" w14:textId="2AA49A28" w:rsidR="007E3783" w:rsidRPr="00D87F86" w:rsidRDefault="007E3783" w:rsidP="00AC0043">
      <w:pPr>
        <w:autoSpaceDE w:val="0"/>
        <w:autoSpaceDN w:val="0"/>
        <w:adjustRightInd w:val="0"/>
        <w:spacing w:before="60" w:after="60"/>
        <w:rPr>
          <w:rFonts w:eastAsiaTheme="minorHAnsi" w:cs="Tahoma"/>
          <w:color w:val="000000"/>
          <w:szCs w:val="18"/>
        </w:rPr>
      </w:pPr>
      <w:r w:rsidRPr="00D87F86">
        <w:rPr>
          <w:szCs w:val="18"/>
        </w:rPr>
        <w:t xml:space="preserve">— Detection of </w:t>
      </w:r>
      <w:r w:rsidRPr="00D87F86">
        <w:rPr>
          <w:i/>
          <w:szCs w:val="18"/>
        </w:rPr>
        <w:t>Giardia lamblia</w:t>
      </w:r>
      <w:r w:rsidRPr="00D87F86">
        <w:rPr>
          <w:szCs w:val="18"/>
        </w:rPr>
        <w:t xml:space="preserve"> nucleic acid in stool, duodenal fluid or small-bowel biopsy</w:t>
      </w:r>
    </w:p>
    <w:p w14:paraId="04CE6DDA"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b/>
          <w:bCs/>
          <w:color w:val="000000"/>
          <w:szCs w:val="18"/>
        </w:rPr>
        <w:t xml:space="preserve">Epidemiological criteria </w:t>
      </w:r>
    </w:p>
    <w:p w14:paraId="7E58F545"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At least one of the following four epidemiological links: </w:t>
      </w:r>
    </w:p>
    <w:p w14:paraId="35C6574C"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Exposure to contaminated food/drinking </w:t>
      </w:r>
      <w:proofErr w:type="gramStart"/>
      <w:r w:rsidRPr="00D87F86">
        <w:rPr>
          <w:rFonts w:eastAsiaTheme="minorHAnsi" w:cs="Tahoma"/>
          <w:color w:val="000000"/>
          <w:szCs w:val="18"/>
        </w:rPr>
        <w:t>water;</w:t>
      </w:r>
      <w:proofErr w:type="gramEnd"/>
      <w:r w:rsidRPr="00D87F86">
        <w:rPr>
          <w:rFonts w:eastAsiaTheme="minorHAnsi" w:cs="Tahoma"/>
          <w:color w:val="000000"/>
          <w:szCs w:val="18"/>
        </w:rPr>
        <w:t xml:space="preserve"> </w:t>
      </w:r>
    </w:p>
    <w:p w14:paraId="150FC293" w14:textId="293A5C16"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Human</w:t>
      </w:r>
      <w:r w:rsidR="004C16D7" w:rsidRPr="00D87F86">
        <w:rPr>
          <w:rFonts w:eastAsiaTheme="minorHAnsi" w:cs="Tahoma"/>
          <w:color w:val="000000"/>
          <w:szCs w:val="18"/>
        </w:rPr>
        <w:t xml:space="preserve"> </w:t>
      </w:r>
      <w:r w:rsidRPr="00D87F86">
        <w:rPr>
          <w:rFonts w:eastAsiaTheme="minorHAnsi" w:cs="Tahoma"/>
          <w:color w:val="000000"/>
          <w:szCs w:val="18"/>
        </w:rPr>
        <w:t>to</w:t>
      </w:r>
      <w:r w:rsidR="004C16D7" w:rsidRPr="00D87F86">
        <w:rPr>
          <w:rFonts w:eastAsiaTheme="minorHAnsi" w:cs="Tahoma"/>
          <w:color w:val="000000"/>
          <w:szCs w:val="18"/>
        </w:rPr>
        <w:t xml:space="preserve"> </w:t>
      </w:r>
      <w:r w:rsidRPr="00D87F86">
        <w:rPr>
          <w:rFonts w:eastAsiaTheme="minorHAnsi" w:cs="Tahoma"/>
          <w:color w:val="000000"/>
          <w:szCs w:val="18"/>
        </w:rPr>
        <w:t xml:space="preserve">human </w:t>
      </w:r>
      <w:proofErr w:type="gramStart"/>
      <w:r w:rsidRPr="00D87F86">
        <w:rPr>
          <w:rFonts w:eastAsiaTheme="minorHAnsi" w:cs="Tahoma"/>
          <w:color w:val="000000"/>
          <w:szCs w:val="18"/>
        </w:rPr>
        <w:t>transmission;</w:t>
      </w:r>
      <w:proofErr w:type="gramEnd"/>
    </w:p>
    <w:p w14:paraId="18A82B37"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Exposure to a common </w:t>
      </w:r>
      <w:proofErr w:type="gramStart"/>
      <w:r w:rsidRPr="00D87F86">
        <w:rPr>
          <w:rFonts w:eastAsiaTheme="minorHAnsi" w:cs="Tahoma"/>
          <w:color w:val="000000"/>
          <w:szCs w:val="18"/>
        </w:rPr>
        <w:t>source;</w:t>
      </w:r>
      <w:proofErr w:type="gramEnd"/>
      <w:r w:rsidRPr="00D87F86">
        <w:rPr>
          <w:rFonts w:eastAsiaTheme="minorHAnsi" w:cs="Tahoma"/>
          <w:color w:val="000000"/>
          <w:szCs w:val="18"/>
        </w:rPr>
        <w:t xml:space="preserve"> </w:t>
      </w:r>
    </w:p>
    <w:p w14:paraId="068E9E19"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Environmental exposure.</w:t>
      </w:r>
    </w:p>
    <w:p w14:paraId="2853D2A4" w14:textId="77777777" w:rsidR="00AC0043" w:rsidRPr="00D87F86" w:rsidRDefault="00AC0043" w:rsidP="00AC0043">
      <w:pPr>
        <w:autoSpaceDE w:val="0"/>
        <w:autoSpaceDN w:val="0"/>
        <w:adjustRightInd w:val="0"/>
        <w:spacing w:before="60" w:after="60"/>
        <w:rPr>
          <w:rFonts w:ascii="EUAlbertina" w:eastAsiaTheme="minorHAnsi" w:hAnsi="EUAlbertina" w:cs="EUAlbertina"/>
          <w:color w:val="000000"/>
          <w:sz w:val="24"/>
        </w:rPr>
      </w:pPr>
    </w:p>
    <w:p w14:paraId="32C4A1D7" w14:textId="336AF9AC" w:rsidR="00AC0043" w:rsidRPr="00D87F86" w:rsidRDefault="00AC0043" w:rsidP="00AC0043">
      <w:pPr>
        <w:pStyle w:val="CM4"/>
        <w:spacing w:before="60" w:after="60"/>
        <w:rPr>
          <w:rFonts w:ascii="Tahoma" w:hAnsi="Tahoma" w:cs="Tahoma"/>
          <w:b/>
          <w:sz w:val="18"/>
          <w:szCs w:val="18"/>
        </w:rPr>
      </w:pPr>
      <w:r w:rsidRPr="00D87F86">
        <w:rPr>
          <w:rFonts w:ascii="Tahoma" w:hAnsi="Tahoma" w:cs="Tahoma"/>
          <w:b/>
          <w:sz w:val="18"/>
          <w:szCs w:val="18"/>
        </w:rPr>
        <w:t>Case classification</w:t>
      </w:r>
    </w:p>
    <w:p w14:paraId="29F901B2" w14:textId="62C5BB45" w:rsidR="001D7588" w:rsidRPr="00D87F86" w:rsidRDefault="001D7588" w:rsidP="00D87F86">
      <w:pPr>
        <w:pStyle w:val="Default"/>
        <w:rPr>
          <w:rFonts w:ascii="Tahoma" w:hAnsi="Tahoma" w:cs="Tahoma"/>
          <w:sz w:val="18"/>
          <w:szCs w:val="18"/>
        </w:rPr>
      </w:pPr>
      <w:r w:rsidRPr="00D87F86">
        <w:rPr>
          <w:rFonts w:ascii="Tahoma" w:hAnsi="Tahoma" w:cs="Tahoma"/>
          <w:sz w:val="18"/>
          <w:szCs w:val="18"/>
        </w:rPr>
        <w:t>A. Possible case: NA</w:t>
      </w:r>
    </w:p>
    <w:p w14:paraId="3C817ACA"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A. </w:t>
      </w:r>
      <w:r w:rsidRPr="00D87F86">
        <w:rPr>
          <w:rFonts w:eastAsiaTheme="minorHAnsi" w:cs="Tahoma"/>
          <w:bCs/>
          <w:color w:val="000000"/>
          <w:szCs w:val="18"/>
        </w:rPr>
        <w:t xml:space="preserve">Probable case: </w:t>
      </w:r>
      <w:r w:rsidRPr="00D87F86">
        <w:rPr>
          <w:rFonts w:eastAsiaTheme="minorHAnsi" w:cs="Tahoma"/>
          <w:color w:val="000000"/>
          <w:szCs w:val="18"/>
        </w:rPr>
        <w:t>Any person meeting the clinical criteria with an epidemiological link</w:t>
      </w:r>
    </w:p>
    <w:p w14:paraId="4E506E60"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B. </w:t>
      </w:r>
      <w:r w:rsidRPr="00D87F86">
        <w:rPr>
          <w:rFonts w:eastAsiaTheme="minorHAnsi" w:cs="Tahoma"/>
          <w:bCs/>
          <w:color w:val="000000"/>
          <w:szCs w:val="18"/>
        </w:rPr>
        <w:t xml:space="preserve">Confirmed case: </w:t>
      </w:r>
      <w:r w:rsidRPr="00D87F86">
        <w:rPr>
          <w:rFonts w:eastAsiaTheme="minorHAnsi" w:cs="Tahoma"/>
          <w:szCs w:val="18"/>
        </w:rPr>
        <w:t>Any person meeting the clinical and the laboratory criteria</w:t>
      </w:r>
    </w:p>
    <w:p w14:paraId="7EA72E4A" w14:textId="7FB9946D" w:rsidR="00AC0043" w:rsidRPr="00D87F86" w:rsidRDefault="00AC0043" w:rsidP="00AC0043">
      <w:pPr>
        <w:pStyle w:val="Default"/>
        <w:rPr>
          <w:rFonts w:ascii="Tahoma" w:eastAsiaTheme="minorHAnsi" w:hAnsi="Tahoma" w:cs="Tahoma"/>
          <w:sz w:val="18"/>
          <w:szCs w:val="18"/>
          <w:lang w:eastAsia="en-US"/>
        </w:rPr>
      </w:pPr>
    </w:p>
    <w:p w14:paraId="0D800F50" w14:textId="32198468" w:rsidR="001D7588" w:rsidRPr="00D87F86" w:rsidRDefault="001D7588" w:rsidP="00AC0043">
      <w:pPr>
        <w:pStyle w:val="Default"/>
        <w:rPr>
          <w:rFonts w:ascii="Tahoma" w:eastAsiaTheme="minorHAnsi" w:hAnsi="Tahoma" w:cs="Tahoma"/>
          <w:sz w:val="18"/>
          <w:szCs w:val="18"/>
          <w:lang w:eastAsia="en-US"/>
        </w:rPr>
      </w:pPr>
      <w:r w:rsidRPr="00D87F86">
        <w:rPr>
          <w:rFonts w:ascii="Tahoma" w:hAnsi="Tahoma" w:cs="Tahoma"/>
          <w:sz w:val="18"/>
          <w:szCs w:val="18"/>
        </w:rPr>
        <w:t>Note: If the national surveillance system is not capturing clinical symptoms, all laboratory-confirmed individuals should be reported as confirmed cases.</w:t>
      </w:r>
    </w:p>
    <w:p w14:paraId="6BC162AD" w14:textId="77777777" w:rsidR="001D7588" w:rsidRPr="00D87F86" w:rsidRDefault="001D7588" w:rsidP="00AC0043">
      <w:pPr>
        <w:pStyle w:val="Default"/>
        <w:rPr>
          <w:rFonts w:ascii="Tahoma" w:eastAsiaTheme="minorHAnsi" w:hAnsi="Tahoma" w:cs="Tahoma"/>
          <w:sz w:val="18"/>
          <w:szCs w:val="18"/>
          <w:lang w:eastAsia="en-US"/>
        </w:rPr>
      </w:pPr>
    </w:p>
    <w:p w14:paraId="3BAEA289" w14:textId="77777777" w:rsidR="00D87F86" w:rsidRPr="00D87F86" w:rsidRDefault="00D87F86" w:rsidP="00D87F86">
      <w:pPr>
        <w:pStyle w:val="EC-Para"/>
        <w:spacing w:after="0" w:line="240" w:lineRule="auto"/>
        <w:jc w:val="both"/>
        <w:rPr>
          <w:rFonts w:cs="Tahoma"/>
        </w:rPr>
      </w:pPr>
      <w:r w:rsidRPr="00D87F86">
        <w:rPr>
          <w:rFonts w:cs="Tahoma"/>
        </w:rPr>
        <w:t>------------------------</w:t>
      </w:r>
    </w:p>
    <w:p w14:paraId="564AC98D" w14:textId="54322620" w:rsidR="009209CA" w:rsidRPr="00D87F86" w:rsidRDefault="00D87F86" w:rsidP="00D87F86">
      <w:pPr>
        <w:pStyle w:val="EC-Para"/>
        <w:spacing w:after="0" w:line="240" w:lineRule="auto"/>
        <w:jc w:val="both"/>
        <w:rPr>
          <w:lang w:eastAsia="en-US"/>
        </w:rPr>
      </w:pPr>
      <w:r w:rsidRPr="00D87F86">
        <w:rPr>
          <w:rFonts w:cs="Tahoma"/>
        </w:rPr>
        <w:t xml:space="preserve"> (</w:t>
      </w:r>
      <w:r w:rsidR="009209CA" w:rsidRPr="00D87F86">
        <w:rPr>
          <w:rFonts w:cs="Tahoma"/>
        </w:rPr>
        <w:t>C</w:t>
      </w:r>
      <w:r w:rsidR="009209CA" w:rsidRPr="00D87F86">
        <w:rPr>
          <w:lang w:eastAsia="en-US"/>
        </w:rPr>
        <w:t>ompared to the 2008 and 2012 EU case definition, the 2018 EU case definition allows genotypic tests for laboratory confirmation and includes more clinical specimens in the laboratory criteria. The note is also a new addition.</w:t>
      </w:r>
      <w:r w:rsidRPr="00D87F86">
        <w:rPr>
          <w:lang w:eastAsia="en-US"/>
        </w:rPr>
        <w:t>)</w:t>
      </w:r>
    </w:p>
    <w:p w14:paraId="6EA7CFC8" w14:textId="071028EC" w:rsidR="00AC0043" w:rsidRDefault="00AC0043" w:rsidP="00AC0043">
      <w:pPr>
        <w:pStyle w:val="EC-Para"/>
        <w:spacing w:after="0" w:line="240" w:lineRule="auto"/>
        <w:jc w:val="both"/>
        <w:rPr>
          <w:rFonts w:cs="Tahoma"/>
        </w:rPr>
      </w:pPr>
      <w:r w:rsidRPr="00D87F86">
        <w:rPr>
          <w:rFonts w:cs="Tahoma"/>
        </w:rPr>
        <w:t xml:space="preserve"> </w:t>
      </w:r>
    </w:p>
    <w:p w14:paraId="36DB1216" w14:textId="77777777" w:rsidR="00AC0043" w:rsidRDefault="00AC0043" w:rsidP="00AC0043">
      <w:pPr>
        <w:pStyle w:val="EC-Para"/>
        <w:spacing w:after="0" w:line="240" w:lineRule="auto"/>
        <w:jc w:val="both"/>
        <w:rPr>
          <w:color w:val="FF0000"/>
          <w:lang w:eastAsia="en-US"/>
        </w:rPr>
      </w:pPr>
    </w:p>
    <w:p w14:paraId="0D519529" w14:textId="77777777" w:rsidR="00AC0043" w:rsidRPr="00452AF8" w:rsidRDefault="00AC0043" w:rsidP="00BB3C4B">
      <w:pPr>
        <w:pStyle w:val="EC-Title-6"/>
      </w:pPr>
      <w:r w:rsidRPr="00BD0ACE">
        <w:t xml:space="preserve">Data collection and analysis </w:t>
      </w:r>
    </w:p>
    <w:p w14:paraId="0DD3FE18" w14:textId="1C5B7645" w:rsidR="00AC0043" w:rsidRDefault="00AC0043" w:rsidP="00AC004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w:t>
      </w:r>
      <w:r w:rsidR="00A51BAC">
        <w:rPr>
          <w:rFonts w:cs="Tahoma"/>
        </w:rPr>
        <w:t xml:space="preserve"> EU/EEA countries</w:t>
      </w:r>
      <w:r>
        <w:rPr>
          <w:rFonts w:cs="Tahoma"/>
        </w:rPr>
        <w:t>. C</w:t>
      </w:r>
      <w:r>
        <w:t xml:space="preserve">ountry population denominators </w:t>
      </w:r>
      <w:r>
        <w:lastRenderedPageBreak/>
        <w:t>by age group for the calculation of notification rates were obtained from Eurostat</w:t>
      </w:r>
      <w:r>
        <w:rPr>
          <w:rStyle w:val="FootnoteReference"/>
        </w:rPr>
        <w:footnoteReference w:id="19"/>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18C79B0A" w14:textId="77777777" w:rsidR="00AC0043" w:rsidRDefault="00AC0043" w:rsidP="00AC0043">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3C938A93" w14:textId="77777777" w:rsidR="00AC0043" w:rsidRDefault="00AC0043" w:rsidP="00AC0043">
      <w:pPr>
        <w:pStyle w:val="EC-Para"/>
        <w:jc w:val="both"/>
        <w:rPr>
          <w:rFonts w:cs="Tahoma"/>
        </w:rPr>
      </w:pPr>
      <w:r>
        <w:rPr>
          <w:rFonts w:cs="Tahoma"/>
        </w:rPr>
        <w:t>Surveillance systems across the EU/EEA countries are heterogeneous and a surveillance systems overview is displayed in Annex 1.</w:t>
      </w:r>
    </w:p>
    <w:p w14:paraId="74037FC8" w14:textId="77777777" w:rsidR="004C23E6" w:rsidRDefault="004C23E6" w:rsidP="00AC0043">
      <w:pPr>
        <w:pStyle w:val="EC-Para"/>
        <w:jc w:val="both"/>
        <w:rPr>
          <w:rFonts w:cs="Tahoma"/>
        </w:rPr>
      </w:pPr>
    </w:p>
    <w:p w14:paraId="03380F3C" w14:textId="77777777" w:rsidR="00AC0043" w:rsidRPr="0072746F" w:rsidRDefault="00AC0043" w:rsidP="00F75673">
      <w:pPr>
        <w:pStyle w:val="EC-Title-6"/>
      </w:pPr>
      <w:r w:rsidRPr="0072746F">
        <w:t xml:space="preserve">Surveillance Atlas </w:t>
      </w:r>
      <w:r w:rsidRPr="00F75673">
        <w:t>indicators</w:t>
      </w:r>
    </w:p>
    <w:p w14:paraId="18AD1E82" w14:textId="4706BB75" w:rsidR="00AC0043" w:rsidRDefault="00AC0043" w:rsidP="00AC0043">
      <w:pPr>
        <w:pStyle w:val="EC-Para"/>
        <w:rPr>
          <w:rFonts w:cs="Tahoma"/>
        </w:rPr>
      </w:pPr>
      <w:r w:rsidRPr="005E139C">
        <w:rPr>
          <w:rFonts w:cs="Tahoma"/>
        </w:rPr>
        <w:t>The Surveillan</w:t>
      </w:r>
      <w:r>
        <w:rPr>
          <w:rFonts w:cs="Tahoma"/>
        </w:rPr>
        <w:t>ce Atlas indicators for confirmed giardiasis</w:t>
      </w:r>
      <w:r w:rsidR="00F64C10">
        <w:rPr>
          <w:rFonts w:cs="Tahoma"/>
        </w:rPr>
        <w:t xml:space="preserve"> cases</w:t>
      </w:r>
      <w:r w:rsidRPr="005E139C">
        <w:rPr>
          <w:rFonts w:cs="Tahoma"/>
        </w:rPr>
        <w:t xml:space="preserve"> are:</w:t>
      </w:r>
    </w:p>
    <w:p w14:paraId="44780D10" w14:textId="77777777" w:rsidR="00AC0043" w:rsidRPr="007B34B1" w:rsidRDefault="00AC0043" w:rsidP="000617B1">
      <w:pPr>
        <w:numPr>
          <w:ilvl w:val="0"/>
          <w:numId w:val="17"/>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4C99F342" w14:textId="77777777" w:rsidR="00AC0043" w:rsidRDefault="00AC0043" w:rsidP="000617B1">
      <w:pPr>
        <w:numPr>
          <w:ilvl w:val="0"/>
          <w:numId w:val="17"/>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4915F9A7" w14:textId="77777777" w:rsidR="00AC0043" w:rsidRDefault="00AC0043" w:rsidP="000617B1">
      <w:pPr>
        <w:numPr>
          <w:ilvl w:val="0"/>
          <w:numId w:val="17"/>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Age-standardised rate </w:t>
      </w:r>
      <w:r w:rsidRPr="007B34B1">
        <w:rPr>
          <w:rFonts w:eastAsia="Arial Unicode MS" w:cs="Tahoma"/>
          <w:kern w:val="22"/>
          <w:szCs w:val="18"/>
        </w:rPr>
        <w:t xml:space="preserve">per 100 000 </w:t>
      </w:r>
      <w:proofErr w:type="gramStart"/>
      <w:r w:rsidRPr="007B34B1">
        <w:rPr>
          <w:rFonts w:eastAsia="Arial Unicode MS" w:cs="Tahoma"/>
          <w:kern w:val="22"/>
          <w:szCs w:val="18"/>
        </w:rPr>
        <w:t>population</w:t>
      </w:r>
      <w:r>
        <w:rPr>
          <w:rFonts w:eastAsia="Arial Unicode MS" w:cs="Tahoma"/>
          <w:kern w:val="22"/>
          <w:szCs w:val="18"/>
        </w:rPr>
        <w:t>;</w:t>
      </w:r>
      <w:proofErr w:type="gramEnd"/>
    </w:p>
    <w:p w14:paraId="6B174ADD" w14:textId="77777777" w:rsidR="00AC0043" w:rsidRPr="007B34B1" w:rsidRDefault="00AC0043" w:rsidP="000617B1">
      <w:pPr>
        <w:numPr>
          <w:ilvl w:val="0"/>
          <w:numId w:val="17"/>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77A00042" w14:textId="77777777" w:rsidR="00AC0043" w:rsidRPr="00C31313" w:rsidRDefault="00AC0043" w:rsidP="000617B1">
      <w:pPr>
        <w:numPr>
          <w:ilvl w:val="0"/>
          <w:numId w:val="17"/>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 xml:space="preserve">cases </w:t>
      </w:r>
      <w:r w:rsidRPr="002F58C3">
        <w:rPr>
          <w:rFonts w:eastAsia="Arial Unicode MS" w:cs="Tahoma"/>
          <w:kern w:val="22"/>
          <w:szCs w:val="18"/>
        </w:rPr>
        <w:t>with known history of hospitalisation</w:t>
      </w:r>
      <w:r w:rsidRPr="007B34B1">
        <w:rPr>
          <w:rFonts w:eastAsia="Arial Unicode MS" w:cs="Tahoma"/>
          <w:kern w:val="22"/>
          <w:szCs w:val="18"/>
        </w:rPr>
        <w:t xml:space="preserve"> (%</w:t>
      </w:r>
      <w:proofErr w:type="gramStart"/>
      <w:r w:rsidRPr="007B34B1">
        <w:rPr>
          <w:rFonts w:eastAsia="Arial Unicode MS" w:cs="Tahoma"/>
          <w:kern w:val="22"/>
          <w:szCs w:val="18"/>
        </w:rPr>
        <w:t>);</w:t>
      </w:r>
      <w:proofErr w:type="gramEnd"/>
    </w:p>
    <w:p w14:paraId="5036ED78" w14:textId="77777777" w:rsidR="00AC0043" w:rsidRPr="007B34B1" w:rsidRDefault="00AC0043" w:rsidP="000617B1">
      <w:pPr>
        <w:numPr>
          <w:ilvl w:val="0"/>
          <w:numId w:val="17"/>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6640FA6B" w14:textId="77777777" w:rsidR="00AC0043" w:rsidRPr="007B34B1" w:rsidRDefault="00AC0043" w:rsidP="000617B1">
      <w:pPr>
        <w:numPr>
          <w:ilvl w:val="0"/>
          <w:numId w:val="17"/>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Case fatality calculated as proportion of deaths among confirmed cases with known disease</w:t>
      </w:r>
      <w:r w:rsidDel="00842AB3">
        <w:rPr>
          <w:rFonts w:eastAsia="Arial Unicode MS" w:cs="Tahoma"/>
          <w:kern w:val="22"/>
          <w:szCs w:val="18"/>
        </w:rPr>
        <w:t xml:space="preserv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65D3D54D" w14:textId="77777777" w:rsidR="00AC0043" w:rsidRPr="007B34B1" w:rsidRDefault="00AC0043" w:rsidP="000617B1">
      <w:pPr>
        <w:numPr>
          <w:ilvl w:val="0"/>
          <w:numId w:val="17"/>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0AAAE389" w14:textId="77777777" w:rsidR="00AC0043" w:rsidRPr="007B34B1" w:rsidRDefault="00AC0043" w:rsidP="000617B1">
      <w:pPr>
        <w:numPr>
          <w:ilvl w:val="0"/>
          <w:numId w:val="17"/>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58E7BC36" w14:textId="77777777" w:rsidR="00AC0043" w:rsidRDefault="00AC0043" w:rsidP="00AC0043">
      <w:pPr>
        <w:kinsoku w:val="0"/>
        <w:autoSpaceDE w:val="0"/>
        <w:autoSpaceDN w:val="0"/>
        <w:adjustRightInd w:val="0"/>
        <w:spacing w:line="200" w:lineRule="atLeast"/>
        <w:rPr>
          <w:rFonts w:eastAsia="Arial Unicode MS"/>
          <w:b/>
          <w:bCs/>
          <w:kern w:val="22"/>
          <w:szCs w:val="18"/>
        </w:rPr>
      </w:pPr>
    </w:p>
    <w:p w14:paraId="4D2C3B5C"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34EE06CC"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2A8799CD"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2F241136"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15B4FFE3"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5BC974F0"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5A981458" w14:textId="77777777"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17516929" w14:textId="77777777" w:rsidR="00AC0043" w:rsidRPr="00206DFA"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Probable country of infection.</w:t>
      </w:r>
    </w:p>
    <w:p w14:paraId="293C00AB" w14:textId="77777777" w:rsidR="00AC0043" w:rsidRPr="00E8283A" w:rsidRDefault="00AC0043" w:rsidP="00AC0043">
      <w:pPr>
        <w:kinsoku w:val="0"/>
        <w:autoSpaceDE w:val="0"/>
        <w:autoSpaceDN w:val="0"/>
        <w:adjustRightInd w:val="0"/>
        <w:spacing w:line="200" w:lineRule="atLeast"/>
        <w:rPr>
          <w:rFonts w:eastAsia="Arial Unicode MS" w:cs="Tahoma"/>
          <w:color w:val="000000"/>
          <w:kern w:val="22"/>
          <w:szCs w:val="18"/>
        </w:rPr>
      </w:pPr>
    </w:p>
    <w:p w14:paraId="7DF2717D" w14:textId="77777777" w:rsidR="00AC0043" w:rsidRDefault="00AC0043" w:rsidP="00AC004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AC0043" w14:paraId="5447465D"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58F8D2A7" w14:textId="77777777" w:rsidR="00AC0043" w:rsidRDefault="00AC0043" w:rsidP="00AC004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5CB62F73" w14:textId="77777777" w:rsidR="00AC0043" w:rsidRDefault="00AC0043" w:rsidP="00AC0043">
            <w:pPr>
              <w:pStyle w:val="EC-Para"/>
              <w:rPr>
                <w:lang w:eastAsia="en-US"/>
              </w:rPr>
            </w:pPr>
            <w:r>
              <w:rPr>
                <w:lang w:eastAsia="en-US"/>
              </w:rPr>
              <w:t>Comment</w:t>
            </w:r>
          </w:p>
        </w:tc>
      </w:tr>
      <w:tr w:rsidR="00AC0043" w14:paraId="12DED730"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4D6333BA" w14:textId="77777777" w:rsidR="00AC0043" w:rsidRDefault="00AC0043" w:rsidP="00AC004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1C44D85" w14:textId="77777777" w:rsidR="00AC0043" w:rsidRDefault="00AC0043" w:rsidP="00AC004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AC0043" w14:paraId="0750C6E4"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09F20743" w14:textId="77777777" w:rsidR="00AC0043" w:rsidRDefault="00AC0043" w:rsidP="00AC004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250D3902" w14:textId="77777777" w:rsidR="00AC0043" w:rsidRDefault="00AC0043" w:rsidP="00AC004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1EA77370" w14:textId="77777777" w:rsidR="009D4D86" w:rsidRDefault="009D4D86">
      <w:pPr>
        <w:rPr>
          <w:rFonts w:eastAsia="Batang" w:cs="Times New Roman"/>
          <w:b/>
          <w:bCs/>
          <w:color w:val="69AE23"/>
          <w:sz w:val="26"/>
          <w:szCs w:val="26"/>
        </w:rPr>
      </w:pPr>
      <w:r>
        <w:br w:type="page"/>
      </w:r>
    </w:p>
    <w:p w14:paraId="08AFD4E7" w14:textId="167842CD" w:rsidR="00AC0043" w:rsidRPr="0072746F" w:rsidRDefault="00A02451" w:rsidP="00F75673">
      <w:pPr>
        <w:pStyle w:val="EC-Title-6"/>
      </w:pPr>
      <w:r>
        <w:lastRenderedPageBreak/>
        <w:t xml:space="preserve">Data </w:t>
      </w:r>
      <w:r w:rsidRPr="00F75673">
        <w:t>quality</w:t>
      </w:r>
    </w:p>
    <w:p w14:paraId="3EB6CCC6" w14:textId="03754AE4" w:rsidR="0097253D" w:rsidRDefault="0097253D" w:rsidP="0097253D">
      <w:pPr>
        <w:autoSpaceDE w:val="0"/>
        <w:autoSpaceDN w:val="0"/>
        <w:adjustRightInd w:val="0"/>
        <w:jc w:val="both"/>
        <w:rPr>
          <w:rFonts w:eastAsia="Arial Unicode MS" w:cs="Tahoma"/>
          <w:kern w:val="22"/>
          <w:szCs w:val="18"/>
        </w:rPr>
      </w:pPr>
      <w:r w:rsidRPr="001B0A3A">
        <w:rPr>
          <w:rFonts w:eastAsia="Arial Unicode MS" w:cs="Tahoma"/>
          <w:kern w:val="22"/>
          <w:szCs w:val="18"/>
        </w:rPr>
        <w:t xml:space="preserve">EU/EEA countries reporting data on </w:t>
      </w:r>
      <w:r w:rsidR="00804F8D" w:rsidRPr="001B0A3A">
        <w:rPr>
          <w:rFonts w:cs="Tahoma"/>
          <w:szCs w:val="18"/>
        </w:rPr>
        <w:t>giardiasis</w:t>
      </w:r>
      <w:r w:rsidRPr="001B0A3A">
        <w:rPr>
          <w:rFonts w:eastAsia="Arial Unicode MS" w:cs="Tahoma"/>
          <w:kern w:val="22"/>
          <w:szCs w:val="18"/>
        </w:rPr>
        <w:t xml:space="preserve"> as displayed</w:t>
      </w:r>
      <w:r w:rsidRPr="009E3B9F">
        <w:rPr>
          <w:rFonts w:eastAsia="Arial Unicode MS" w:cs="Tahoma"/>
          <w:kern w:val="22"/>
          <w:szCs w:val="18"/>
        </w:rPr>
        <w:t xml:space="preserve">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05DA8E4B" w14:textId="77777777" w:rsidR="0097253D" w:rsidRDefault="0097253D" w:rsidP="0097253D">
      <w:pPr>
        <w:autoSpaceDE w:val="0"/>
        <w:autoSpaceDN w:val="0"/>
        <w:adjustRightInd w:val="0"/>
        <w:jc w:val="both"/>
        <w:rPr>
          <w:rFonts w:eastAsia="Arial Unicode MS" w:cs="Tahoma"/>
          <w:kern w:val="22"/>
          <w:szCs w:val="18"/>
        </w:rPr>
      </w:pPr>
    </w:p>
    <w:p w14:paraId="2C9175DD" w14:textId="248C1F3E"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Pr="00E95571">
        <w:rPr>
          <w:rFonts w:eastAsia="Arial Unicode MS" w:cs="Tahoma"/>
          <w:kern w:val="22"/>
          <w:szCs w:val="18"/>
        </w:rPr>
        <w:t xml:space="preserve">confirmed </w:t>
      </w:r>
      <w:r w:rsidR="001B0A3A" w:rsidRPr="001B0A3A">
        <w:rPr>
          <w:rFonts w:cs="Tahoma"/>
          <w:szCs w:val="18"/>
        </w:rPr>
        <w:t>giardiasis</w:t>
      </w:r>
      <w:r w:rsidR="001B0A3A">
        <w:rPr>
          <w:rFonts w:cs="Tahoma"/>
          <w:szCs w:val="18"/>
        </w:rPr>
        <w:t xml:space="preserve"> cases</w:t>
      </w:r>
      <w:r>
        <w:rPr>
          <w:rFonts w:eastAsia="Arial Unicode MS" w:cs="Tahoma"/>
          <w:kern w:val="22"/>
          <w:szCs w:val="18"/>
        </w:rPr>
        <w:t xml:space="preserve"> are:</w:t>
      </w:r>
    </w:p>
    <w:p w14:paraId="636375FA" w14:textId="27898E1D"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79B1D7BA" w14:textId="5134E88F"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36ADE798" w14:textId="2409E018"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489A70C9" w14:textId="7A51851F"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67E59C32" w14:textId="2D4C2BC8"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6EA60772" w14:textId="0715885A"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B0A3A">
        <w:rPr>
          <w:rFonts w:eastAsia="Arial Unicode MS" w:cs="Tahoma"/>
          <w:kern w:val="22"/>
          <w:szCs w:val="18"/>
        </w:rPr>
        <w:t>probable country of infection</w:t>
      </w:r>
      <w:r>
        <w:rPr>
          <w:rFonts w:eastAsia="Arial Unicode MS" w:cs="Tahoma"/>
          <w:kern w:val="22"/>
          <w:szCs w:val="18"/>
        </w:rPr>
        <w:t xml:space="preserve"> (%)</w:t>
      </w:r>
      <w:r w:rsidR="00BB3C4B">
        <w:rPr>
          <w:rFonts w:eastAsia="Arial Unicode MS" w:cs="Tahoma"/>
          <w:kern w:val="22"/>
          <w:szCs w:val="18"/>
        </w:rPr>
        <w:t>.</w:t>
      </w:r>
    </w:p>
    <w:p w14:paraId="0E0E5AE6" w14:textId="1554CE7F" w:rsidR="00AC0043" w:rsidRDefault="00AC0043" w:rsidP="00A02451">
      <w:pPr>
        <w:pStyle w:val="ListParagraph"/>
        <w:autoSpaceDE w:val="0"/>
        <w:autoSpaceDN w:val="0"/>
        <w:adjustRightInd w:val="0"/>
        <w:jc w:val="both"/>
        <w:rPr>
          <w:rFonts w:eastAsia="Arial Unicode MS" w:cs="Tahoma"/>
          <w:kern w:val="22"/>
          <w:szCs w:val="18"/>
        </w:rPr>
      </w:pPr>
    </w:p>
    <w:p w14:paraId="614B003B" w14:textId="77777777" w:rsidR="00537683" w:rsidRPr="00B3152F" w:rsidRDefault="00537683" w:rsidP="00A02451">
      <w:pPr>
        <w:pStyle w:val="ListParagraph"/>
        <w:autoSpaceDE w:val="0"/>
        <w:autoSpaceDN w:val="0"/>
        <w:adjustRightInd w:val="0"/>
        <w:jc w:val="both"/>
        <w:rPr>
          <w:rFonts w:eastAsia="Arial Unicode MS" w:cs="Tahoma"/>
          <w:kern w:val="22"/>
          <w:szCs w:val="18"/>
        </w:rPr>
      </w:pPr>
    </w:p>
    <w:p w14:paraId="57C1EF76" w14:textId="77777777" w:rsidR="00AC0043" w:rsidRDefault="00AC0043" w:rsidP="00AC0043">
      <w:pPr>
        <w:pStyle w:val="EC-Title-6"/>
        <w:outlineLvl w:val="1"/>
        <w:rPr>
          <w:rFonts w:cs="Tahoma"/>
        </w:rPr>
      </w:pPr>
      <w:bookmarkStart w:id="40" w:name="_Toc437442018"/>
      <w:r w:rsidRPr="00C82DDE">
        <w:rPr>
          <w:rFonts w:cs="Tahoma"/>
        </w:rPr>
        <w:t>Interpretation</w:t>
      </w:r>
      <w:bookmarkEnd w:id="40"/>
      <w:r w:rsidRPr="00C82DDE">
        <w:rPr>
          <w:rFonts w:cs="Tahoma"/>
        </w:rPr>
        <w:t xml:space="preserve"> </w:t>
      </w:r>
    </w:p>
    <w:p w14:paraId="460C6DC4" w14:textId="77777777" w:rsidR="00AC0043" w:rsidRDefault="00AC0043" w:rsidP="00AC0043">
      <w:pPr>
        <w:pStyle w:val="EC-Para"/>
        <w:jc w:val="both"/>
        <w:rPr>
          <w:rFonts w:eastAsiaTheme="minorHAnsi" w:cs="Tahoma"/>
          <w:lang w:eastAsia="en-US"/>
        </w:rPr>
      </w:pPr>
      <w:r w:rsidRPr="007F3A65">
        <w:rPr>
          <w:rFonts w:eastAsiaTheme="minorHAnsi" w:cs="Tahoma"/>
          <w:lang w:eastAsia="en-US"/>
        </w:rPr>
        <w:t xml:space="preserve">The results shown in the Surveillance Atlas should be interpreted carefully. </w:t>
      </w:r>
      <w:r>
        <w:rPr>
          <w:rFonts w:eastAsiaTheme="minorHAnsi" w:cs="Tahoma"/>
          <w:lang w:eastAsia="en-US"/>
        </w:rPr>
        <w:t>National s</w:t>
      </w:r>
      <w:r w:rsidRPr="007F3A65">
        <w:rPr>
          <w:rFonts w:eastAsiaTheme="minorHAnsi" w:cs="Tahoma"/>
          <w:lang w:eastAsia="en-US"/>
        </w:rPr>
        <w:t xml:space="preserve">urveillance systems </w:t>
      </w:r>
      <w:r>
        <w:rPr>
          <w:rFonts w:eastAsiaTheme="minorHAnsi" w:cs="Tahoma"/>
          <w:lang w:eastAsia="en-US"/>
        </w:rPr>
        <w:t>differ from each other and so does</w:t>
      </w:r>
      <w:r w:rsidRPr="007F3A65">
        <w:rPr>
          <w:rFonts w:eastAsiaTheme="minorHAnsi" w:cs="Tahoma"/>
          <w:lang w:eastAsia="en-US"/>
        </w:rPr>
        <w:t xml:space="preserve"> case under-ascertainment between countries. </w:t>
      </w:r>
    </w:p>
    <w:p w14:paraId="5823CB42" w14:textId="748EA507" w:rsidR="00BD6FEC" w:rsidRDefault="00E96D27" w:rsidP="00AC0043">
      <w:pPr>
        <w:pStyle w:val="EC-Para"/>
        <w:jc w:val="both"/>
      </w:pPr>
      <w:r w:rsidRPr="00E96D27">
        <w:t xml:space="preserve">The notification of giardiasis is mandatory in </w:t>
      </w:r>
      <w:r w:rsidR="00BD6FEC">
        <w:t>2</w:t>
      </w:r>
      <w:r w:rsidR="006E48F5">
        <w:t>2</w:t>
      </w:r>
      <w:r w:rsidRPr="00E96D27">
        <w:t xml:space="preserve"> EU</w:t>
      </w:r>
      <w:r w:rsidR="006E48F5">
        <w:t>/EEA</w:t>
      </w:r>
      <w:r w:rsidRPr="00E96D27">
        <w:t xml:space="preserve"> </w:t>
      </w:r>
      <w:r w:rsidR="006E48F5">
        <w:t>countries</w:t>
      </w:r>
      <w:r w:rsidRPr="00E96D27">
        <w:t xml:space="preserve">. In </w:t>
      </w:r>
      <w:r w:rsidR="00BD6FEC">
        <w:t xml:space="preserve">two </w:t>
      </w:r>
      <w:r w:rsidRPr="00E96D27">
        <w:t>Member States (Belgium</w:t>
      </w:r>
      <w:r w:rsidR="00CA1305">
        <w:t xml:space="preserve"> and Greece</w:t>
      </w:r>
      <w:r w:rsidRPr="00E96D27">
        <w:t>)</w:t>
      </w:r>
      <w:r w:rsidR="00BD6FEC">
        <w:t xml:space="preserve"> </w:t>
      </w:r>
      <w:r w:rsidR="00BD6FEC" w:rsidRPr="00E96D27">
        <w:t>the notification is voluntary</w:t>
      </w:r>
      <w:r w:rsidRPr="00E96D27">
        <w:t>. No surveillance system exists in Austria, Denmark, France, Italy</w:t>
      </w:r>
      <w:r w:rsidR="00AF0F40">
        <w:t xml:space="preserve">, </w:t>
      </w:r>
      <w:r w:rsidR="0029760F">
        <w:t xml:space="preserve">Liechtenstein, and </w:t>
      </w:r>
      <w:r w:rsidRPr="00E96D27">
        <w:t>the Netherlands</w:t>
      </w:r>
      <w:r w:rsidRPr="001654CA">
        <w:t xml:space="preserve">. The surveillance systems for </w:t>
      </w:r>
      <w:r w:rsidR="009A768D">
        <w:t>giardiasis</w:t>
      </w:r>
      <w:r w:rsidRPr="001654CA">
        <w:t xml:space="preserve"> have full national coverage</w:t>
      </w:r>
      <w:r w:rsidR="00E76869">
        <w:t xml:space="preserve"> in all reporting countries</w:t>
      </w:r>
      <w:r w:rsidRPr="001654CA">
        <w:t xml:space="preserve"> except in Romania and Spain.</w:t>
      </w:r>
      <w:r w:rsidR="00635F6D">
        <w:t xml:space="preserve"> </w:t>
      </w:r>
      <w:r w:rsidR="0035024E">
        <w:rPr>
          <w:rFonts w:cs="Tahoma"/>
        </w:rPr>
        <w:t xml:space="preserve">For 2020, not all regions in Spain have reported and case numbers </w:t>
      </w:r>
      <w:r w:rsidR="0035024E" w:rsidRPr="0031626F">
        <w:rPr>
          <w:rFonts w:cs="Tahoma"/>
        </w:rPr>
        <w:t xml:space="preserve">might therefore </w:t>
      </w:r>
      <w:r w:rsidR="0035024E">
        <w:rPr>
          <w:rFonts w:cs="Tahoma"/>
        </w:rPr>
        <w:t xml:space="preserve">be lower than expected. </w:t>
      </w:r>
      <w:r w:rsidR="00C15CA8" w:rsidRPr="00E23A35">
        <w:t xml:space="preserve">The coverage of the surveillance system </w:t>
      </w:r>
      <w:r w:rsidR="00C15CA8" w:rsidRPr="000378C4">
        <w:t xml:space="preserve">in </w:t>
      </w:r>
      <w:r w:rsidR="008539C8">
        <w:t xml:space="preserve">2023 </w:t>
      </w:r>
      <w:r w:rsidR="00FE231F">
        <w:t xml:space="preserve">and in </w:t>
      </w:r>
      <w:r w:rsidR="00C15CA8" w:rsidRPr="000378C4">
        <w:t>20</w:t>
      </w:r>
      <w:r w:rsidR="00DE57EE" w:rsidRPr="000378C4">
        <w:t>2</w:t>
      </w:r>
      <w:r w:rsidR="00C15CA8" w:rsidRPr="000378C4">
        <w:t>1-2022 is estimated to be 9</w:t>
      </w:r>
      <w:r w:rsidR="00611E9C">
        <w:t>2</w:t>
      </w:r>
      <w:r w:rsidR="00C15CA8" w:rsidRPr="0095399E">
        <w:t xml:space="preserve">% </w:t>
      </w:r>
      <w:r w:rsidR="00611E9C">
        <w:t>and 91%</w:t>
      </w:r>
      <w:r w:rsidR="00FE231F">
        <w:t xml:space="preserve">, respectively </w:t>
      </w:r>
      <w:r w:rsidR="00C15CA8" w:rsidRPr="0095399E">
        <w:t>in in Spain. Th</w:t>
      </w:r>
      <w:r w:rsidR="002073BE">
        <w:t>ese</w:t>
      </w:r>
      <w:r w:rsidR="00C15CA8" w:rsidRPr="00E23A35">
        <w:t xml:space="preserve"> proportion</w:t>
      </w:r>
      <w:r w:rsidR="002073BE">
        <w:t>s</w:t>
      </w:r>
      <w:r w:rsidR="00C15CA8" w:rsidRPr="00E23A35">
        <w:t xml:space="preserve"> w</w:t>
      </w:r>
      <w:r w:rsidR="002073BE">
        <w:t>ere</w:t>
      </w:r>
      <w:r w:rsidR="00C15CA8">
        <w:t xml:space="preserve"> </w:t>
      </w:r>
      <w:r w:rsidR="00C15CA8" w:rsidRPr="00E23A35">
        <w:t>used when calculating notification rate</w:t>
      </w:r>
      <w:r w:rsidR="002073BE">
        <w:t>s</w:t>
      </w:r>
      <w:r w:rsidR="00900F26">
        <w:t xml:space="preserve"> for these years</w:t>
      </w:r>
      <w:r w:rsidR="00BC299A" w:rsidRPr="00420717">
        <w:t xml:space="preserve">. </w:t>
      </w:r>
      <w:r w:rsidR="005210A0">
        <w:rPr>
          <w:rFonts w:cs="Tahoma"/>
        </w:rPr>
        <w:t xml:space="preserve">No estimate of population coverage in Spain was provided prior 2021, so notification rates were not calculated. </w:t>
      </w:r>
      <w:r w:rsidR="00AE3659">
        <w:t xml:space="preserve">For </w:t>
      </w:r>
      <w:r w:rsidR="00B901EC">
        <w:t>Romania</w:t>
      </w:r>
      <w:r w:rsidR="00DF757C">
        <w:t xml:space="preserve">, no estimates were provided </w:t>
      </w:r>
      <w:r w:rsidR="00B901EC">
        <w:t xml:space="preserve">for any years as well as for Spain </w:t>
      </w:r>
      <w:r w:rsidR="00E261E5">
        <w:t>prior 2021</w:t>
      </w:r>
      <w:r w:rsidR="00C15CA8" w:rsidRPr="00E23A35">
        <w:t>, so notification rate</w:t>
      </w:r>
      <w:r w:rsidR="00AE3659">
        <w:t>s</w:t>
      </w:r>
      <w:r w:rsidR="00C15CA8">
        <w:t xml:space="preserve"> w</w:t>
      </w:r>
      <w:r w:rsidR="00AE3659">
        <w:t>ere</w:t>
      </w:r>
      <w:r w:rsidR="00C15CA8" w:rsidRPr="00E23A35">
        <w:t xml:space="preserve"> not calculated</w:t>
      </w:r>
      <w:r w:rsidR="0074266B">
        <w:t xml:space="preserve">. </w:t>
      </w:r>
      <w:r w:rsidR="00537683">
        <w:rPr>
          <w:rFonts w:cs="Tahoma"/>
        </w:rPr>
        <w:t xml:space="preserve">In Belgium, full national coverage was established in 2015 and rates before this date are not displayed. </w:t>
      </w:r>
      <w:r w:rsidR="00537683">
        <w:t xml:space="preserve">Greece reports data on laboratory-confirmed cases collected from </w:t>
      </w:r>
      <w:r w:rsidR="00537683" w:rsidRPr="00D87F86">
        <w:t xml:space="preserve">public hospitals from 2018 onwards. </w:t>
      </w:r>
      <w:r w:rsidR="00537683">
        <w:t>Most</w:t>
      </w:r>
      <w:r w:rsidR="00537683" w:rsidRPr="00194CB8">
        <w:t xml:space="preserve"> countries </w:t>
      </w:r>
      <w:r w:rsidR="00537683" w:rsidRPr="00194CB8">
        <w:rPr>
          <w:lang w:eastAsia="en-US"/>
        </w:rPr>
        <w:t xml:space="preserve">report case-based data except </w:t>
      </w:r>
      <w:r w:rsidR="00537683">
        <w:rPr>
          <w:lang w:eastAsia="en-US"/>
        </w:rPr>
        <w:t xml:space="preserve">Belgium, </w:t>
      </w:r>
      <w:r w:rsidR="00537683" w:rsidRPr="00194CB8">
        <w:rPr>
          <w:lang w:eastAsia="en-US"/>
        </w:rPr>
        <w:t>Bulgaria</w:t>
      </w:r>
      <w:r w:rsidR="00745E0E">
        <w:rPr>
          <w:lang w:eastAsia="en-US"/>
        </w:rPr>
        <w:t>,</w:t>
      </w:r>
      <w:r w:rsidR="00857A7D">
        <w:rPr>
          <w:lang w:eastAsia="en-US"/>
        </w:rPr>
        <w:t xml:space="preserve"> </w:t>
      </w:r>
      <w:r w:rsidR="00537683">
        <w:rPr>
          <w:lang w:eastAsia="en-US"/>
        </w:rPr>
        <w:t xml:space="preserve">Greece </w:t>
      </w:r>
      <w:r w:rsidR="00745E0E">
        <w:rPr>
          <w:lang w:eastAsia="en-US"/>
        </w:rPr>
        <w:t xml:space="preserve">and Romania </w:t>
      </w:r>
      <w:r w:rsidR="00537683" w:rsidRPr="00194CB8">
        <w:t xml:space="preserve">which report aggregate data. </w:t>
      </w:r>
      <w:r w:rsidR="002D7C7B">
        <w:t>Aggregated</w:t>
      </w:r>
      <w:r w:rsidR="002D7C7B" w:rsidRPr="004C1587">
        <w:t xml:space="preserve"> reporting format w</w:t>
      </w:r>
      <w:r w:rsidR="002D7C7B">
        <w:t>as</w:t>
      </w:r>
      <w:r w:rsidR="002D7C7B" w:rsidRPr="004C1587">
        <w:t xml:space="preserve"> included to calculate numbers of cases</w:t>
      </w:r>
      <w:r w:rsidR="002D7C7B">
        <w:t xml:space="preserve"> and </w:t>
      </w:r>
      <w:r w:rsidR="002D7C7B" w:rsidRPr="004C1587">
        <w:t xml:space="preserve">notification rates, </w:t>
      </w:r>
      <w:r w:rsidR="002D7C7B">
        <w:t xml:space="preserve">as well as </w:t>
      </w:r>
      <w:r w:rsidR="002D7C7B" w:rsidRPr="004C1587">
        <w:t xml:space="preserve">disease trends, </w:t>
      </w:r>
      <w:r w:rsidR="002D7C7B">
        <w:t>a</w:t>
      </w:r>
      <w:r w:rsidR="002D7C7B" w:rsidRPr="004C1587">
        <w:t>ge and gender distributions</w:t>
      </w:r>
      <w:r w:rsidR="002D7C7B">
        <w:t xml:space="preserve"> when this data was available</w:t>
      </w:r>
      <w:r w:rsidR="002D7C7B" w:rsidRPr="004C1587">
        <w:t>.</w:t>
      </w:r>
    </w:p>
    <w:p w14:paraId="212D0A2F" w14:textId="77777777" w:rsidR="00537683" w:rsidRDefault="00790169" w:rsidP="00AC0043">
      <w:pPr>
        <w:pStyle w:val="EC-Para"/>
        <w:jc w:val="both"/>
      </w:pPr>
      <w:r>
        <w:t xml:space="preserve">The COVID-19 pandemic significantly impacted on the </w:t>
      </w:r>
      <w:r w:rsidR="000A3B0C">
        <w:t xml:space="preserve">giardiasis </w:t>
      </w:r>
      <w:r>
        <w:t xml:space="preserve">surveillance </w:t>
      </w:r>
      <w:r w:rsidR="002B3D57">
        <w:t xml:space="preserve">data </w:t>
      </w:r>
      <w:r>
        <w:t>in 2020</w:t>
      </w:r>
      <w:r w:rsidR="00BD6FEC">
        <w:t>-2021</w:t>
      </w:r>
      <w:r>
        <w:t xml:space="preserve">. </w:t>
      </w:r>
      <w:r w:rsidR="000A3B0C">
        <w:t>Countries have mentioned several f</w:t>
      </w:r>
      <w:r>
        <w:t xml:space="preserve">actors </w:t>
      </w:r>
      <w:r w:rsidR="000A3B0C">
        <w:t>resulting in lower case numbers, e.g</w:t>
      </w:r>
      <w:r>
        <w:t xml:space="preserve">. </w:t>
      </w:r>
      <w:r w:rsidRPr="00790169">
        <w:t xml:space="preserve">people avoiding </w:t>
      </w:r>
      <w:proofErr w:type="gramStart"/>
      <w:r w:rsidRPr="00790169">
        <w:t>to seek</w:t>
      </w:r>
      <w:proofErr w:type="gramEnd"/>
      <w:r w:rsidRPr="00790169">
        <w:t xml:space="preserve"> medical care</w:t>
      </w:r>
      <w:r>
        <w:t xml:space="preserve"> for mild symptoms </w:t>
      </w:r>
      <w:r w:rsidR="001C4E99">
        <w:t>due to risk of exposure to COVID-19 in health care facilities</w:t>
      </w:r>
      <w:r w:rsidRPr="00790169">
        <w:t xml:space="preserve">, </w:t>
      </w:r>
      <w:r w:rsidR="00447BD5">
        <w:t xml:space="preserve">travel restrictions, </w:t>
      </w:r>
      <w:r w:rsidRPr="00790169">
        <w:t>limited capacity for diagnosis of mild diseases in health care, lack of medical personnel due to re</w:t>
      </w:r>
      <w:r w:rsidR="004700E7">
        <w:t>-allocation to COVID-19 work etc</w:t>
      </w:r>
      <w:r>
        <w:t xml:space="preserve">. In Romania, the </w:t>
      </w:r>
      <w:r w:rsidR="004700E7">
        <w:t xml:space="preserve">marked drop was due to that the </w:t>
      </w:r>
      <w:r>
        <w:t xml:space="preserve">seasonal surveillance of giardiasis in summer-autumn could not take place. </w:t>
      </w:r>
    </w:p>
    <w:p w14:paraId="3A91DEA3" w14:textId="42931F85" w:rsidR="00AC0043" w:rsidRDefault="00AC0043" w:rsidP="00AC0043">
      <w:pPr>
        <w:pStyle w:val="EC-Para"/>
        <w:jc w:val="both"/>
        <w:rPr>
          <w:rFonts w:eastAsiaTheme="minorHAnsi" w:cs="Tahoma"/>
          <w:lang w:eastAsia="en-US"/>
        </w:rPr>
      </w:pPr>
      <w:r w:rsidRPr="007F3A65">
        <w:rPr>
          <w:rFonts w:eastAsiaTheme="minorHAnsi" w:cs="Tahoma"/>
          <w:lang w:eastAsia="en-US"/>
        </w:rPr>
        <w:t xml:space="preserve">The completeness of some variables such as outcome or </w:t>
      </w:r>
      <w:r>
        <w:rPr>
          <w:rFonts w:eastAsiaTheme="minorHAnsi" w:cs="Tahoma"/>
          <w:lang w:eastAsia="en-US"/>
        </w:rPr>
        <w:t>travel history</w:t>
      </w:r>
      <w:r w:rsidRPr="007F3A65">
        <w:rPr>
          <w:rFonts w:eastAsiaTheme="minorHAnsi" w:cs="Tahoma"/>
          <w:lang w:eastAsia="en-US"/>
        </w:rPr>
        <w:t xml:space="preserve"> var</w:t>
      </w:r>
      <w:r>
        <w:rPr>
          <w:rFonts w:eastAsiaTheme="minorHAnsi" w:cs="Tahoma"/>
          <w:lang w:eastAsia="en-US"/>
        </w:rPr>
        <w:t>ies</w:t>
      </w:r>
      <w:r w:rsidRPr="007F3A65">
        <w:rPr>
          <w:rFonts w:eastAsiaTheme="minorHAnsi" w:cs="Tahoma"/>
          <w:lang w:eastAsia="en-US"/>
        </w:rPr>
        <w:t xml:space="preserve"> between countries and years; some countries </w:t>
      </w:r>
      <w:proofErr w:type="gramStart"/>
      <w:r w:rsidRPr="007F3A65">
        <w:rPr>
          <w:rFonts w:eastAsiaTheme="minorHAnsi" w:cs="Tahoma"/>
          <w:lang w:eastAsia="en-US"/>
        </w:rPr>
        <w:t>are able to</w:t>
      </w:r>
      <w:proofErr w:type="gramEnd"/>
      <w:r w:rsidRPr="007F3A65">
        <w:rPr>
          <w:rFonts w:eastAsiaTheme="minorHAnsi" w:cs="Tahoma"/>
          <w:lang w:eastAsia="en-US"/>
        </w:rPr>
        <w:t xml:space="preserve"> collect and integrate this type of information from different sources, other countries are not. Even if overall data completeness is high for some variables, the reader should refrain from direct</w:t>
      </w:r>
      <w:r>
        <w:rPr>
          <w:rFonts w:eastAsiaTheme="minorHAnsi" w:cs="Tahoma"/>
          <w:lang w:eastAsia="en-US"/>
        </w:rPr>
        <w:t>ly</w:t>
      </w:r>
      <w:r w:rsidRPr="007F3A65">
        <w:rPr>
          <w:rFonts w:eastAsiaTheme="minorHAnsi" w:cs="Tahoma"/>
          <w:lang w:eastAsia="en-US"/>
        </w:rPr>
        <w:t xml:space="preserve"> compari</w:t>
      </w:r>
      <w:r>
        <w:rPr>
          <w:rFonts w:eastAsiaTheme="minorHAnsi" w:cs="Tahoma"/>
          <w:lang w:eastAsia="en-US"/>
        </w:rPr>
        <w:t>ng</w:t>
      </w:r>
      <w:r w:rsidRPr="007F3A65">
        <w:rPr>
          <w:rFonts w:eastAsiaTheme="minorHAnsi" w:cs="Tahoma"/>
          <w:lang w:eastAsia="en-US"/>
        </w:rPr>
        <w:t xml:space="preserve"> countries without </w:t>
      </w:r>
      <w:proofErr w:type="gramStart"/>
      <w:r w:rsidRPr="007F3A65">
        <w:rPr>
          <w:rFonts w:eastAsiaTheme="minorHAnsi" w:cs="Tahoma"/>
          <w:lang w:eastAsia="en-US"/>
        </w:rPr>
        <w:t>taking into account</w:t>
      </w:r>
      <w:proofErr w:type="gramEnd"/>
      <w:r w:rsidRPr="007F3A65">
        <w:rPr>
          <w:rFonts w:eastAsiaTheme="minorHAnsi" w:cs="Tahoma"/>
          <w:lang w:eastAsia="en-US"/>
        </w:rPr>
        <w:t xml:space="preserve"> limitations.</w:t>
      </w:r>
    </w:p>
    <w:p w14:paraId="161F9B23" w14:textId="77777777" w:rsidR="004C23E6" w:rsidRPr="00B3152F" w:rsidRDefault="004C23E6" w:rsidP="00AC0043">
      <w:pPr>
        <w:pStyle w:val="EC-Para"/>
        <w:jc w:val="both"/>
        <w:rPr>
          <w:rFonts w:eastAsiaTheme="minorHAnsi" w:cs="Tahoma"/>
          <w:lang w:eastAsia="en-US"/>
        </w:rPr>
      </w:pPr>
    </w:p>
    <w:p w14:paraId="0916EF01" w14:textId="77777777" w:rsidR="00AC0043" w:rsidRDefault="00AC0043" w:rsidP="009F5B73">
      <w:pPr>
        <w:pStyle w:val="EC-Title-6"/>
        <w:outlineLvl w:val="1"/>
        <w:rPr>
          <w:rFonts w:cs="Tahoma"/>
          <w:color w:val="FF0000"/>
          <w:sz w:val="20"/>
          <w:szCs w:val="20"/>
        </w:rPr>
      </w:pPr>
      <w:r>
        <w:t xml:space="preserve">Reports published by ECDC on giardiasis </w:t>
      </w:r>
    </w:p>
    <w:p w14:paraId="4FDBC065" w14:textId="77777777" w:rsidR="00AC0043" w:rsidRDefault="00AC0043" w:rsidP="00AC0043">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75CEC19E" w14:textId="44264D60" w:rsidR="00A51BAC" w:rsidRPr="001240BA" w:rsidRDefault="00A51BAC" w:rsidP="009578FE">
      <w:pPr>
        <w:pStyle w:val="EC-Para"/>
        <w:spacing w:after="0"/>
        <w:rPr>
          <w:rFonts w:eastAsiaTheme="minorHAnsi" w:cs="Tahoma"/>
          <w:b/>
          <w:lang w:eastAsia="en-US"/>
        </w:rPr>
      </w:pPr>
      <w:r w:rsidRPr="001240BA">
        <w:rPr>
          <w:rFonts w:eastAsiaTheme="minorHAnsi" w:cs="Tahoma"/>
          <w:b/>
          <w:lang w:eastAsia="en-US"/>
        </w:rPr>
        <w:t xml:space="preserve">Annual epidemiological report </w:t>
      </w:r>
      <w:r w:rsidR="008B6F20" w:rsidRPr="001240BA">
        <w:rPr>
          <w:rFonts w:eastAsiaTheme="minorHAnsi" w:cs="Tahoma"/>
          <w:b/>
          <w:lang w:eastAsia="en-US"/>
        </w:rPr>
        <w:t>for 201</w:t>
      </w:r>
      <w:r w:rsidR="00411C51" w:rsidRPr="001240BA">
        <w:rPr>
          <w:rFonts w:eastAsiaTheme="minorHAnsi" w:cs="Tahoma"/>
          <w:b/>
          <w:lang w:eastAsia="en-US"/>
        </w:rPr>
        <w:t>9</w:t>
      </w:r>
      <w:r w:rsidRPr="001240BA">
        <w:rPr>
          <w:rFonts w:eastAsiaTheme="minorHAnsi" w:cs="Tahoma"/>
          <w:b/>
          <w:lang w:eastAsia="en-US"/>
        </w:rPr>
        <w:t xml:space="preserve"> – </w:t>
      </w:r>
      <w:r w:rsidR="008B6F20" w:rsidRPr="001240BA">
        <w:rPr>
          <w:rFonts w:eastAsiaTheme="minorHAnsi" w:cs="Tahoma"/>
          <w:b/>
          <w:lang w:eastAsia="en-US"/>
        </w:rPr>
        <w:t>Giardiasis</w:t>
      </w:r>
      <w:r w:rsidRPr="001240BA">
        <w:rPr>
          <w:rFonts w:eastAsiaTheme="minorHAnsi" w:cs="Tahoma"/>
          <w:b/>
          <w:lang w:eastAsia="en-US"/>
        </w:rPr>
        <w:t>:</w:t>
      </w:r>
    </w:p>
    <w:p w14:paraId="19A1BA2C" w14:textId="2D1E87C5" w:rsidR="002406C8" w:rsidRPr="009D4D86" w:rsidRDefault="004624CC" w:rsidP="00AC0043">
      <w:pPr>
        <w:pStyle w:val="EC-Para"/>
        <w:rPr>
          <w:rStyle w:val="Hyperlink"/>
          <w:sz w:val="18"/>
        </w:rPr>
      </w:pPr>
      <w:r w:rsidRPr="001240BA">
        <w:rPr>
          <w:rStyle w:val="Hyperlink"/>
          <w:sz w:val="18"/>
        </w:rPr>
        <w:t>https://www.ecdc.europa.eu/sites/default/files/documents/giardiasis-%20annual-epidemiological-report-019_0.pdf</w:t>
      </w:r>
      <w:r w:rsidR="00711643" w:rsidRPr="009D4D86" w:rsidDel="00711643">
        <w:rPr>
          <w:rStyle w:val="Hyperlink"/>
          <w:sz w:val="18"/>
        </w:rPr>
        <w:t xml:space="preserve">     </w:t>
      </w:r>
    </w:p>
    <w:p w14:paraId="26D67185" w14:textId="77777777" w:rsidR="002406C8" w:rsidRDefault="002406C8">
      <w:pPr>
        <w:rPr>
          <w:rStyle w:val="Hyperlink"/>
          <w:rFonts w:eastAsia="Arial Unicode MS" w:cs="Times New Roman"/>
          <w:kern w:val="22"/>
          <w:szCs w:val="18"/>
          <w:lang w:eastAsia="ko-KR"/>
        </w:rPr>
      </w:pPr>
      <w:r>
        <w:rPr>
          <w:rStyle w:val="Hyperlink"/>
        </w:rPr>
        <w:br w:type="page"/>
      </w:r>
    </w:p>
    <w:p w14:paraId="6C6FE540" w14:textId="5425CEBA" w:rsidR="00AC0043" w:rsidRDefault="00AC0043" w:rsidP="009F5B73">
      <w:pPr>
        <w:pStyle w:val="EC-Title-6"/>
        <w:outlineLvl w:val="1"/>
      </w:pPr>
      <w:r>
        <w:lastRenderedPageBreak/>
        <w:t xml:space="preserve">Annex 1. </w:t>
      </w:r>
      <w:r>
        <w:t xml:space="preserve">Surveillance systems overview, </w:t>
      </w:r>
      <w:r w:rsidR="00A32FE1">
        <w:t>202</w:t>
      </w:r>
      <w:r w:rsidR="002E615D">
        <w:t>3</w:t>
      </w:r>
    </w:p>
    <w:tbl>
      <w:tblPr>
        <w:tblW w:w="9918" w:type="dxa"/>
        <w:tblLook w:val="04A0" w:firstRow="1" w:lastRow="0" w:firstColumn="1" w:lastColumn="0" w:noHBand="0" w:noVBand="1"/>
      </w:tblPr>
      <w:tblGrid>
        <w:gridCol w:w="1142"/>
        <w:gridCol w:w="2709"/>
        <w:gridCol w:w="570"/>
        <w:gridCol w:w="570"/>
        <w:gridCol w:w="570"/>
        <w:gridCol w:w="570"/>
        <w:gridCol w:w="570"/>
        <w:gridCol w:w="570"/>
        <w:gridCol w:w="570"/>
        <w:gridCol w:w="570"/>
        <w:gridCol w:w="1507"/>
      </w:tblGrid>
      <w:tr w:rsidR="00BD6FEC" w:rsidRPr="002406C8" w14:paraId="550A8B58" w14:textId="77777777" w:rsidTr="000F5241">
        <w:trPr>
          <w:trHeight w:val="299"/>
        </w:trPr>
        <w:tc>
          <w:tcPr>
            <w:tcW w:w="1142"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747871D9" w14:textId="77777777" w:rsidR="00BD6FEC" w:rsidRPr="002406C8" w:rsidRDefault="00BD6FEC" w:rsidP="00BD6FEC">
            <w:pPr>
              <w:rPr>
                <w:rFonts w:eastAsia="Times New Roman" w:cs="Tahoma"/>
                <w:b/>
                <w:bCs/>
                <w:color w:val="FFFFFF"/>
                <w:sz w:val="14"/>
                <w:szCs w:val="14"/>
                <w:lang w:eastAsia="en-GB"/>
              </w:rPr>
            </w:pPr>
            <w:r w:rsidRPr="002406C8">
              <w:rPr>
                <w:rFonts w:eastAsia="Times New Roman" w:cs="Tahoma"/>
                <w:b/>
                <w:bCs/>
                <w:color w:val="FFFFFF"/>
                <w:sz w:val="14"/>
                <w:szCs w:val="14"/>
                <w:lang w:eastAsia="en-GB"/>
              </w:rPr>
              <w:t>Country</w:t>
            </w:r>
          </w:p>
        </w:tc>
        <w:tc>
          <w:tcPr>
            <w:tcW w:w="2709"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4BB48D77" w14:textId="77777777" w:rsidR="00BD6FEC" w:rsidRPr="002406C8" w:rsidRDefault="00BD6FEC" w:rsidP="00BD6FEC">
            <w:pPr>
              <w:rPr>
                <w:rFonts w:eastAsia="Times New Roman" w:cs="Tahoma"/>
                <w:b/>
                <w:bCs/>
                <w:color w:val="FFFFFF"/>
                <w:sz w:val="14"/>
                <w:szCs w:val="14"/>
                <w:lang w:eastAsia="en-GB"/>
              </w:rPr>
            </w:pPr>
            <w:r w:rsidRPr="002406C8">
              <w:rPr>
                <w:rFonts w:eastAsia="Times New Roman" w:cs="Tahoma"/>
                <w:b/>
                <w:bCs/>
                <w:color w:val="FFFFFF"/>
                <w:sz w:val="14"/>
                <w:szCs w:val="14"/>
                <w:lang w:eastAsia="en-GB"/>
              </w:rPr>
              <w:t>Data source</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8A3DCFA" w14:textId="77777777" w:rsidR="00BD6FEC" w:rsidRPr="002406C8" w:rsidRDefault="00BD6FEC" w:rsidP="00BD6FEC">
            <w:pPr>
              <w:jc w:val="center"/>
              <w:rPr>
                <w:rFonts w:eastAsia="Times New Roman" w:cs="Tahoma"/>
                <w:b/>
                <w:bCs/>
                <w:color w:val="FFFFFF"/>
                <w:sz w:val="14"/>
                <w:szCs w:val="14"/>
                <w:lang w:eastAsia="en-GB"/>
              </w:rPr>
            </w:pPr>
            <w:r w:rsidRPr="002406C8">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71615F59" w14:textId="77777777" w:rsidR="00BD6FEC" w:rsidRPr="002406C8" w:rsidRDefault="00BD6FEC" w:rsidP="00BD6FEC">
            <w:pPr>
              <w:jc w:val="center"/>
              <w:rPr>
                <w:rFonts w:eastAsia="Times New Roman" w:cs="Tahoma"/>
                <w:b/>
                <w:bCs/>
                <w:color w:val="FFFFFF"/>
                <w:sz w:val="14"/>
                <w:szCs w:val="14"/>
                <w:lang w:eastAsia="en-GB"/>
              </w:rPr>
            </w:pPr>
            <w:r w:rsidRPr="002406C8">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3F93D530" w14:textId="77777777" w:rsidR="00BD6FEC" w:rsidRPr="002406C8" w:rsidRDefault="00BD6FEC" w:rsidP="00BD6FEC">
            <w:pPr>
              <w:jc w:val="center"/>
              <w:rPr>
                <w:rFonts w:eastAsia="Times New Roman" w:cs="Tahoma"/>
                <w:b/>
                <w:bCs/>
                <w:color w:val="FFFFFF"/>
                <w:sz w:val="14"/>
                <w:szCs w:val="14"/>
                <w:lang w:eastAsia="en-GB"/>
              </w:rPr>
            </w:pPr>
            <w:r w:rsidRPr="002406C8">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25667605" w14:textId="77777777" w:rsidR="00BD6FEC" w:rsidRPr="002406C8" w:rsidRDefault="00BD6FEC" w:rsidP="00BD6FEC">
            <w:pPr>
              <w:jc w:val="center"/>
              <w:rPr>
                <w:rFonts w:eastAsia="Times New Roman" w:cs="Tahoma"/>
                <w:b/>
                <w:bCs/>
                <w:color w:val="FFFFFF"/>
                <w:sz w:val="14"/>
                <w:szCs w:val="14"/>
                <w:lang w:eastAsia="en-GB"/>
              </w:rPr>
            </w:pPr>
            <w:r w:rsidRPr="002406C8">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66CA60A7" w14:textId="77777777" w:rsidR="00BD6FEC" w:rsidRPr="002406C8" w:rsidRDefault="00BD6FEC" w:rsidP="00BD6FEC">
            <w:pPr>
              <w:jc w:val="center"/>
              <w:rPr>
                <w:rFonts w:eastAsia="Times New Roman" w:cs="Tahoma"/>
                <w:b/>
                <w:bCs/>
                <w:color w:val="FFFFFF"/>
                <w:sz w:val="14"/>
                <w:szCs w:val="14"/>
                <w:lang w:eastAsia="en-GB"/>
              </w:rPr>
            </w:pPr>
            <w:r w:rsidRPr="002406C8">
              <w:rPr>
                <w:rFonts w:eastAsia="Times New Roman" w:cs="Tahoma"/>
                <w:b/>
                <w:bCs/>
                <w:color w:val="FFFFFF"/>
                <w:sz w:val="14"/>
                <w:szCs w:val="14"/>
                <w:lang w:eastAsia="en-GB"/>
              </w:rPr>
              <w:t>Data reported by</w:t>
            </w:r>
          </w:p>
        </w:tc>
        <w:tc>
          <w:tcPr>
            <w:tcW w:w="1507"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7CEAC167" w14:textId="77777777" w:rsidR="00BD6FEC" w:rsidRPr="002406C8" w:rsidRDefault="00BD6FEC" w:rsidP="00BD6FEC">
            <w:pPr>
              <w:rPr>
                <w:rFonts w:eastAsia="Times New Roman" w:cs="Tahoma"/>
                <w:b/>
                <w:bCs/>
                <w:color w:val="FFFFFF"/>
                <w:sz w:val="14"/>
                <w:szCs w:val="14"/>
                <w:lang w:eastAsia="en-GB"/>
              </w:rPr>
            </w:pPr>
            <w:r w:rsidRPr="002406C8">
              <w:rPr>
                <w:rFonts w:eastAsia="Times New Roman" w:cs="Tahoma"/>
                <w:b/>
                <w:bCs/>
                <w:color w:val="FFFFFF"/>
                <w:sz w:val="14"/>
                <w:szCs w:val="14"/>
                <w:lang w:eastAsia="en-GB"/>
              </w:rPr>
              <w:t>Case definition used</w:t>
            </w:r>
          </w:p>
        </w:tc>
      </w:tr>
      <w:tr w:rsidR="00BD6FEC" w:rsidRPr="002406C8" w14:paraId="35C1CA60" w14:textId="77777777" w:rsidTr="000F5241">
        <w:trPr>
          <w:trHeight w:val="2853"/>
        </w:trPr>
        <w:tc>
          <w:tcPr>
            <w:tcW w:w="1142" w:type="dxa"/>
            <w:vMerge/>
            <w:tcBorders>
              <w:top w:val="single" w:sz="4" w:space="0" w:color="auto"/>
              <w:left w:val="single" w:sz="4" w:space="0" w:color="auto"/>
              <w:bottom w:val="single" w:sz="4" w:space="0" w:color="auto"/>
              <w:right w:val="single" w:sz="4" w:space="0" w:color="auto"/>
            </w:tcBorders>
            <w:vAlign w:val="center"/>
            <w:hideMark/>
          </w:tcPr>
          <w:p w14:paraId="1090A3C9" w14:textId="77777777" w:rsidR="00BD6FEC" w:rsidRPr="002406C8" w:rsidRDefault="00BD6FEC" w:rsidP="00BD6FEC">
            <w:pPr>
              <w:rPr>
                <w:rFonts w:eastAsia="Times New Roman" w:cs="Tahoma"/>
                <w:b/>
                <w:bCs/>
                <w:color w:val="FFFFFF"/>
                <w:sz w:val="14"/>
                <w:szCs w:val="14"/>
                <w:lang w:eastAsia="en-GB"/>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14:paraId="17E81051" w14:textId="77777777" w:rsidR="00BD6FEC" w:rsidRPr="002406C8" w:rsidRDefault="00BD6FEC" w:rsidP="00BD6FEC">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CC6B30A" w14:textId="77777777" w:rsidR="00BD6FEC" w:rsidRPr="002406C8" w:rsidRDefault="00BD6FEC" w:rsidP="00BD6FEC">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2DCF68A4" w14:textId="77777777" w:rsidR="00BD6FEC" w:rsidRPr="002406C8" w:rsidRDefault="00BD6FEC" w:rsidP="00BD6FEC">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8EE2589" w14:textId="77777777" w:rsidR="00BD6FEC" w:rsidRPr="002406C8" w:rsidRDefault="00BD6FEC" w:rsidP="00BD6FEC">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322B6F6" w14:textId="77777777" w:rsidR="00BD6FEC" w:rsidRPr="002406C8" w:rsidRDefault="00BD6FEC" w:rsidP="00BD6FEC">
            <w:pPr>
              <w:rPr>
                <w:rFonts w:eastAsia="Times New Roman" w:cs="Tahoma"/>
                <w:b/>
                <w:bCs/>
                <w:color w:val="FFFFFF"/>
                <w:sz w:val="14"/>
                <w:szCs w:val="14"/>
                <w:lang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55D1CC10" w14:textId="77777777" w:rsidR="00BD6FEC" w:rsidRPr="002406C8" w:rsidRDefault="00BD6FEC" w:rsidP="00BD6FEC">
            <w:pPr>
              <w:jc w:val="center"/>
              <w:rPr>
                <w:rFonts w:eastAsia="Times New Roman" w:cs="Tahoma"/>
                <w:b/>
                <w:bCs/>
                <w:color w:val="FFFFFF"/>
                <w:sz w:val="14"/>
                <w:szCs w:val="14"/>
                <w:lang w:eastAsia="en-GB"/>
              </w:rPr>
            </w:pPr>
            <w:r w:rsidRPr="002406C8">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6C8E73B3" w14:textId="77777777" w:rsidR="00BD6FEC" w:rsidRPr="002406C8" w:rsidRDefault="00BD6FEC" w:rsidP="00BD6FEC">
            <w:pPr>
              <w:jc w:val="center"/>
              <w:rPr>
                <w:rFonts w:eastAsia="Times New Roman" w:cs="Tahoma"/>
                <w:b/>
                <w:bCs/>
                <w:color w:val="FFFFFF"/>
                <w:sz w:val="14"/>
                <w:szCs w:val="14"/>
                <w:lang w:eastAsia="en-GB"/>
              </w:rPr>
            </w:pPr>
            <w:r w:rsidRPr="002406C8">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2FF99DD4" w14:textId="77777777" w:rsidR="00BD6FEC" w:rsidRPr="002406C8" w:rsidRDefault="00BD6FEC" w:rsidP="00BD6FEC">
            <w:pPr>
              <w:jc w:val="center"/>
              <w:rPr>
                <w:rFonts w:eastAsia="Times New Roman" w:cs="Tahoma"/>
                <w:b/>
                <w:bCs/>
                <w:color w:val="FFFFFF"/>
                <w:sz w:val="14"/>
                <w:szCs w:val="14"/>
                <w:lang w:eastAsia="en-GB"/>
              </w:rPr>
            </w:pPr>
            <w:r w:rsidRPr="002406C8">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162894FA" w14:textId="77777777" w:rsidR="00BD6FEC" w:rsidRPr="002406C8" w:rsidRDefault="00BD6FEC" w:rsidP="00BD6FEC">
            <w:pPr>
              <w:jc w:val="center"/>
              <w:rPr>
                <w:rFonts w:eastAsia="Times New Roman" w:cs="Tahoma"/>
                <w:b/>
                <w:bCs/>
                <w:color w:val="FFFFFF"/>
                <w:sz w:val="14"/>
                <w:szCs w:val="14"/>
                <w:lang w:eastAsia="en-GB"/>
              </w:rPr>
            </w:pPr>
            <w:r w:rsidRPr="002406C8">
              <w:rPr>
                <w:rFonts w:eastAsia="Times New Roman" w:cs="Tahoma"/>
                <w:b/>
                <w:bCs/>
                <w:color w:val="FFFFFF"/>
                <w:sz w:val="14"/>
                <w:szCs w:val="14"/>
                <w:lang w:eastAsia="en-GB"/>
              </w:rPr>
              <w:t>Others</w:t>
            </w:r>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2DE7EED2" w14:textId="77777777" w:rsidR="00BD6FEC" w:rsidRPr="002406C8" w:rsidRDefault="00BD6FEC" w:rsidP="00BD6FEC">
            <w:pPr>
              <w:rPr>
                <w:rFonts w:eastAsia="Times New Roman" w:cs="Tahoma"/>
                <w:b/>
                <w:bCs/>
                <w:color w:val="FFFFFF"/>
                <w:sz w:val="14"/>
                <w:szCs w:val="14"/>
                <w:lang w:eastAsia="en-GB"/>
              </w:rPr>
            </w:pPr>
          </w:p>
        </w:tc>
      </w:tr>
      <w:tr w:rsidR="00BD6FEC" w:rsidRPr="002406C8" w14:paraId="269B92D5" w14:textId="77777777" w:rsidTr="000F5241">
        <w:trPr>
          <w:trHeight w:val="239"/>
        </w:trPr>
        <w:tc>
          <w:tcPr>
            <w:tcW w:w="1142" w:type="dxa"/>
            <w:tcBorders>
              <w:top w:val="single" w:sz="4" w:space="0" w:color="auto"/>
              <w:left w:val="single" w:sz="4" w:space="0" w:color="auto"/>
              <w:bottom w:val="nil"/>
              <w:right w:val="single" w:sz="4" w:space="0" w:color="auto"/>
            </w:tcBorders>
            <w:shd w:val="clear" w:color="000000" w:fill="D9D9D9"/>
            <w:noWrap/>
            <w:vAlign w:val="bottom"/>
            <w:hideMark/>
          </w:tcPr>
          <w:p w14:paraId="667DA7C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Belgium</w:t>
            </w:r>
          </w:p>
        </w:tc>
        <w:tc>
          <w:tcPr>
            <w:tcW w:w="2709" w:type="dxa"/>
            <w:tcBorders>
              <w:top w:val="single" w:sz="4" w:space="0" w:color="auto"/>
              <w:left w:val="single" w:sz="4" w:space="0" w:color="auto"/>
              <w:bottom w:val="nil"/>
              <w:right w:val="single" w:sz="4" w:space="0" w:color="auto"/>
            </w:tcBorders>
            <w:shd w:val="clear" w:color="000000" w:fill="D9D9D9"/>
            <w:noWrap/>
            <w:vAlign w:val="bottom"/>
            <w:hideMark/>
          </w:tcPr>
          <w:p w14:paraId="7D9A748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BE-LABNET</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2974525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V</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6E8735DB" w14:textId="49788ECF" w:rsidR="00BD6FEC" w:rsidRPr="002406C8" w:rsidRDefault="004412D5" w:rsidP="002406C8">
            <w:pPr>
              <w:spacing w:before="120" w:after="0"/>
              <w:rPr>
                <w:rFonts w:eastAsia="Times New Roman" w:cs="Tahoma"/>
                <w:sz w:val="14"/>
                <w:szCs w:val="14"/>
                <w:lang w:eastAsia="en-GB"/>
              </w:rPr>
            </w:pPr>
            <w:r>
              <w:rPr>
                <w:rFonts w:eastAsia="Times New Roman" w:cs="Tahoma"/>
                <w:sz w:val="14"/>
                <w:szCs w:val="14"/>
                <w:lang w:eastAsia="en-GB"/>
              </w:rPr>
              <w:t>Se</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542A0E7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6C7ABC08" w14:textId="310B81DA" w:rsidR="00BD6FEC" w:rsidRPr="002406C8" w:rsidRDefault="00045945" w:rsidP="002406C8">
            <w:pPr>
              <w:spacing w:before="120" w:after="0"/>
              <w:rPr>
                <w:rFonts w:eastAsia="Times New Roman" w:cs="Tahoma"/>
                <w:sz w:val="14"/>
                <w:szCs w:val="14"/>
                <w:lang w:eastAsia="en-GB"/>
              </w:rPr>
            </w:pPr>
            <w:r>
              <w:rPr>
                <w:rFonts w:eastAsia="Times New Roman" w:cs="Tahoma"/>
                <w:sz w:val="14"/>
                <w:szCs w:val="14"/>
                <w:lang w:eastAsia="en-GB"/>
              </w:rPr>
              <w:t>C</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3B8C6AF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14EFE9C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52E8810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3CAA246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w:t>
            </w:r>
          </w:p>
        </w:tc>
        <w:tc>
          <w:tcPr>
            <w:tcW w:w="1507" w:type="dxa"/>
            <w:tcBorders>
              <w:top w:val="single" w:sz="4" w:space="0" w:color="auto"/>
              <w:left w:val="nil"/>
              <w:bottom w:val="nil"/>
              <w:right w:val="single" w:sz="4" w:space="0" w:color="auto"/>
            </w:tcBorders>
            <w:shd w:val="clear" w:color="000000" w:fill="D9D9D9"/>
            <w:noWrap/>
            <w:vAlign w:val="bottom"/>
            <w:hideMark/>
          </w:tcPr>
          <w:p w14:paraId="6642AAB3" w14:textId="21815C31"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w:t>
            </w:r>
            <w:r w:rsidR="004412D5">
              <w:rPr>
                <w:rFonts w:eastAsia="Times New Roman" w:cs="Tahoma"/>
                <w:sz w:val="14"/>
                <w:szCs w:val="14"/>
                <w:lang w:eastAsia="en-GB"/>
              </w:rPr>
              <w:t>8</w:t>
            </w:r>
          </w:p>
        </w:tc>
      </w:tr>
      <w:tr w:rsidR="00BD6FEC" w:rsidRPr="002406C8" w14:paraId="475B0401"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395CCE3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Bulgaria</w:t>
            </w:r>
          </w:p>
        </w:tc>
        <w:tc>
          <w:tcPr>
            <w:tcW w:w="2709" w:type="dxa"/>
            <w:tcBorders>
              <w:top w:val="nil"/>
              <w:left w:val="nil"/>
              <w:bottom w:val="nil"/>
              <w:right w:val="single" w:sz="4" w:space="0" w:color="auto"/>
            </w:tcBorders>
            <w:shd w:val="clear" w:color="auto" w:fill="auto"/>
            <w:noWrap/>
            <w:vAlign w:val="bottom"/>
            <w:hideMark/>
          </w:tcPr>
          <w:p w14:paraId="38610AB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BG-NATIONAL_SURVEILLANCE</w:t>
            </w:r>
          </w:p>
        </w:tc>
        <w:tc>
          <w:tcPr>
            <w:tcW w:w="570" w:type="dxa"/>
            <w:tcBorders>
              <w:top w:val="nil"/>
              <w:left w:val="nil"/>
              <w:bottom w:val="nil"/>
              <w:right w:val="single" w:sz="4" w:space="0" w:color="auto"/>
            </w:tcBorders>
            <w:shd w:val="clear" w:color="auto" w:fill="auto"/>
            <w:noWrap/>
            <w:vAlign w:val="bottom"/>
            <w:hideMark/>
          </w:tcPr>
          <w:p w14:paraId="7DE4374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3728F50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94E13B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35665F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24916C9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9FFFD3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CA182A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B1DA3D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1507" w:type="dxa"/>
            <w:tcBorders>
              <w:top w:val="nil"/>
              <w:left w:val="nil"/>
              <w:bottom w:val="nil"/>
              <w:right w:val="single" w:sz="4" w:space="0" w:color="auto"/>
            </w:tcBorders>
            <w:shd w:val="clear" w:color="auto" w:fill="auto"/>
            <w:noWrap/>
            <w:vAlign w:val="bottom"/>
            <w:hideMark/>
          </w:tcPr>
          <w:p w14:paraId="0B228BD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r w:rsidR="00BD6FEC" w:rsidRPr="002406C8" w14:paraId="08E26C8A"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09B578D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Croatia</w:t>
            </w:r>
          </w:p>
        </w:tc>
        <w:tc>
          <w:tcPr>
            <w:tcW w:w="2709" w:type="dxa"/>
            <w:tcBorders>
              <w:top w:val="nil"/>
              <w:left w:val="single" w:sz="4" w:space="0" w:color="auto"/>
              <w:bottom w:val="nil"/>
              <w:right w:val="single" w:sz="4" w:space="0" w:color="auto"/>
            </w:tcBorders>
            <w:shd w:val="clear" w:color="000000" w:fill="D9D9D9"/>
            <w:noWrap/>
            <w:vAlign w:val="bottom"/>
            <w:hideMark/>
          </w:tcPr>
          <w:p w14:paraId="11E9F88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HR-CNIPH</w:t>
            </w:r>
          </w:p>
        </w:tc>
        <w:tc>
          <w:tcPr>
            <w:tcW w:w="570" w:type="dxa"/>
            <w:tcBorders>
              <w:top w:val="nil"/>
              <w:left w:val="single" w:sz="4" w:space="0" w:color="auto"/>
              <w:bottom w:val="nil"/>
              <w:right w:val="single" w:sz="4" w:space="0" w:color="auto"/>
            </w:tcBorders>
            <w:shd w:val="clear" w:color="000000" w:fill="D9D9D9"/>
            <w:noWrap/>
            <w:vAlign w:val="bottom"/>
            <w:hideMark/>
          </w:tcPr>
          <w:p w14:paraId="57F0D2E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4CD88D3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2AAD420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53CAED5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B002AE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07AA2E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BC8609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12E778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1507" w:type="dxa"/>
            <w:tcBorders>
              <w:top w:val="nil"/>
              <w:left w:val="nil"/>
              <w:bottom w:val="nil"/>
              <w:right w:val="single" w:sz="4" w:space="0" w:color="auto"/>
            </w:tcBorders>
            <w:shd w:val="clear" w:color="000000" w:fill="D9D9D9"/>
            <w:noWrap/>
            <w:vAlign w:val="bottom"/>
            <w:hideMark/>
          </w:tcPr>
          <w:p w14:paraId="3EACDE8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EU-2012</w:t>
            </w:r>
          </w:p>
        </w:tc>
      </w:tr>
      <w:tr w:rsidR="00BD6FEC" w:rsidRPr="002406C8" w14:paraId="3301AD08"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716AAF2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Cyprus</w:t>
            </w:r>
          </w:p>
        </w:tc>
        <w:tc>
          <w:tcPr>
            <w:tcW w:w="2709" w:type="dxa"/>
            <w:tcBorders>
              <w:top w:val="nil"/>
              <w:left w:val="nil"/>
              <w:bottom w:val="nil"/>
              <w:right w:val="single" w:sz="4" w:space="0" w:color="auto"/>
            </w:tcBorders>
            <w:shd w:val="clear" w:color="auto" w:fill="auto"/>
            <w:noWrap/>
            <w:vAlign w:val="bottom"/>
            <w:hideMark/>
          </w:tcPr>
          <w:p w14:paraId="24CDDD1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CY-NOTIFIED_DISEASES</w:t>
            </w:r>
          </w:p>
        </w:tc>
        <w:tc>
          <w:tcPr>
            <w:tcW w:w="570" w:type="dxa"/>
            <w:tcBorders>
              <w:top w:val="nil"/>
              <w:left w:val="nil"/>
              <w:bottom w:val="nil"/>
              <w:right w:val="single" w:sz="4" w:space="0" w:color="auto"/>
            </w:tcBorders>
            <w:shd w:val="clear" w:color="auto" w:fill="auto"/>
            <w:noWrap/>
            <w:vAlign w:val="bottom"/>
            <w:hideMark/>
          </w:tcPr>
          <w:p w14:paraId="08A742C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3B97F1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E4D9B6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124F968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124ED0A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4A64F3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B39903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5A5ED12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auto" w:fill="auto"/>
            <w:noWrap/>
            <w:vAlign w:val="bottom"/>
            <w:hideMark/>
          </w:tcPr>
          <w:p w14:paraId="028B3F2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EU-2008</w:t>
            </w:r>
          </w:p>
        </w:tc>
      </w:tr>
      <w:tr w:rsidR="00BD6FEC" w:rsidRPr="002406C8" w14:paraId="4FAAAFE2"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6257CFC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Czechia</w:t>
            </w:r>
          </w:p>
        </w:tc>
        <w:tc>
          <w:tcPr>
            <w:tcW w:w="2709" w:type="dxa"/>
            <w:tcBorders>
              <w:top w:val="nil"/>
              <w:left w:val="single" w:sz="4" w:space="0" w:color="auto"/>
              <w:bottom w:val="nil"/>
              <w:right w:val="single" w:sz="4" w:space="0" w:color="auto"/>
            </w:tcBorders>
            <w:shd w:val="clear" w:color="000000" w:fill="D9D9D9"/>
            <w:noWrap/>
            <w:vAlign w:val="bottom"/>
            <w:hideMark/>
          </w:tcPr>
          <w:p w14:paraId="5DCB7EF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CZ-ISIN</w:t>
            </w:r>
          </w:p>
        </w:tc>
        <w:tc>
          <w:tcPr>
            <w:tcW w:w="570" w:type="dxa"/>
            <w:tcBorders>
              <w:top w:val="nil"/>
              <w:left w:val="single" w:sz="4" w:space="0" w:color="auto"/>
              <w:bottom w:val="nil"/>
              <w:right w:val="single" w:sz="4" w:space="0" w:color="auto"/>
            </w:tcBorders>
            <w:shd w:val="clear" w:color="000000" w:fill="D9D9D9"/>
            <w:noWrap/>
            <w:vAlign w:val="bottom"/>
            <w:hideMark/>
          </w:tcPr>
          <w:p w14:paraId="62D2392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5E8215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255467C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A</w:t>
            </w:r>
          </w:p>
        </w:tc>
        <w:tc>
          <w:tcPr>
            <w:tcW w:w="570" w:type="dxa"/>
            <w:tcBorders>
              <w:top w:val="nil"/>
              <w:left w:val="single" w:sz="4" w:space="0" w:color="auto"/>
              <w:bottom w:val="nil"/>
              <w:right w:val="single" w:sz="4" w:space="0" w:color="auto"/>
            </w:tcBorders>
            <w:shd w:val="clear" w:color="000000" w:fill="D9D9D9"/>
            <w:noWrap/>
            <w:vAlign w:val="bottom"/>
            <w:hideMark/>
          </w:tcPr>
          <w:p w14:paraId="321D9D8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3530F6E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27D7C0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30BC62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5BE779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000000" w:fill="D9D9D9"/>
            <w:noWrap/>
            <w:vAlign w:val="bottom"/>
            <w:hideMark/>
          </w:tcPr>
          <w:p w14:paraId="36FE2A5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EU-2008</w:t>
            </w:r>
          </w:p>
        </w:tc>
      </w:tr>
      <w:tr w:rsidR="00BD6FEC" w:rsidRPr="002406C8" w14:paraId="266B09EE"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622A42F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Estonia</w:t>
            </w:r>
          </w:p>
        </w:tc>
        <w:tc>
          <w:tcPr>
            <w:tcW w:w="2709" w:type="dxa"/>
            <w:tcBorders>
              <w:top w:val="nil"/>
              <w:left w:val="nil"/>
              <w:bottom w:val="nil"/>
              <w:right w:val="single" w:sz="4" w:space="0" w:color="auto"/>
            </w:tcBorders>
            <w:shd w:val="clear" w:color="auto" w:fill="auto"/>
            <w:noWrap/>
            <w:vAlign w:val="bottom"/>
            <w:hideMark/>
          </w:tcPr>
          <w:p w14:paraId="0A591EE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EE-NAKIS</w:t>
            </w:r>
          </w:p>
        </w:tc>
        <w:tc>
          <w:tcPr>
            <w:tcW w:w="570" w:type="dxa"/>
            <w:tcBorders>
              <w:top w:val="nil"/>
              <w:left w:val="nil"/>
              <w:bottom w:val="nil"/>
              <w:right w:val="single" w:sz="4" w:space="0" w:color="auto"/>
            </w:tcBorders>
            <w:shd w:val="clear" w:color="auto" w:fill="auto"/>
            <w:noWrap/>
            <w:vAlign w:val="bottom"/>
            <w:hideMark/>
          </w:tcPr>
          <w:p w14:paraId="180478B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7E96C4C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909475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74029E1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2378795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FD4622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1C6B16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E8FEB6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auto" w:fill="auto"/>
            <w:noWrap/>
            <w:vAlign w:val="bottom"/>
            <w:hideMark/>
          </w:tcPr>
          <w:p w14:paraId="22475A9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r w:rsidR="00BD6FEC" w:rsidRPr="002406C8" w14:paraId="01D93EBE"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7368B65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Finland</w:t>
            </w:r>
          </w:p>
        </w:tc>
        <w:tc>
          <w:tcPr>
            <w:tcW w:w="2709" w:type="dxa"/>
            <w:tcBorders>
              <w:top w:val="nil"/>
              <w:left w:val="single" w:sz="4" w:space="0" w:color="auto"/>
              <w:bottom w:val="nil"/>
              <w:right w:val="single" w:sz="4" w:space="0" w:color="auto"/>
            </w:tcBorders>
            <w:shd w:val="clear" w:color="000000" w:fill="D9D9D9"/>
            <w:noWrap/>
            <w:vAlign w:val="bottom"/>
            <w:hideMark/>
          </w:tcPr>
          <w:p w14:paraId="1328215E"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FI-NIDR</w:t>
            </w:r>
          </w:p>
        </w:tc>
        <w:tc>
          <w:tcPr>
            <w:tcW w:w="570" w:type="dxa"/>
            <w:tcBorders>
              <w:top w:val="nil"/>
              <w:left w:val="single" w:sz="4" w:space="0" w:color="auto"/>
              <w:bottom w:val="nil"/>
              <w:right w:val="single" w:sz="4" w:space="0" w:color="auto"/>
            </w:tcBorders>
            <w:shd w:val="clear" w:color="000000" w:fill="D9D9D9"/>
            <w:noWrap/>
            <w:vAlign w:val="bottom"/>
            <w:hideMark/>
          </w:tcPr>
          <w:p w14:paraId="0594CD1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88BEEA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6B50331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7EC50E2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68BD313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D1590E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F64AEC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5492FA3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000000" w:fill="D9D9D9"/>
            <w:noWrap/>
            <w:vAlign w:val="bottom"/>
            <w:hideMark/>
          </w:tcPr>
          <w:p w14:paraId="2595E0AE"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EU-2012</w:t>
            </w:r>
          </w:p>
        </w:tc>
      </w:tr>
      <w:tr w:rsidR="00BD6FEC" w:rsidRPr="002406C8" w14:paraId="616A85AA"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0648B61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Germany</w:t>
            </w:r>
          </w:p>
        </w:tc>
        <w:tc>
          <w:tcPr>
            <w:tcW w:w="2709" w:type="dxa"/>
            <w:tcBorders>
              <w:top w:val="nil"/>
              <w:left w:val="nil"/>
              <w:bottom w:val="nil"/>
              <w:right w:val="single" w:sz="4" w:space="0" w:color="auto"/>
            </w:tcBorders>
            <w:shd w:val="clear" w:color="auto" w:fill="auto"/>
            <w:noWrap/>
            <w:vAlign w:val="bottom"/>
            <w:hideMark/>
          </w:tcPr>
          <w:p w14:paraId="2E7EA3F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DE-SURVNET@RKI-7.1</w:t>
            </w:r>
          </w:p>
        </w:tc>
        <w:tc>
          <w:tcPr>
            <w:tcW w:w="570" w:type="dxa"/>
            <w:tcBorders>
              <w:top w:val="nil"/>
              <w:left w:val="nil"/>
              <w:bottom w:val="nil"/>
              <w:right w:val="single" w:sz="4" w:space="0" w:color="auto"/>
            </w:tcBorders>
            <w:shd w:val="clear" w:color="auto" w:fill="auto"/>
            <w:noWrap/>
            <w:vAlign w:val="bottom"/>
            <w:hideMark/>
          </w:tcPr>
          <w:p w14:paraId="4B65251E"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24DDE2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050760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29CDC28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5AD159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C22669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EC7CC0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51EA587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auto" w:fill="auto"/>
            <w:noWrap/>
            <w:vAlign w:val="bottom"/>
            <w:hideMark/>
          </w:tcPr>
          <w:p w14:paraId="264FE0A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Other</w:t>
            </w:r>
          </w:p>
        </w:tc>
      </w:tr>
      <w:tr w:rsidR="00BD6FEC" w:rsidRPr="002406C8" w14:paraId="032AB22C"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4E96B58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Greece</w:t>
            </w:r>
          </w:p>
        </w:tc>
        <w:tc>
          <w:tcPr>
            <w:tcW w:w="2709" w:type="dxa"/>
            <w:tcBorders>
              <w:top w:val="nil"/>
              <w:left w:val="single" w:sz="4" w:space="0" w:color="auto"/>
              <w:bottom w:val="nil"/>
              <w:right w:val="single" w:sz="4" w:space="0" w:color="auto"/>
            </w:tcBorders>
            <w:shd w:val="clear" w:color="000000" w:fill="D9D9D9"/>
            <w:noWrap/>
            <w:vAlign w:val="bottom"/>
            <w:hideMark/>
          </w:tcPr>
          <w:p w14:paraId="06BEF60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EL-</w:t>
            </w:r>
            <w:proofErr w:type="spellStart"/>
            <w:r w:rsidRPr="002406C8">
              <w:rPr>
                <w:rFonts w:eastAsia="Times New Roman" w:cs="Tahoma"/>
                <w:sz w:val="14"/>
                <w:szCs w:val="14"/>
                <w:lang w:eastAsia="en-GB"/>
              </w:rPr>
              <w:t>Lab_Hospital</w:t>
            </w:r>
            <w:proofErr w:type="spellEnd"/>
          </w:p>
        </w:tc>
        <w:tc>
          <w:tcPr>
            <w:tcW w:w="570" w:type="dxa"/>
            <w:tcBorders>
              <w:top w:val="nil"/>
              <w:left w:val="single" w:sz="4" w:space="0" w:color="auto"/>
              <w:bottom w:val="nil"/>
              <w:right w:val="single" w:sz="4" w:space="0" w:color="auto"/>
            </w:tcBorders>
            <w:shd w:val="clear" w:color="000000" w:fill="D9D9D9"/>
            <w:noWrap/>
            <w:vAlign w:val="bottom"/>
            <w:hideMark/>
          </w:tcPr>
          <w:p w14:paraId="66F1394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V</w:t>
            </w:r>
          </w:p>
        </w:tc>
        <w:tc>
          <w:tcPr>
            <w:tcW w:w="570" w:type="dxa"/>
            <w:tcBorders>
              <w:top w:val="nil"/>
              <w:left w:val="single" w:sz="4" w:space="0" w:color="auto"/>
              <w:bottom w:val="nil"/>
              <w:right w:val="single" w:sz="4" w:space="0" w:color="auto"/>
            </w:tcBorders>
            <w:shd w:val="clear" w:color="000000" w:fill="D9D9D9"/>
            <w:noWrap/>
            <w:vAlign w:val="bottom"/>
            <w:hideMark/>
          </w:tcPr>
          <w:p w14:paraId="4F2FC86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O</w:t>
            </w:r>
          </w:p>
        </w:tc>
        <w:tc>
          <w:tcPr>
            <w:tcW w:w="570" w:type="dxa"/>
            <w:tcBorders>
              <w:top w:val="nil"/>
              <w:left w:val="single" w:sz="4" w:space="0" w:color="auto"/>
              <w:bottom w:val="nil"/>
              <w:right w:val="single" w:sz="4" w:space="0" w:color="auto"/>
            </w:tcBorders>
            <w:shd w:val="clear" w:color="000000" w:fill="D9D9D9"/>
            <w:noWrap/>
            <w:vAlign w:val="bottom"/>
            <w:hideMark/>
          </w:tcPr>
          <w:p w14:paraId="77285FF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A</w:t>
            </w:r>
          </w:p>
        </w:tc>
        <w:tc>
          <w:tcPr>
            <w:tcW w:w="570" w:type="dxa"/>
            <w:tcBorders>
              <w:top w:val="nil"/>
              <w:left w:val="single" w:sz="4" w:space="0" w:color="auto"/>
              <w:bottom w:val="nil"/>
              <w:right w:val="single" w:sz="4" w:space="0" w:color="auto"/>
            </w:tcBorders>
            <w:shd w:val="clear" w:color="000000" w:fill="D9D9D9"/>
            <w:noWrap/>
            <w:vAlign w:val="bottom"/>
            <w:hideMark/>
          </w:tcPr>
          <w:p w14:paraId="62F7C381"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A</w:t>
            </w:r>
          </w:p>
        </w:tc>
        <w:tc>
          <w:tcPr>
            <w:tcW w:w="570" w:type="dxa"/>
            <w:tcBorders>
              <w:top w:val="nil"/>
              <w:left w:val="single" w:sz="4" w:space="0" w:color="auto"/>
              <w:bottom w:val="nil"/>
              <w:right w:val="single" w:sz="4" w:space="0" w:color="auto"/>
            </w:tcBorders>
            <w:shd w:val="clear" w:color="000000" w:fill="D9D9D9"/>
            <w:noWrap/>
            <w:vAlign w:val="bottom"/>
            <w:hideMark/>
          </w:tcPr>
          <w:p w14:paraId="56140E1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A6D8D9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37DD3EF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DC50ED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000000" w:fill="D9D9D9"/>
            <w:noWrap/>
            <w:vAlign w:val="bottom"/>
            <w:hideMark/>
          </w:tcPr>
          <w:p w14:paraId="4BD69BFA" w14:textId="1B03DEC5" w:rsidR="00BD6FEC" w:rsidRPr="002406C8" w:rsidRDefault="0014531B" w:rsidP="002406C8">
            <w:pPr>
              <w:spacing w:before="120" w:after="0"/>
              <w:rPr>
                <w:rFonts w:eastAsia="Times New Roman" w:cs="Tahoma"/>
                <w:sz w:val="14"/>
                <w:szCs w:val="14"/>
                <w:lang w:eastAsia="en-GB"/>
              </w:rPr>
            </w:pPr>
            <w:r>
              <w:rPr>
                <w:rFonts w:eastAsia="Times New Roman" w:cs="Tahoma"/>
                <w:sz w:val="14"/>
                <w:szCs w:val="14"/>
                <w:lang w:eastAsia="en-GB"/>
              </w:rPr>
              <w:t>Other</w:t>
            </w:r>
          </w:p>
        </w:tc>
      </w:tr>
      <w:tr w:rsidR="00BD6FEC" w:rsidRPr="002406C8" w14:paraId="297B6991"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1801E82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Hungary</w:t>
            </w:r>
          </w:p>
        </w:tc>
        <w:tc>
          <w:tcPr>
            <w:tcW w:w="2709" w:type="dxa"/>
            <w:tcBorders>
              <w:top w:val="nil"/>
              <w:left w:val="nil"/>
              <w:bottom w:val="nil"/>
              <w:right w:val="single" w:sz="4" w:space="0" w:color="auto"/>
            </w:tcBorders>
            <w:shd w:val="clear" w:color="auto" w:fill="auto"/>
            <w:noWrap/>
            <w:vAlign w:val="bottom"/>
            <w:hideMark/>
          </w:tcPr>
          <w:p w14:paraId="1C32D89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HU-EFRIR</w:t>
            </w:r>
          </w:p>
        </w:tc>
        <w:tc>
          <w:tcPr>
            <w:tcW w:w="570" w:type="dxa"/>
            <w:tcBorders>
              <w:top w:val="nil"/>
              <w:left w:val="nil"/>
              <w:bottom w:val="nil"/>
              <w:right w:val="single" w:sz="4" w:space="0" w:color="auto"/>
            </w:tcBorders>
            <w:shd w:val="clear" w:color="auto" w:fill="auto"/>
            <w:noWrap/>
            <w:vAlign w:val="bottom"/>
            <w:hideMark/>
          </w:tcPr>
          <w:p w14:paraId="65AADAF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69FEB1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200B6AC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710C842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08368B9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F94BA3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7B81AC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CE845D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auto" w:fill="auto"/>
            <w:noWrap/>
            <w:vAlign w:val="bottom"/>
            <w:hideMark/>
          </w:tcPr>
          <w:p w14:paraId="25CC4B8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EU-2012</w:t>
            </w:r>
          </w:p>
        </w:tc>
      </w:tr>
      <w:tr w:rsidR="00BD6FEC" w:rsidRPr="002406C8" w14:paraId="6168A856"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7E8DB77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Iceland</w:t>
            </w:r>
          </w:p>
        </w:tc>
        <w:tc>
          <w:tcPr>
            <w:tcW w:w="2709" w:type="dxa"/>
            <w:tcBorders>
              <w:top w:val="nil"/>
              <w:left w:val="single" w:sz="4" w:space="0" w:color="auto"/>
              <w:bottom w:val="nil"/>
              <w:right w:val="single" w:sz="4" w:space="0" w:color="auto"/>
            </w:tcBorders>
            <w:shd w:val="clear" w:color="000000" w:fill="D9D9D9"/>
            <w:noWrap/>
            <w:vAlign w:val="bottom"/>
            <w:hideMark/>
          </w:tcPr>
          <w:p w14:paraId="1DC5321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IS-SUBJECT_TO_REGISTRATION</w:t>
            </w:r>
          </w:p>
        </w:tc>
        <w:tc>
          <w:tcPr>
            <w:tcW w:w="570" w:type="dxa"/>
            <w:tcBorders>
              <w:top w:val="nil"/>
              <w:left w:val="single" w:sz="4" w:space="0" w:color="auto"/>
              <w:bottom w:val="nil"/>
              <w:right w:val="single" w:sz="4" w:space="0" w:color="auto"/>
            </w:tcBorders>
            <w:shd w:val="clear" w:color="000000" w:fill="D9D9D9"/>
            <w:noWrap/>
            <w:vAlign w:val="bottom"/>
            <w:hideMark/>
          </w:tcPr>
          <w:p w14:paraId="31207E8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46A3659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057C926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1708E5F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4B69F95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B8F273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DE0540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w:t>
            </w:r>
          </w:p>
        </w:tc>
        <w:tc>
          <w:tcPr>
            <w:tcW w:w="570" w:type="dxa"/>
            <w:tcBorders>
              <w:top w:val="nil"/>
              <w:left w:val="single" w:sz="4" w:space="0" w:color="auto"/>
              <w:bottom w:val="nil"/>
              <w:right w:val="single" w:sz="4" w:space="0" w:color="auto"/>
            </w:tcBorders>
            <w:shd w:val="clear" w:color="000000" w:fill="D9D9D9"/>
            <w:noWrap/>
            <w:vAlign w:val="bottom"/>
            <w:hideMark/>
          </w:tcPr>
          <w:p w14:paraId="2205663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w:t>
            </w:r>
          </w:p>
        </w:tc>
        <w:tc>
          <w:tcPr>
            <w:tcW w:w="1507" w:type="dxa"/>
            <w:tcBorders>
              <w:top w:val="nil"/>
              <w:left w:val="nil"/>
              <w:bottom w:val="nil"/>
              <w:right w:val="single" w:sz="4" w:space="0" w:color="auto"/>
            </w:tcBorders>
            <w:shd w:val="clear" w:color="000000" w:fill="D9D9D9"/>
            <w:noWrap/>
            <w:vAlign w:val="bottom"/>
            <w:hideMark/>
          </w:tcPr>
          <w:p w14:paraId="442F309C" w14:textId="138047A8"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w:t>
            </w:r>
            <w:r w:rsidR="003A12EB" w:rsidRPr="002406C8">
              <w:rPr>
                <w:rFonts w:eastAsia="Times New Roman" w:cs="Tahoma"/>
                <w:sz w:val="14"/>
                <w:szCs w:val="14"/>
                <w:lang w:eastAsia="en-GB"/>
              </w:rPr>
              <w:t>8</w:t>
            </w:r>
          </w:p>
        </w:tc>
      </w:tr>
      <w:tr w:rsidR="00BD6FEC" w:rsidRPr="002406C8" w14:paraId="15BF8CC8"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070ED90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Ireland</w:t>
            </w:r>
          </w:p>
        </w:tc>
        <w:tc>
          <w:tcPr>
            <w:tcW w:w="2709" w:type="dxa"/>
            <w:tcBorders>
              <w:top w:val="nil"/>
              <w:left w:val="nil"/>
              <w:bottom w:val="nil"/>
              <w:right w:val="single" w:sz="4" w:space="0" w:color="auto"/>
            </w:tcBorders>
            <w:shd w:val="clear" w:color="auto" w:fill="auto"/>
            <w:noWrap/>
            <w:vAlign w:val="bottom"/>
            <w:hideMark/>
          </w:tcPr>
          <w:p w14:paraId="5FA825E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IE-CIDR</w:t>
            </w:r>
          </w:p>
        </w:tc>
        <w:tc>
          <w:tcPr>
            <w:tcW w:w="570" w:type="dxa"/>
            <w:tcBorders>
              <w:top w:val="nil"/>
              <w:left w:val="nil"/>
              <w:bottom w:val="nil"/>
              <w:right w:val="single" w:sz="4" w:space="0" w:color="auto"/>
            </w:tcBorders>
            <w:shd w:val="clear" w:color="auto" w:fill="auto"/>
            <w:noWrap/>
            <w:vAlign w:val="bottom"/>
            <w:hideMark/>
          </w:tcPr>
          <w:p w14:paraId="50C2D24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5D09D2F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CEE6FFE"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24B5A8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FDE0061"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2C180A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47234D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C627E6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auto" w:fill="auto"/>
            <w:noWrap/>
            <w:vAlign w:val="bottom"/>
            <w:hideMark/>
          </w:tcPr>
          <w:p w14:paraId="09978B1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EU-2008</w:t>
            </w:r>
          </w:p>
        </w:tc>
      </w:tr>
      <w:tr w:rsidR="00BD6FEC" w:rsidRPr="002406C8" w14:paraId="4D5C8A50"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70889A9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Latvia</w:t>
            </w:r>
          </w:p>
        </w:tc>
        <w:tc>
          <w:tcPr>
            <w:tcW w:w="2709" w:type="dxa"/>
            <w:tcBorders>
              <w:top w:val="nil"/>
              <w:left w:val="single" w:sz="4" w:space="0" w:color="auto"/>
              <w:bottom w:val="nil"/>
              <w:right w:val="single" w:sz="4" w:space="0" w:color="auto"/>
            </w:tcBorders>
            <w:shd w:val="clear" w:color="000000" w:fill="D9D9D9"/>
            <w:noWrap/>
            <w:vAlign w:val="bottom"/>
            <w:hideMark/>
          </w:tcPr>
          <w:p w14:paraId="439E723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LV-BSN</w:t>
            </w:r>
          </w:p>
        </w:tc>
        <w:tc>
          <w:tcPr>
            <w:tcW w:w="570" w:type="dxa"/>
            <w:tcBorders>
              <w:top w:val="nil"/>
              <w:left w:val="single" w:sz="4" w:space="0" w:color="auto"/>
              <w:bottom w:val="nil"/>
              <w:right w:val="single" w:sz="4" w:space="0" w:color="auto"/>
            </w:tcBorders>
            <w:shd w:val="clear" w:color="000000" w:fill="D9D9D9"/>
            <w:noWrap/>
            <w:vAlign w:val="bottom"/>
            <w:hideMark/>
          </w:tcPr>
          <w:p w14:paraId="30904AA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2A8D862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1260153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0B1B3F7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F5E999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B36014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1DBE41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BC97A3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000000" w:fill="D9D9D9"/>
            <w:noWrap/>
            <w:vAlign w:val="bottom"/>
            <w:hideMark/>
          </w:tcPr>
          <w:p w14:paraId="6B62EE4A" w14:textId="7ABA8F07" w:rsidR="00BD6FEC" w:rsidRPr="002406C8" w:rsidRDefault="00FC2A2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r w:rsidR="00BD6FEC" w:rsidRPr="002406C8" w14:paraId="11DA2A85"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7232FB9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Lithuania</w:t>
            </w:r>
          </w:p>
        </w:tc>
        <w:tc>
          <w:tcPr>
            <w:tcW w:w="2709" w:type="dxa"/>
            <w:tcBorders>
              <w:top w:val="nil"/>
              <w:left w:val="nil"/>
              <w:bottom w:val="nil"/>
              <w:right w:val="single" w:sz="4" w:space="0" w:color="auto"/>
            </w:tcBorders>
            <w:shd w:val="clear" w:color="auto" w:fill="auto"/>
            <w:noWrap/>
            <w:vAlign w:val="bottom"/>
            <w:hideMark/>
          </w:tcPr>
          <w:p w14:paraId="28EB02F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LT-COMMUNICABLE_DISEASES</w:t>
            </w:r>
          </w:p>
        </w:tc>
        <w:tc>
          <w:tcPr>
            <w:tcW w:w="570" w:type="dxa"/>
            <w:tcBorders>
              <w:top w:val="nil"/>
              <w:left w:val="nil"/>
              <w:bottom w:val="nil"/>
              <w:right w:val="single" w:sz="4" w:space="0" w:color="auto"/>
            </w:tcBorders>
            <w:shd w:val="clear" w:color="auto" w:fill="auto"/>
            <w:noWrap/>
            <w:vAlign w:val="bottom"/>
            <w:hideMark/>
          </w:tcPr>
          <w:p w14:paraId="5ADC697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54C6972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61A1915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E520FE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D38BB1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46EB86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6A506E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2405E02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auto" w:fill="auto"/>
            <w:noWrap/>
            <w:vAlign w:val="bottom"/>
            <w:hideMark/>
          </w:tcPr>
          <w:p w14:paraId="1075CA2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r w:rsidR="00BD6FEC" w:rsidRPr="002406C8" w14:paraId="1514D7D2"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799DE1B1"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Luxembourg</w:t>
            </w:r>
          </w:p>
        </w:tc>
        <w:tc>
          <w:tcPr>
            <w:tcW w:w="2709" w:type="dxa"/>
            <w:tcBorders>
              <w:top w:val="nil"/>
              <w:left w:val="single" w:sz="4" w:space="0" w:color="auto"/>
              <w:bottom w:val="nil"/>
              <w:right w:val="single" w:sz="4" w:space="0" w:color="auto"/>
            </w:tcBorders>
            <w:shd w:val="clear" w:color="000000" w:fill="D9D9D9"/>
            <w:noWrap/>
            <w:vAlign w:val="bottom"/>
            <w:hideMark/>
          </w:tcPr>
          <w:p w14:paraId="38E8380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LU-SYSTEM1</w:t>
            </w:r>
          </w:p>
        </w:tc>
        <w:tc>
          <w:tcPr>
            <w:tcW w:w="570" w:type="dxa"/>
            <w:tcBorders>
              <w:top w:val="nil"/>
              <w:left w:val="single" w:sz="4" w:space="0" w:color="auto"/>
              <w:bottom w:val="nil"/>
              <w:right w:val="single" w:sz="4" w:space="0" w:color="auto"/>
            </w:tcBorders>
            <w:shd w:val="clear" w:color="000000" w:fill="D9D9D9"/>
            <w:noWrap/>
            <w:vAlign w:val="bottom"/>
            <w:hideMark/>
          </w:tcPr>
          <w:p w14:paraId="3FBAB17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783740A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AB739E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62343B0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08C9C16F" w14:textId="34961C6A" w:rsidR="00BD6FEC" w:rsidRPr="002406C8" w:rsidRDefault="00687BA0"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F0E67C9" w14:textId="3576B87C" w:rsidR="00BD6FEC" w:rsidRPr="002406C8" w:rsidRDefault="00687BA0"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26B0672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58723AE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000000" w:fill="D9D9D9"/>
            <w:noWrap/>
            <w:vAlign w:val="bottom"/>
            <w:hideMark/>
          </w:tcPr>
          <w:p w14:paraId="314A93CC" w14:textId="0662C141"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w:t>
            </w:r>
            <w:r w:rsidR="00687BA0" w:rsidRPr="002406C8">
              <w:rPr>
                <w:rFonts w:eastAsia="Times New Roman" w:cs="Tahoma"/>
                <w:sz w:val="14"/>
                <w:szCs w:val="14"/>
                <w:lang w:eastAsia="en-GB"/>
              </w:rPr>
              <w:t>18</w:t>
            </w:r>
          </w:p>
        </w:tc>
      </w:tr>
      <w:tr w:rsidR="00BD6FEC" w:rsidRPr="002406C8" w14:paraId="4B05EA21"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5BA85D8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Malta</w:t>
            </w:r>
          </w:p>
        </w:tc>
        <w:tc>
          <w:tcPr>
            <w:tcW w:w="2709" w:type="dxa"/>
            <w:tcBorders>
              <w:top w:val="nil"/>
              <w:left w:val="nil"/>
              <w:bottom w:val="nil"/>
              <w:right w:val="single" w:sz="4" w:space="0" w:color="auto"/>
            </w:tcBorders>
            <w:shd w:val="clear" w:color="auto" w:fill="auto"/>
            <w:noWrap/>
            <w:vAlign w:val="bottom"/>
            <w:hideMark/>
          </w:tcPr>
          <w:p w14:paraId="6519778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MT-DISEASE_SURVEILLANCE</w:t>
            </w:r>
          </w:p>
        </w:tc>
        <w:tc>
          <w:tcPr>
            <w:tcW w:w="570" w:type="dxa"/>
            <w:tcBorders>
              <w:top w:val="nil"/>
              <w:left w:val="nil"/>
              <w:bottom w:val="nil"/>
              <w:right w:val="single" w:sz="4" w:space="0" w:color="auto"/>
            </w:tcBorders>
            <w:shd w:val="clear" w:color="auto" w:fill="auto"/>
            <w:noWrap/>
            <w:vAlign w:val="bottom"/>
            <w:hideMark/>
          </w:tcPr>
          <w:p w14:paraId="1D0C8F8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5EAFB1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22AEB0E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22C4DC0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539605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531D01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309883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FBC12E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1507" w:type="dxa"/>
            <w:tcBorders>
              <w:top w:val="nil"/>
              <w:left w:val="nil"/>
              <w:bottom w:val="nil"/>
              <w:right w:val="single" w:sz="4" w:space="0" w:color="auto"/>
            </w:tcBorders>
            <w:shd w:val="clear" w:color="auto" w:fill="auto"/>
            <w:noWrap/>
            <w:vAlign w:val="bottom"/>
            <w:hideMark/>
          </w:tcPr>
          <w:p w14:paraId="5D2E0F1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r w:rsidR="00BD6FEC" w:rsidRPr="002406C8" w14:paraId="2D0B5B37"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3CF3C8B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Norway</w:t>
            </w:r>
          </w:p>
        </w:tc>
        <w:tc>
          <w:tcPr>
            <w:tcW w:w="2709" w:type="dxa"/>
            <w:tcBorders>
              <w:top w:val="nil"/>
              <w:left w:val="single" w:sz="4" w:space="0" w:color="auto"/>
              <w:bottom w:val="nil"/>
              <w:right w:val="single" w:sz="4" w:space="0" w:color="auto"/>
            </w:tcBorders>
            <w:shd w:val="clear" w:color="000000" w:fill="D9D9D9"/>
            <w:noWrap/>
            <w:vAlign w:val="bottom"/>
            <w:hideMark/>
          </w:tcPr>
          <w:p w14:paraId="6F68987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NO-MSIS_A</w:t>
            </w:r>
          </w:p>
        </w:tc>
        <w:tc>
          <w:tcPr>
            <w:tcW w:w="570" w:type="dxa"/>
            <w:tcBorders>
              <w:top w:val="nil"/>
              <w:left w:val="single" w:sz="4" w:space="0" w:color="auto"/>
              <w:bottom w:val="nil"/>
              <w:right w:val="single" w:sz="4" w:space="0" w:color="auto"/>
            </w:tcBorders>
            <w:shd w:val="clear" w:color="000000" w:fill="D9D9D9"/>
            <w:noWrap/>
            <w:vAlign w:val="bottom"/>
            <w:hideMark/>
          </w:tcPr>
          <w:p w14:paraId="1AAE8BC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534930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3CF94F8E"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36DD68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67CBA7A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AEB646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3774F6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32E250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000000" w:fill="D9D9D9"/>
            <w:noWrap/>
            <w:vAlign w:val="bottom"/>
            <w:hideMark/>
          </w:tcPr>
          <w:p w14:paraId="6C4EFB4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r w:rsidR="00BD6FEC" w:rsidRPr="002406C8" w14:paraId="27E6975E"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27B7274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Poland</w:t>
            </w:r>
          </w:p>
        </w:tc>
        <w:tc>
          <w:tcPr>
            <w:tcW w:w="2709" w:type="dxa"/>
            <w:tcBorders>
              <w:top w:val="nil"/>
              <w:left w:val="nil"/>
              <w:bottom w:val="nil"/>
              <w:right w:val="single" w:sz="4" w:space="0" w:color="auto"/>
            </w:tcBorders>
            <w:shd w:val="clear" w:color="auto" w:fill="auto"/>
            <w:noWrap/>
            <w:vAlign w:val="bottom"/>
            <w:hideMark/>
          </w:tcPr>
          <w:p w14:paraId="386A573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PL-NATIONAL_SURVEILLANCE</w:t>
            </w:r>
          </w:p>
        </w:tc>
        <w:tc>
          <w:tcPr>
            <w:tcW w:w="570" w:type="dxa"/>
            <w:tcBorders>
              <w:top w:val="nil"/>
              <w:left w:val="nil"/>
              <w:bottom w:val="nil"/>
              <w:right w:val="single" w:sz="4" w:space="0" w:color="auto"/>
            </w:tcBorders>
            <w:shd w:val="clear" w:color="auto" w:fill="auto"/>
            <w:noWrap/>
            <w:vAlign w:val="bottom"/>
            <w:hideMark/>
          </w:tcPr>
          <w:p w14:paraId="629F8D1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DF4EEE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87E8A5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98EAED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1D6F3AE"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E4F382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02AC14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345C42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auto" w:fill="auto"/>
            <w:noWrap/>
            <w:vAlign w:val="bottom"/>
            <w:hideMark/>
          </w:tcPr>
          <w:p w14:paraId="168282F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r w:rsidR="00BD6FEC" w:rsidRPr="002406C8" w14:paraId="7D7020FD"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5449CAF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Portugal</w:t>
            </w:r>
          </w:p>
        </w:tc>
        <w:tc>
          <w:tcPr>
            <w:tcW w:w="2709" w:type="dxa"/>
            <w:tcBorders>
              <w:top w:val="nil"/>
              <w:left w:val="single" w:sz="4" w:space="0" w:color="auto"/>
              <w:bottom w:val="nil"/>
              <w:right w:val="single" w:sz="4" w:space="0" w:color="auto"/>
            </w:tcBorders>
            <w:shd w:val="clear" w:color="000000" w:fill="D9D9D9"/>
            <w:noWrap/>
            <w:vAlign w:val="bottom"/>
            <w:hideMark/>
          </w:tcPr>
          <w:p w14:paraId="2DFD1D9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PT-GIAR</w:t>
            </w:r>
          </w:p>
        </w:tc>
        <w:tc>
          <w:tcPr>
            <w:tcW w:w="570" w:type="dxa"/>
            <w:tcBorders>
              <w:top w:val="nil"/>
              <w:left w:val="single" w:sz="4" w:space="0" w:color="auto"/>
              <w:bottom w:val="nil"/>
              <w:right w:val="single" w:sz="4" w:space="0" w:color="auto"/>
            </w:tcBorders>
            <w:shd w:val="clear" w:color="000000" w:fill="D9D9D9"/>
            <w:noWrap/>
            <w:vAlign w:val="bottom"/>
            <w:hideMark/>
          </w:tcPr>
          <w:p w14:paraId="6264B68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4CBADA8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375ED240" w14:textId="279B523A" w:rsidR="00BD6FEC" w:rsidRPr="002406C8" w:rsidRDefault="004749DC" w:rsidP="002406C8">
            <w:pPr>
              <w:spacing w:before="120" w:after="0"/>
              <w:rPr>
                <w:rFonts w:eastAsia="Times New Roman" w:cs="Tahoma"/>
                <w:sz w:val="14"/>
                <w:szCs w:val="14"/>
                <w:lang w:eastAsia="en-GB"/>
              </w:rPr>
            </w:pPr>
            <w:r>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BB4AD3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6D666AF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0D21E72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8ADE58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24BAA3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000000" w:fill="D9D9D9"/>
            <w:noWrap/>
            <w:vAlign w:val="bottom"/>
            <w:hideMark/>
          </w:tcPr>
          <w:p w14:paraId="5BCDB39B" w14:textId="1346CCC1"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w:t>
            </w:r>
            <w:r w:rsidR="00E02C3B" w:rsidRPr="002406C8">
              <w:rPr>
                <w:rFonts w:eastAsia="Times New Roman" w:cs="Tahoma"/>
                <w:sz w:val="14"/>
                <w:szCs w:val="14"/>
                <w:lang w:eastAsia="en-GB"/>
              </w:rPr>
              <w:t>8</w:t>
            </w:r>
          </w:p>
        </w:tc>
      </w:tr>
      <w:tr w:rsidR="00BD6FEC" w:rsidRPr="002406C8" w14:paraId="5FFB553A"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51AE886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Romania</w:t>
            </w:r>
          </w:p>
        </w:tc>
        <w:tc>
          <w:tcPr>
            <w:tcW w:w="2709" w:type="dxa"/>
            <w:tcBorders>
              <w:top w:val="nil"/>
              <w:left w:val="nil"/>
              <w:bottom w:val="nil"/>
              <w:right w:val="single" w:sz="4" w:space="0" w:color="auto"/>
            </w:tcBorders>
            <w:shd w:val="clear" w:color="auto" w:fill="auto"/>
            <w:noWrap/>
            <w:vAlign w:val="bottom"/>
            <w:hideMark/>
          </w:tcPr>
          <w:p w14:paraId="2FB32F2F"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RO-</w:t>
            </w:r>
            <w:proofErr w:type="spellStart"/>
            <w:r w:rsidRPr="002406C8">
              <w:rPr>
                <w:rFonts w:eastAsia="Times New Roman" w:cs="Tahoma"/>
                <w:sz w:val="14"/>
                <w:szCs w:val="14"/>
                <w:lang w:eastAsia="en-GB"/>
              </w:rPr>
              <w:t>RNSSy</w:t>
            </w:r>
            <w:proofErr w:type="spellEnd"/>
          </w:p>
        </w:tc>
        <w:tc>
          <w:tcPr>
            <w:tcW w:w="570" w:type="dxa"/>
            <w:tcBorders>
              <w:top w:val="nil"/>
              <w:left w:val="nil"/>
              <w:bottom w:val="nil"/>
              <w:right w:val="single" w:sz="4" w:space="0" w:color="auto"/>
            </w:tcBorders>
            <w:shd w:val="clear" w:color="auto" w:fill="auto"/>
            <w:noWrap/>
            <w:vAlign w:val="bottom"/>
            <w:hideMark/>
          </w:tcPr>
          <w:p w14:paraId="0825E32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30886181"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Se</w:t>
            </w:r>
          </w:p>
        </w:tc>
        <w:tc>
          <w:tcPr>
            <w:tcW w:w="570" w:type="dxa"/>
            <w:tcBorders>
              <w:top w:val="nil"/>
              <w:left w:val="nil"/>
              <w:bottom w:val="nil"/>
              <w:right w:val="single" w:sz="4" w:space="0" w:color="auto"/>
            </w:tcBorders>
            <w:shd w:val="clear" w:color="auto" w:fill="auto"/>
            <w:noWrap/>
            <w:vAlign w:val="bottom"/>
            <w:hideMark/>
          </w:tcPr>
          <w:p w14:paraId="7B1161E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4E51B01"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4449D19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5EFACB6C"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65ADD3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6E4EE1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auto" w:fill="auto"/>
            <w:noWrap/>
            <w:vAlign w:val="bottom"/>
            <w:hideMark/>
          </w:tcPr>
          <w:p w14:paraId="478F4FF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r w:rsidR="00BD6FEC" w:rsidRPr="002406C8" w14:paraId="5DEF2649"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4801692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Slovakia</w:t>
            </w:r>
          </w:p>
        </w:tc>
        <w:tc>
          <w:tcPr>
            <w:tcW w:w="2709" w:type="dxa"/>
            <w:tcBorders>
              <w:top w:val="nil"/>
              <w:left w:val="single" w:sz="4" w:space="0" w:color="auto"/>
              <w:bottom w:val="nil"/>
              <w:right w:val="single" w:sz="4" w:space="0" w:color="auto"/>
            </w:tcBorders>
            <w:shd w:val="clear" w:color="000000" w:fill="D9D9D9"/>
            <w:noWrap/>
            <w:vAlign w:val="bottom"/>
            <w:hideMark/>
          </w:tcPr>
          <w:p w14:paraId="792B401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SK-EPIS</w:t>
            </w:r>
          </w:p>
        </w:tc>
        <w:tc>
          <w:tcPr>
            <w:tcW w:w="570" w:type="dxa"/>
            <w:tcBorders>
              <w:top w:val="nil"/>
              <w:left w:val="single" w:sz="4" w:space="0" w:color="auto"/>
              <w:bottom w:val="nil"/>
              <w:right w:val="single" w:sz="4" w:space="0" w:color="auto"/>
            </w:tcBorders>
            <w:shd w:val="clear" w:color="000000" w:fill="D9D9D9"/>
            <w:noWrap/>
            <w:vAlign w:val="bottom"/>
            <w:hideMark/>
          </w:tcPr>
          <w:p w14:paraId="0B46FDD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D85C7A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5049064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1C824C2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4DB11C4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E96F05E"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F900371"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2E0CFD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000000" w:fill="D9D9D9"/>
            <w:noWrap/>
            <w:vAlign w:val="bottom"/>
            <w:hideMark/>
          </w:tcPr>
          <w:p w14:paraId="3592DB2D" w14:textId="05773361"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w:t>
            </w:r>
            <w:r w:rsidR="000A3306">
              <w:rPr>
                <w:rFonts w:eastAsia="Times New Roman" w:cs="Tahoma"/>
                <w:sz w:val="14"/>
                <w:szCs w:val="14"/>
                <w:lang w:eastAsia="en-GB"/>
              </w:rPr>
              <w:t>8</w:t>
            </w:r>
          </w:p>
        </w:tc>
      </w:tr>
      <w:tr w:rsidR="00BD6FEC" w:rsidRPr="002406C8" w14:paraId="37097652" w14:textId="77777777" w:rsidTr="000F5241">
        <w:trPr>
          <w:trHeight w:val="239"/>
        </w:trPr>
        <w:tc>
          <w:tcPr>
            <w:tcW w:w="1142" w:type="dxa"/>
            <w:tcBorders>
              <w:top w:val="nil"/>
              <w:left w:val="single" w:sz="4" w:space="0" w:color="auto"/>
              <w:bottom w:val="nil"/>
              <w:right w:val="single" w:sz="4" w:space="0" w:color="auto"/>
            </w:tcBorders>
            <w:shd w:val="clear" w:color="auto" w:fill="auto"/>
            <w:noWrap/>
            <w:vAlign w:val="bottom"/>
            <w:hideMark/>
          </w:tcPr>
          <w:p w14:paraId="3A9CAFA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Slovenia</w:t>
            </w:r>
          </w:p>
        </w:tc>
        <w:tc>
          <w:tcPr>
            <w:tcW w:w="2709" w:type="dxa"/>
            <w:tcBorders>
              <w:top w:val="nil"/>
              <w:left w:val="nil"/>
              <w:bottom w:val="nil"/>
              <w:right w:val="single" w:sz="4" w:space="0" w:color="auto"/>
            </w:tcBorders>
            <w:shd w:val="clear" w:color="auto" w:fill="auto"/>
            <w:noWrap/>
            <w:vAlign w:val="bottom"/>
            <w:hideMark/>
          </w:tcPr>
          <w:p w14:paraId="280BCAE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SI-SURVIVAL</w:t>
            </w:r>
          </w:p>
        </w:tc>
        <w:tc>
          <w:tcPr>
            <w:tcW w:w="570" w:type="dxa"/>
            <w:tcBorders>
              <w:top w:val="nil"/>
              <w:left w:val="nil"/>
              <w:bottom w:val="nil"/>
              <w:right w:val="single" w:sz="4" w:space="0" w:color="auto"/>
            </w:tcBorders>
            <w:shd w:val="clear" w:color="auto" w:fill="auto"/>
            <w:noWrap/>
            <w:vAlign w:val="bottom"/>
            <w:hideMark/>
          </w:tcPr>
          <w:p w14:paraId="6772BD1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37CD847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625F599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7EFBDA13"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1EEA194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5D8240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FEB6169"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404C17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auto" w:fill="auto"/>
            <w:noWrap/>
            <w:vAlign w:val="bottom"/>
            <w:hideMark/>
          </w:tcPr>
          <w:p w14:paraId="657E3D7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EU-2008</w:t>
            </w:r>
          </w:p>
        </w:tc>
      </w:tr>
      <w:tr w:rsidR="00BD6FEC" w:rsidRPr="002406C8" w14:paraId="74546D43" w14:textId="77777777" w:rsidTr="000F5241">
        <w:trPr>
          <w:trHeight w:val="239"/>
        </w:trPr>
        <w:tc>
          <w:tcPr>
            <w:tcW w:w="1142" w:type="dxa"/>
            <w:tcBorders>
              <w:top w:val="nil"/>
              <w:left w:val="single" w:sz="4" w:space="0" w:color="auto"/>
              <w:bottom w:val="nil"/>
              <w:right w:val="single" w:sz="4" w:space="0" w:color="auto"/>
            </w:tcBorders>
            <w:shd w:val="clear" w:color="000000" w:fill="D9D9D9"/>
            <w:noWrap/>
            <w:vAlign w:val="bottom"/>
            <w:hideMark/>
          </w:tcPr>
          <w:p w14:paraId="010CEB14"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Spain</w:t>
            </w:r>
          </w:p>
        </w:tc>
        <w:tc>
          <w:tcPr>
            <w:tcW w:w="2709" w:type="dxa"/>
            <w:tcBorders>
              <w:top w:val="nil"/>
              <w:left w:val="single" w:sz="4" w:space="0" w:color="auto"/>
              <w:bottom w:val="nil"/>
              <w:right w:val="single" w:sz="4" w:space="0" w:color="auto"/>
            </w:tcBorders>
            <w:shd w:val="clear" w:color="000000" w:fill="D9D9D9"/>
            <w:noWrap/>
            <w:vAlign w:val="bottom"/>
            <w:hideMark/>
          </w:tcPr>
          <w:p w14:paraId="67A3161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ES-STATUTORY_DISEASES</w:t>
            </w:r>
          </w:p>
        </w:tc>
        <w:tc>
          <w:tcPr>
            <w:tcW w:w="570" w:type="dxa"/>
            <w:tcBorders>
              <w:top w:val="nil"/>
              <w:left w:val="single" w:sz="4" w:space="0" w:color="auto"/>
              <w:bottom w:val="nil"/>
              <w:right w:val="single" w:sz="4" w:space="0" w:color="auto"/>
            </w:tcBorders>
            <w:shd w:val="clear" w:color="000000" w:fill="D9D9D9"/>
            <w:noWrap/>
            <w:vAlign w:val="bottom"/>
            <w:hideMark/>
          </w:tcPr>
          <w:p w14:paraId="76933031"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7ACCA2E"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0AD4FC4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27DF517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3D460180"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1B46437"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0756E38"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41224D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nil"/>
              <w:right w:val="single" w:sz="4" w:space="0" w:color="auto"/>
            </w:tcBorders>
            <w:shd w:val="clear" w:color="000000" w:fill="D9D9D9"/>
            <w:noWrap/>
            <w:vAlign w:val="bottom"/>
            <w:hideMark/>
          </w:tcPr>
          <w:p w14:paraId="771B7B41"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r w:rsidR="00BD6FEC" w:rsidRPr="002406C8" w14:paraId="4F5D3EC7" w14:textId="77777777" w:rsidTr="000F5241">
        <w:trPr>
          <w:trHeight w:val="239"/>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65F09EE5"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Sweden</w:t>
            </w:r>
          </w:p>
        </w:tc>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5B0CA54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SE-SMINET</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0F2CCEAA"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Cp</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450102A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Co</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52CEE781"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P</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669413D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C</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59CAAA26"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4EEE5BBB"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2941EC4D"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611317DE"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N</w:t>
            </w:r>
          </w:p>
        </w:tc>
        <w:tc>
          <w:tcPr>
            <w:tcW w:w="1507" w:type="dxa"/>
            <w:tcBorders>
              <w:top w:val="nil"/>
              <w:left w:val="nil"/>
              <w:bottom w:val="single" w:sz="4" w:space="0" w:color="auto"/>
              <w:right w:val="single" w:sz="4" w:space="0" w:color="auto"/>
            </w:tcBorders>
            <w:shd w:val="clear" w:color="auto" w:fill="auto"/>
            <w:noWrap/>
            <w:vAlign w:val="bottom"/>
            <w:hideMark/>
          </w:tcPr>
          <w:p w14:paraId="34878DF2" w14:textId="77777777" w:rsidR="00BD6FEC" w:rsidRPr="002406C8" w:rsidRDefault="00BD6FEC" w:rsidP="002406C8">
            <w:pPr>
              <w:spacing w:before="120" w:after="0"/>
              <w:rPr>
                <w:rFonts w:eastAsia="Times New Roman" w:cs="Tahoma"/>
                <w:sz w:val="14"/>
                <w:szCs w:val="14"/>
                <w:lang w:eastAsia="en-GB"/>
              </w:rPr>
            </w:pPr>
            <w:r w:rsidRPr="002406C8">
              <w:rPr>
                <w:rFonts w:eastAsia="Times New Roman" w:cs="Tahoma"/>
                <w:sz w:val="14"/>
                <w:szCs w:val="14"/>
                <w:lang w:eastAsia="en-GB"/>
              </w:rPr>
              <w:t>EU-2018</w:t>
            </w:r>
          </w:p>
        </w:tc>
      </w:tr>
    </w:tbl>
    <w:p w14:paraId="31D84B0F" w14:textId="489901EA" w:rsidR="00AC0043" w:rsidRDefault="00AC0043" w:rsidP="002C3A46">
      <w:pPr>
        <w:pStyle w:val="EC-Para"/>
      </w:pPr>
      <w:r>
        <w:br w:type="page"/>
      </w:r>
    </w:p>
    <w:p w14:paraId="4E9AB3C6" w14:textId="7CEAB4C4" w:rsidR="00AC0043" w:rsidRDefault="00AC0043" w:rsidP="009F5B73">
      <w:pPr>
        <w:pStyle w:val="EC-Title-5"/>
        <w:outlineLvl w:val="0"/>
        <w:rPr>
          <w:i/>
        </w:rPr>
      </w:pPr>
      <w:bookmarkStart w:id="41" w:name="_Toc437442019"/>
      <w:bookmarkStart w:id="42" w:name="_Toc127531824"/>
      <w:r>
        <w:lastRenderedPageBreak/>
        <w:t>Hepatitis A</w:t>
      </w:r>
      <w:bookmarkEnd w:id="41"/>
      <w:bookmarkEnd w:id="42"/>
    </w:p>
    <w:p w14:paraId="09FFB0B9" w14:textId="15332700" w:rsidR="00EE1F3C" w:rsidRPr="00A32FE1" w:rsidRDefault="00CB3144" w:rsidP="00EE1F3C">
      <w:pPr>
        <w:pStyle w:val="EC-Para"/>
        <w:jc w:val="right"/>
        <w:rPr>
          <w:b/>
          <w:lang w:eastAsia="en-US"/>
        </w:rPr>
      </w:pPr>
      <w:r>
        <w:rPr>
          <w:b/>
          <w:lang w:eastAsia="en-US"/>
        </w:rPr>
        <w:t>Last updated: 13 August 2024</w:t>
      </w:r>
    </w:p>
    <w:p w14:paraId="1FEF9C82" w14:textId="16AFFBDC" w:rsidR="00AC0043" w:rsidRDefault="0045529D" w:rsidP="00AC0043">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4653D814" w14:textId="77777777" w:rsidR="00AC0043" w:rsidRPr="00D87F86" w:rsidRDefault="00AC0043" w:rsidP="00AC0043">
      <w:pPr>
        <w:autoSpaceDE w:val="0"/>
        <w:autoSpaceDN w:val="0"/>
        <w:adjustRightInd w:val="0"/>
        <w:spacing w:after="120"/>
        <w:jc w:val="both"/>
        <w:rPr>
          <w:rFonts w:cs="Tahoma"/>
          <w:szCs w:val="18"/>
        </w:rPr>
      </w:pPr>
      <w:r w:rsidRPr="00D87F86">
        <w:rPr>
          <w:rFonts w:cs="Tahoma"/>
          <w:szCs w:val="18"/>
        </w:rPr>
        <w:t xml:space="preserve">Hepatitis A </w:t>
      </w:r>
      <w:r w:rsidRPr="00D87F86">
        <w:rPr>
          <w:rFonts w:cs="Tahoma"/>
          <w:szCs w:val="18"/>
          <w:lang w:val="en"/>
        </w:rPr>
        <w:t>is an</w:t>
      </w:r>
      <w:r w:rsidRPr="00D87F86">
        <w:rPr>
          <w:rFonts w:cs="Tahoma"/>
          <w:szCs w:val="18"/>
        </w:rPr>
        <w:t xml:space="preserve"> acute </w:t>
      </w:r>
      <w:r w:rsidRPr="00D87F86">
        <w:rPr>
          <w:rFonts w:cs="Tahoma"/>
          <w:bCs/>
          <w:szCs w:val="18"/>
        </w:rPr>
        <w:t xml:space="preserve">inflammation </w:t>
      </w:r>
      <w:r w:rsidRPr="00D87F86">
        <w:rPr>
          <w:rFonts w:cs="Tahoma"/>
          <w:szCs w:val="18"/>
        </w:rPr>
        <w:t xml:space="preserve">of the liver </w:t>
      </w:r>
      <w:r w:rsidRPr="00D87F86">
        <w:rPr>
          <w:rFonts w:cs="Tahoma"/>
          <w:bCs/>
          <w:szCs w:val="18"/>
        </w:rPr>
        <w:t>caused by hepatitis A virus</w:t>
      </w:r>
      <w:r w:rsidRPr="00D87F86">
        <w:rPr>
          <w:rStyle w:val="Emphasis"/>
          <w:rFonts w:cs="Tahoma"/>
          <w:szCs w:val="18"/>
          <w:lang w:val="en"/>
        </w:rPr>
        <w:t xml:space="preserve">. </w:t>
      </w:r>
      <w:r w:rsidRPr="00D87F86">
        <w:rPr>
          <w:rFonts w:eastAsiaTheme="minorHAnsi" w:cs="Tahoma"/>
          <w:szCs w:val="18"/>
        </w:rPr>
        <w:t xml:space="preserve">For a more detailed description of the disease and its epidemiology, please </w:t>
      </w:r>
      <w:r w:rsidRPr="009D4D86">
        <w:rPr>
          <w:rFonts w:eastAsiaTheme="minorHAnsi" w:cs="Tahoma"/>
          <w:szCs w:val="18"/>
        </w:rPr>
        <w:t>click</w:t>
      </w:r>
      <w:r w:rsidRPr="009D4D86">
        <w:rPr>
          <w:rFonts w:cs="Tahoma"/>
          <w:szCs w:val="18"/>
        </w:rPr>
        <w:t xml:space="preserve"> </w:t>
      </w:r>
      <w:hyperlink r:id="rId38" w:history="1">
        <w:r w:rsidRPr="009D4D86">
          <w:rPr>
            <w:rStyle w:val="Hyperlink"/>
            <w:i/>
            <w:sz w:val="18"/>
            <w:szCs w:val="18"/>
          </w:rPr>
          <w:t>here</w:t>
        </w:r>
      </w:hyperlink>
      <w:r w:rsidRPr="009D4D86">
        <w:rPr>
          <w:rStyle w:val="Hyperlink"/>
          <w:i/>
          <w:sz w:val="18"/>
          <w:szCs w:val="18"/>
        </w:rPr>
        <w:t>.</w:t>
      </w:r>
      <w:r w:rsidRPr="00D87F86">
        <w:rPr>
          <w:rStyle w:val="Hyperlink"/>
          <w:i/>
        </w:rPr>
        <w:t xml:space="preserve">  </w:t>
      </w:r>
    </w:p>
    <w:p w14:paraId="19956197" w14:textId="77777777" w:rsidR="00AC0043" w:rsidRPr="00D87F86" w:rsidRDefault="00AC0043" w:rsidP="009F5B73">
      <w:pPr>
        <w:pStyle w:val="EC-Title-6"/>
        <w:outlineLvl w:val="1"/>
        <w:rPr>
          <w:rFonts w:cs="Tahoma"/>
        </w:rPr>
      </w:pPr>
      <w:r w:rsidRPr="00D87F86">
        <w:rPr>
          <w:rFonts w:cs="Tahoma"/>
        </w:rPr>
        <w:t>Data</w:t>
      </w:r>
    </w:p>
    <w:p w14:paraId="12CDAE08" w14:textId="11D559E8" w:rsidR="00AC0043" w:rsidRPr="00D87F86" w:rsidRDefault="00AC0043" w:rsidP="00AC0043">
      <w:pPr>
        <w:pStyle w:val="EC-Para"/>
        <w:jc w:val="both"/>
        <w:rPr>
          <w:rFonts w:cs="Tahoma"/>
        </w:rPr>
      </w:pPr>
      <w:r w:rsidRPr="00D87F86">
        <w:rPr>
          <w:rFonts w:cs="Tahoma"/>
        </w:rPr>
        <w:t xml:space="preserve">The Surveillance Atlas of Infectious Diseases displays data on hepatitis A reported by the </w:t>
      </w:r>
      <w:r w:rsidR="00E75405" w:rsidRPr="00D87F86">
        <w:rPr>
          <w:rFonts w:cs="Tahoma"/>
        </w:rPr>
        <w:t>EU/EEA countries</w:t>
      </w:r>
      <w:r w:rsidRPr="00D87F86">
        <w:rPr>
          <w:rFonts w:cs="Tahoma"/>
        </w:rPr>
        <w:t>. Cases should be reported according to the 201</w:t>
      </w:r>
      <w:r w:rsidR="00F53BCA" w:rsidRPr="00D87F86">
        <w:rPr>
          <w:rFonts w:cs="Tahoma"/>
        </w:rPr>
        <w:t>8</w:t>
      </w:r>
      <w:r w:rsidRPr="00D87F86">
        <w:rPr>
          <w:rFonts w:cs="Tahoma"/>
        </w:rPr>
        <w:t xml:space="preserve"> EU case definition for </w:t>
      </w:r>
      <w:r w:rsidR="009209CA" w:rsidRPr="00D87F86">
        <w:rPr>
          <w:rFonts w:cs="Tahoma"/>
        </w:rPr>
        <w:t xml:space="preserve">acute </w:t>
      </w:r>
      <w:r w:rsidRPr="00D87F86">
        <w:rPr>
          <w:rFonts w:cs="Tahoma"/>
        </w:rPr>
        <w:t>hepatitis A</w:t>
      </w:r>
      <w:r w:rsidRPr="00D87F86">
        <w:rPr>
          <w:rStyle w:val="FootnoteReference"/>
          <w:rFonts w:eastAsiaTheme="minorHAnsi" w:cs="Tahoma"/>
          <w:szCs w:val="20"/>
          <w:lang w:eastAsia="en-US"/>
        </w:rPr>
        <w:footnoteReference w:id="20"/>
      </w:r>
      <w:r w:rsidRPr="00D87F86">
        <w:rPr>
          <w:rFonts w:cs="Tahoma"/>
        </w:rPr>
        <w:t xml:space="preserve">: </w:t>
      </w:r>
    </w:p>
    <w:p w14:paraId="779A2A04" w14:textId="77777777" w:rsidR="00AC0043" w:rsidRPr="00D87F86" w:rsidRDefault="00AC0043" w:rsidP="00AC0043">
      <w:pPr>
        <w:autoSpaceDE w:val="0"/>
        <w:autoSpaceDN w:val="0"/>
        <w:adjustRightInd w:val="0"/>
        <w:spacing w:before="60" w:after="60"/>
        <w:rPr>
          <w:rFonts w:eastAsiaTheme="minorHAnsi" w:cs="Tahoma"/>
          <w:b/>
          <w:bCs/>
          <w:color w:val="000000"/>
          <w:szCs w:val="18"/>
        </w:rPr>
      </w:pPr>
    </w:p>
    <w:p w14:paraId="704AD5BC"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b/>
          <w:bCs/>
          <w:color w:val="000000"/>
          <w:szCs w:val="18"/>
        </w:rPr>
        <w:t xml:space="preserve">Clinical criteria </w:t>
      </w:r>
    </w:p>
    <w:p w14:paraId="01F677ED"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Any person with a discrete onset of symptoms (e.g. fatigue, abdominal pain, loss of appetite, intermittent nausea and vomiting) </w:t>
      </w:r>
    </w:p>
    <w:p w14:paraId="67635E7E"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AND at least one of the following three: </w:t>
      </w:r>
    </w:p>
    <w:p w14:paraId="6A2CE5BC"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w:t>
      </w:r>
      <w:proofErr w:type="gramStart"/>
      <w:r w:rsidRPr="00D87F86">
        <w:rPr>
          <w:rFonts w:eastAsiaTheme="minorHAnsi" w:cs="Tahoma"/>
          <w:color w:val="000000"/>
          <w:szCs w:val="18"/>
        </w:rPr>
        <w:t>Fever;</w:t>
      </w:r>
      <w:proofErr w:type="gramEnd"/>
      <w:r w:rsidRPr="00D87F86">
        <w:rPr>
          <w:rFonts w:eastAsiaTheme="minorHAnsi" w:cs="Tahoma"/>
          <w:color w:val="000000"/>
          <w:szCs w:val="18"/>
        </w:rPr>
        <w:t xml:space="preserve"> </w:t>
      </w:r>
    </w:p>
    <w:p w14:paraId="57764599"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w:t>
      </w:r>
      <w:proofErr w:type="gramStart"/>
      <w:r w:rsidRPr="00D87F86">
        <w:rPr>
          <w:rFonts w:eastAsiaTheme="minorHAnsi" w:cs="Tahoma"/>
          <w:color w:val="000000"/>
          <w:szCs w:val="18"/>
        </w:rPr>
        <w:t>Jaundice;</w:t>
      </w:r>
      <w:proofErr w:type="gramEnd"/>
      <w:r w:rsidRPr="00D87F86">
        <w:rPr>
          <w:rFonts w:eastAsiaTheme="minorHAnsi" w:cs="Tahoma"/>
          <w:color w:val="000000"/>
          <w:szCs w:val="18"/>
        </w:rPr>
        <w:t xml:space="preserve"> </w:t>
      </w:r>
    </w:p>
    <w:p w14:paraId="6F58D26D"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Elevated serum aminotransferase levels. </w:t>
      </w:r>
    </w:p>
    <w:p w14:paraId="3D8D8341"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b/>
          <w:bCs/>
          <w:color w:val="000000"/>
          <w:szCs w:val="18"/>
        </w:rPr>
        <w:t xml:space="preserve">Laboratory criteria </w:t>
      </w:r>
    </w:p>
    <w:p w14:paraId="78F11E90"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At least one of the following three: </w:t>
      </w:r>
    </w:p>
    <w:p w14:paraId="552E853B" w14:textId="77777777" w:rsidR="00AC0043" w:rsidRPr="00D87F86" w:rsidRDefault="00AC0043" w:rsidP="00AC0043">
      <w:pPr>
        <w:pStyle w:val="CM1"/>
        <w:spacing w:before="60" w:after="60"/>
        <w:rPr>
          <w:rFonts w:ascii="Tahoma" w:hAnsi="Tahoma" w:cs="Tahoma"/>
          <w:color w:val="000000"/>
          <w:sz w:val="18"/>
          <w:szCs w:val="18"/>
        </w:rPr>
      </w:pPr>
      <w:r w:rsidRPr="00D87F86">
        <w:rPr>
          <w:rFonts w:ascii="Tahoma" w:hAnsi="Tahoma" w:cs="Tahoma"/>
          <w:color w:val="000000"/>
          <w:sz w:val="18"/>
          <w:szCs w:val="18"/>
        </w:rPr>
        <w:t xml:space="preserve">— Detection of hepatitis A virus nucleic acid in serum or </w:t>
      </w:r>
      <w:proofErr w:type="gramStart"/>
      <w:r w:rsidRPr="00D87F86">
        <w:rPr>
          <w:rFonts w:ascii="Tahoma" w:hAnsi="Tahoma" w:cs="Tahoma"/>
          <w:color w:val="000000"/>
          <w:sz w:val="18"/>
          <w:szCs w:val="18"/>
        </w:rPr>
        <w:t>stool;</w:t>
      </w:r>
      <w:proofErr w:type="gramEnd"/>
      <w:r w:rsidRPr="00D87F86">
        <w:rPr>
          <w:rFonts w:ascii="Tahoma" w:hAnsi="Tahoma" w:cs="Tahoma"/>
          <w:color w:val="000000"/>
          <w:sz w:val="18"/>
          <w:szCs w:val="18"/>
        </w:rPr>
        <w:t xml:space="preserve"> </w:t>
      </w:r>
    </w:p>
    <w:p w14:paraId="74B9F947"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Hepatitis A virus specific antibody </w:t>
      </w:r>
      <w:proofErr w:type="gramStart"/>
      <w:r w:rsidRPr="00D87F86">
        <w:rPr>
          <w:rFonts w:eastAsiaTheme="minorHAnsi" w:cs="Tahoma"/>
          <w:color w:val="000000"/>
          <w:szCs w:val="18"/>
        </w:rPr>
        <w:t>response;</w:t>
      </w:r>
      <w:proofErr w:type="gramEnd"/>
      <w:r w:rsidRPr="00D87F86">
        <w:rPr>
          <w:rFonts w:eastAsiaTheme="minorHAnsi" w:cs="Tahoma"/>
          <w:color w:val="000000"/>
          <w:szCs w:val="18"/>
        </w:rPr>
        <w:t xml:space="preserve"> </w:t>
      </w:r>
    </w:p>
    <w:p w14:paraId="1D9D18A0"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Detection of hepatitis A virus antigen in stool. </w:t>
      </w:r>
    </w:p>
    <w:p w14:paraId="2EC6611B"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b/>
          <w:bCs/>
          <w:color w:val="000000"/>
          <w:szCs w:val="18"/>
        </w:rPr>
        <w:t xml:space="preserve">Epidemiological criteria </w:t>
      </w:r>
    </w:p>
    <w:p w14:paraId="0B881E61"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At least one of the following four: </w:t>
      </w:r>
    </w:p>
    <w:p w14:paraId="0002335A" w14:textId="6FC8D17A"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Human</w:t>
      </w:r>
      <w:r w:rsidR="007A65BC" w:rsidRPr="00D87F86">
        <w:rPr>
          <w:rFonts w:eastAsiaTheme="minorHAnsi" w:cs="Tahoma"/>
          <w:color w:val="000000"/>
          <w:szCs w:val="18"/>
        </w:rPr>
        <w:t xml:space="preserve"> </w:t>
      </w:r>
      <w:r w:rsidRPr="00D87F86">
        <w:rPr>
          <w:rFonts w:eastAsiaTheme="minorHAnsi" w:cs="Tahoma"/>
          <w:color w:val="000000"/>
          <w:szCs w:val="18"/>
        </w:rPr>
        <w:t>to</w:t>
      </w:r>
      <w:r w:rsidR="007A65BC" w:rsidRPr="00D87F86">
        <w:rPr>
          <w:rFonts w:eastAsiaTheme="minorHAnsi" w:cs="Tahoma"/>
          <w:color w:val="000000"/>
          <w:szCs w:val="18"/>
        </w:rPr>
        <w:t xml:space="preserve"> </w:t>
      </w:r>
      <w:r w:rsidRPr="00D87F86">
        <w:rPr>
          <w:rFonts w:eastAsiaTheme="minorHAnsi" w:cs="Tahoma"/>
          <w:color w:val="000000"/>
          <w:szCs w:val="18"/>
        </w:rPr>
        <w:t xml:space="preserve">human </w:t>
      </w:r>
      <w:proofErr w:type="gramStart"/>
      <w:r w:rsidRPr="00D87F86">
        <w:rPr>
          <w:rFonts w:eastAsiaTheme="minorHAnsi" w:cs="Tahoma"/>
          <w:color w:val="000000"/>
          <w:szCs w:val="18"/>
        </w:rPr>
        <w:t>transmission;</w:t>
      </w:r>
      <w:proofErr w:type="gramEnd"/>
      <w:r w:rsidRPr="00D87F86">
        <w:rPr>
          <w:rFonts w:eastAsiaTheme="minorHAnsi" w:cs="Tahoma"/>
          <w:color w:val="000000"/>
          <w:szCs w:val="18"/>
        </w:rPr>
        <w:t xml:space="preserve"> </w:t>
      </w:r>
    </w:p>
    <w:p w14:paraId="6F78BB70"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Exposure to a common </w:t>
      </w:r>
      <w:proofErr w:type="gramStart"/>
      <w:r w:rsidRPr="00D87F86">
        <w:rPr>
          <w:rFonts w:eastAsiaTheme="minorHAnsi" w:cs="Tahoma"/>
          <w:color w:val="000000"/>
          <w:szCs w:val="18"/>
        </w:rPr>
        <w:t>source;</w:t>
      </w:r>
      <w:proofErr w:type="gramEnd"/>
      <w:r w:rsidRPr="00D87F86">
        <w:rPr>
          <w:rFonts w:eastAsiaTheme="minorHAnsi" w:cs="Tahoma"/>
          <w:color w:val="000000"/>
          <w:szCs w:val="18"/>
        </w:rPr>
        <w:t xml:space="preserve"> </w:t>
      </w:r>
    </w:p>
    <w:p w14:paraId="05BBBD4A"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xml:space="preserve">— Exposure to contaminated food/drinking </w:t>
      </w:r>
      <w:proofErr w:type="gramStart"/>
      <w:r w:rsidRPr="00D87F86">
        <w:rPr>
          <w:rFonts w:eastAsiaTheme="minorHAnsi" w:cs="Tahoma"/>
          <w:color w:val="000000"/>
          <w:szCs w:val="18"/>
        </w:rPr>
        <w:t>water;</w:t>
      </w:r>
      <w:proofErr w:type="gramEnd"/>
      <w:r w:rsidRPr="00D87F86">
        <w:rPr>
          <w:rFonts w:eastAsiaTheme="minorHAnsi" w:cs="Tahoma"/>
          <w:color w:val="000000"/>
          <w:szCs w:val="18"/>
        </w:rPr>
        <w:t xml:space="preserve"> </w:t>
      </w:r>
    </w:p>
    <w:p w14:paraId="0E597C0E" w14:textId="77777777" w:rsidR="00AC0043" w:rsidRPr="00D87F86" w:rsidRDefault="00AC0043"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 Environmental exposure.</w:t>
      </w:r>
    </w:p>
    <w:p w14:paraId="79BBAF06" w14:textId="77777777" w:rsidR="00D87F86" w:rsidRPr="00D87F86" w:rsidRDefault="00D87F86" w:rsidP="00AC0043">
      <w:pPr>
        <w:pStyle w:val="CM4"/>
        <w:spacing w:before="60" w:after="60"/>
        <w:rPr>
          <w:rFonts w:ascii="Tahoma" w:hAnsi="Tahoma" w:cs="Tahoma"/>
          <w:b/>
          <w:sz w:val="18"/>
          <w:szCs w:val="18"/>
        </w:rPr>
      </w:pPr>
    </w:p>
    <w:p w14:paraId="19F8D318" w14:textId="0D2C5B6A" w:rsidR="00AC0043" w:rsidRPr="00D87F86" w:rsidRDefault="00AC0043" w:rsidP="00AC0043">
      <w:pPr>
        <w:pStyle w:val="CM4"/>
        <w:spacing w:before="60" w:after="60"/>
        <w:rPr>
          <w:rFonts w:ascii="Tahoma" w:hAnsi="Tahoma" w:cs="Tahoma"/>
          <w:b/>
          <w:sz w:val="18"/>
          <w:szCs w:val="18"/>
        </w:rPr>
      </w:pPr>
      <w:r w:rsidRPr="00D87F86">
        <w:rPr>
          <w:rFonts w:ascii="Tahoma" w:hAnsi="Tahoma" w:cs="Tahoma"/>
          <w:b/>
          <w:sz w:val="18"/>
          <w:szCs w:val="18"/>
        </w:rPr>
        <w:t>Case classification</w:t>
      </w:r>
    </w:p>
    <w:p w14:paraId="1A95253F" w14:textId="3EA26E07" w:rsidR="00373EB0" w:rsidRPr="00D87F86" w:rsidRDefault="00373EB0" w:rsidP="00D87F86">
      <w:pPr>
        <w:pStyle w:val="Default"/>
        <w:rPr>
          <w:rFonts w:ascii="Tahoma" w:hAnsi="Tahoma" w:cs="Tahoma"/>
          <w:sz w:val="18"/>
          <w:szCs w:val="18"/>
        </w:rPr>
      </w:pPr>
      <w:r w:rsidRPr="00D87F86">
        <w:rPr>
          <w:rFonts w:ascii="Tahoma" w:hAnsi="Tahoma" w:cs="Tahoma"/>
          <w:sz w:val="18"/>
          <w:szCs w:val="18"/>
        </w:rPr>
        <w:t>A. Possible case: NA</w:t>
      </w:r>
    </w:p>
    <w:p w14:paraId="79C7076C" w14:textId="06191DD9" w:rsidR="00AC0043" w:rsidRPr="00D87F86" w:rsidRDefault="00373EB0"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B</w:t>
      </w:r>
      <w:r w:rsidR="00AC0043" w:rsidRPr="00D87F86">
        <w:rPr>
          <w:rFonts w:eastAsiaTheme="minorHAnsi" w:cs="Tahoma"/>
          <w:color w:val="000000"/>
          <w:szCs w:val="18"/>
        </w:rPr>
        <w:t xml:space="preserve">. </w:t>
      </w:r>
      <w:r w:rsidR="00AC0043" w:rsidRPr="00D87F86">
        <w:rPr>
          <w:rFonts w:eastAsiaTheme="minorHAnsi" w:cs="Tahoma"/>
          <w:bCs/>
          <w:color w:val="000000"/>
          <w:szCs w:val="18"/>
        </w:rPr>
        <w:t xml:space="preserve">Probable case: </w:t>
      </w:r>
      <w:r w:rsidR="00AC0043" w:rsidRPr="00D87F86">
        <w:rPr>
          <w:rFonts w:eastAsiaTheme="minorHAnsi" w:cs="Tahoma"/>
          <w:color w:val="000000"/>
          <w:szCs w:val="18"/>
        </w:rPr>
        <w:t>Any person meeting the clinical criteria with an epidemiological link</w:t>
      </w:r>
    </w:p>
    <w:p w14:paraId="6374B3EB" w14:textId="0C9AD04C" w:rsidR="00AC0043" w:rsidRPr="00D87F86" w:rsidRDefault="00373EB0"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C</w:t>
      </w:r>
      <w:r w:rsidR="00AC0043" w:rsidRPr="00D87F86">
        <w:rPr>
          <w:rFonts w:eastAsiaTheme="minorHAnsi" w:cs="Tahoma"/>
          <w:color w:val="000000"/>
          <w:szCs w:val="18"/>
        </w:rPr>
        <w:t xml:space="preserve">. </w:t>
      </w:r>
      <w:r w:rsidR="00AC0043" w:rsidRPr="00D87F86">
        <w:rPr>
          <w:rFonts w:eastAsiaTheme="minorHAnsi" w:cs="Tahoma"/>
          <w:bCs/>
          <w:color w:val="000000"/>
          <w:szCs w:val="18"/>
        </w:rPr>
        <w:t xml:space="preserve">Confirmed case: </w:t>
      </w:r>
      <w:r w:rsidR="00AC0043" w:rsidRPr="00D87F86">
        <w:rPr>
          <w:rFonts w:eastAsiaTheme="minorHAnsi" w:cs="Tahoma"/>
          <w:szCs w:val="18"/>
        </w:rPr>
        <w:t>Any person meeting the clinical and the laboratory criteria</w:t>
      </w:r>
    </w:p>
    <w:p w14:paraId="0D898DA0" w14:textId="77777777" w:rsidR="00177F7F" w:rsidRDefault="00177F7F" w:rsidP="00AC0043">
      <w:pPr>
        <w:pStyle w:val="Default"/>
        <w:rPr>
          <w:rFonts w:ascii="Tahoma" w:eastAsiaTheme="minorHAnsi" w:hAnsi="Tahoma" w:cs="Tahoma"/>
          <w:sz w:val="18"/>
          <w:szCs w:val="18"/>
        </w:rPr>
      </w:pPr>
    </w:p>
    <w:p w14:paraId="2A5C87AB" w14:textId="0A6C00E8" w:rsidR="00373EB0" w:rsidRPr="00D87F86" w:rsidRDefault="00373EB0" w:rsidP="00AC0043">
      <w:pPr>
        <w:pStyle w:val="Default"/>
        <w:rPr>
          <w:rFonts w:ascii="Tahoma" w:eastAsiaTheme="minorHAnsi" w:hAnsi="Tahoma" w:cs="Tahoma"/>
          <w:sz w:val="18"/>
          <w:szCs w:val="18"/>
        </w:rPr>
      </w:pPr>
      <w:r w:rsidRPr="00D87F86">
        <w:rPr>
          <w:rFonts w:ascii="Tahoma" w:hAnsi="Tahoma" w:cs="Tahoma"/>
          <w:sz w:val="18"/>
          <w:szCs w:val="18"/>
        </w:rPr>
        <w:t>Note: If the national surveillance system is not capturing clinical symptoms, all laboratory-confirmed individuals should be reported as confirmed cases.</w:t>
      </w:r>
    </w:p>
    <w:p w14:paraId="420D6CE8" w14:textId="77777777" w:rsidR="00D87F86" w:rsidRPr="00D87F86" w:rsidRDefault="00D87F86" w:rsidP="00AC0043">
      <w:pPr>
        <w:pStyle w:val="Default"/>
        <w:rPr>
          <w:rFonts w:ascii="Tahoma" w:eastAsiaTheme="minorHAnsi" w:hAnsi="Tahoma" w:cs="Tahoma"/>
          <w:sz w:val="18"/>
          <w:szCs w:val="18"/>
          <w:lang w:eastAsia="en-US"/>
        </w:rPr>
      </w:pPr>
    </w:p>
    <w:p w14:paraId="30366EE2" w14:textId="77777777" w:rsidR="00D87F86" w:rsidRDefault="00D87F86" w:rsidP="00D87F86">
      <w:pPr>
        <w:pStyle w:val="EC-Para"/>
        <w:spacing w:after="0" w:line="240" w:lineRule="auto"/>
        <w:jc w:val="both"/>
        <w:rPr>
          <w:rFonts w:cs="Tahoma"/>
        </w:rPr>
      </w:pPr>
      <w:r w:rsidRPr="00D87F86">
        <w:rPr>
          <w:rFonts w:cs="Tahoma"/>
        </w:rPr>
        <w:t>------------------------</w:t>
      </w:r>
    </w:p>
    <w:p w14:paraId="69C1A252" w14:textId="07D5D1B2" w:rsidR="00AC0043" w:rsidRPr="001E0ECE" w:rsidRDefault="00D87F86" w:rsidP="00AC0043">
      <w:pPr>
        <w:pStyle w:val="EC-Para"/>
        <w:spacing w:after="0" w:line="240" w:lineRule="auto"/>
        <w:jc w:val="both"/>
        <w:rPr>
          <w:lang w:eastAsia="en-US"/>
        </w:rPr>
      </w:pPr>
      <w:r>
        <w:rPr>
          <w:lang w:eastAsia="en-US"/>
        </w:rPr>
        <w:t>(</w:t>
      </w:r>
      <w:r w:rsidR="00C62493">
        <w:rPr>
          <w:lang w:eastAsia="en-US"/>
        </w:rPr>
        <w:t>T</w:t>
      </w:r>
      <w:r w:rsidR="00C62493" w:rsidRPr="00B960F7">
        <w:rPr>
          <w:lang w:eastAsia="en-US"/>
        </w:rPr>
        <w:t xml:space="preserve">he </w:t>
      </w:r>
      <w:r w:rsidR="00C62493">
        <w:rPr>
          <w:lang w:eastAsia="en-US"/>
        </w:rPr>
        <w:t>note is the only difference between the 2018</w:t>
      </w:r>
      <w:r w:rsidR="00C62493" w:rsidRPr="00B960F7">
        <w:rPr>
          <w:lang w:eastAsia="en-US"/>
        </w:rPr>
        <w:t xml:space="preserve"> EU cas</w:t>
      </w:r>
      <w:r w:rsidR="00C62493">
        <w:rPr>
          <w:lang w:eastAsia="en-US"/>
        </w:rPr>
        <w:t>e definition and the</w:t>
      </w:r>
      <w:r w:rsidR="00C62493" w:rsidRPr="00B960F7">
        <w:rPr>
          <w:lang w:eastAsia="en-US"/>
        </w:rPr>
        <w:t xml:space="preserve"> </w:t>
      </w:r>
      <w:r w:rsidR="00C62493">
        <w:rPr>
          <w:lang w:eastAsia="en-US"/>
        </w:rPr>
        <w:t xml:space="preserve">2012 and </w:t>
      </w:r>
      <w:r w:rsidR="00C62493" w:rsidRPr="00B960F7">
        <w:rPr>
          <w:lang w:eastAsia="en-US"/>
        </w:rPr>
        <w:t xml:space="preserve">2008 </w:t>
      </w:r>
      <w:r w:rsidR="00C62493">
        <w:rPr>
          <w:lang w:eastAsia="en-US"/>
        </w:rPr>
        <w:t>EU case definitions.</w:t>
      </w:r>
      <w:r>
        <w:rPr>
          <w:lang w:eastAsia="en-US"/>
        </w:rPr>
        <w:t>)</w:t>
      </w:r>
      <w:r w:rsidR="00C62493" w:rsidRPr="001E0ECE" w:rsidDel="00C62493">
        <w:rPr>
          <w:lang w:eastAsia="en-US"/>
        </w:rPr>
        <w:t xml:space="preserve"> </w:t>
      </w:r>
    </w:p>
    <w:p w14:paraId="447D1E26" w14:textId="77777777" w:rsidR="00AC0043" w:rsidRDefault="00AC0043" w:rsidP="00AC0043">
      <w:pPr>
        <w:pStyle w:val="EC-Para"/>
        <w:spacing w:after="0" w:line="240" w:lineRule="auto"/>
        <w:jc w:val="both"/>
        <w:rPr>
          <w:color w:val="FF0000"/>
          <w:lang w:eastAsia="en-US"/>
        </w:rPr>
      </w:pPr>
    </w:p>
    <w:p w14:paraId="0EFA6309" w14:textId="77777777" w:rsidR="00AC0043" w:rsidRPr="00452AF8" w:rsidRDefault="00AC0043" w:rsidP="009D4D86">
      <w:pPr>
        <w:pStyle w:val="EC-Title-6"/>
      </w:pPr>
      <w:r w:rsidRPr="00BD0ACE">
        <w:t xml:space="preserve">Data </w:t>
      </w:r>
      <w:r w:rsidRPr="009D4D86">
        <w:t>collection</w:t>
      </w:r>
      <w:r w:rsidRPr="00BD0ACE">
        <w:t xml:space="preserve"> and analysis </w:t>
      </w:r>
    </w:p>
    <w:p w14:paraId="36B611D5" w14:textId="265B3022" w:rsidR="00AC0043" w:rsidRDefault="00AC0043" w:rsidP="00AC004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A51BAC">
        <w:rPr>
          <w:rFonts w:cs="Tahoma"/>
        </w:rPr>
        <w:t>EU/EEA countries</w:t>
      </w:r>
      <w:r>
        <w:rPr>
          <w:rFonts w:cs="Tahoma"/>
        </w:rPr>
        <w:t>. C</w:t>
      </w:r>
      <w:r>
        <w:t>ountry population denominators by age group for the calculation of notification rates were obtained from Eurostat</w:t>
      </w:r>
      <w:r>
        <w:rPr>
          <w:rStyle w:val="FootnoteReference"/>
        </w:rPr>
        <w:footnoteReference w:id="21"/>
      </w:r>
      <w:r>
        <w:t>.</w:t>
      </w:r>
      <w:r>
        <w:rPr>
          <w:rFonts w:cstheme="minorHAnsi"/>
        </w:rPr>
        <w:t xml:space="preserve"> Note that data published in the </w:t>
      </w:r>
      <w:r>
        <w:rPr>
          <w:rFonts w:cstheme="minorHAnsi"/>
        </w:rPr>
        <w:lastRenderedPageBreak/>
        <w:t>Surveillance Atlas might differ from figures in national reports due to different times of reporting, inclusion of cases by different case definitions and use of different denominators.</w:t>
      </w:r>
    </w:p>
    <w:p w14:paraId="01D6EFC0" w14:textId="77777777" w:rsidR="00AC0043" w:rsidRDefault="00AC0043" w:rsidP="00AC0043">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2DB84449" w14:textId="77777777" w:rsidR="00AC0043" w:rsidRDefault="00AC0043" w:rsidP="00AC0043">
      <w:pPr>
        <w:pStyle w:val="EC-Para"/>
        <w:jc w:val="both"/>
        <w:rPr>
          <w:rFonts w:cs="Tahoma"/>
        </w:rPr>
      </w:pPr>
      <w:r>
        <w:rPr>
          <w:rFonts w:cs="Tahoma"/>
        </w:rPr>
        <w:t>Surveillance systems across the EU/EEA countries are heterogeneous and a surveillance systems overview is displayed in Annex 1.</w:t>
      </w:r>
    </w:p>
    <w:p w14:paraId="447B3DE4" w14:textId="77777777" w:rsidR="004C23E6" w:rsidRDefault="004C23E6" w:rsidP="00AC0043">
      <w:pPr>
        <w:pStyle w:val="EC-Para"/>
        <w:jc w:val="both"/>
        <w:rPr>
          <w:rFonts w:cs="Tahoma"/>
        </w:rPr>
      </w:pPr>
    </w:p>
    <w:p w14:paraId="11206C75" w14:textId="77777777" w:rsidR="00AC0043" w:rsidRPr="0072746F" w:rsidRDefault="00AC0043" w:rsidP="004C23E6">
      <w:pPr>
        <w:pStyle w:val="EC-Title-6"/>
      </w:pPr>
      <w:r w:rsidRPr="0072746F">
        <w:t xml:space="preserve">Surveillance </w:t>
      </w:r>
      <w:r w:rsidRPr="004C23E6">
        <w:t>Atlas</w:t>
      </w:r>
      <w:r w:rsidRPr="0072746F">
        <w:t xml:space="preserve"> indicators</w:t>
      </w:r>
    </w:p>
    <w:p w14:paraId="23ED7702" w14:textId="55E05DFE" w:rsidR="00AC0043" w:rsidRDefault="00AC0043" w:rsidP="007704F9">
      <w:pPr>
        <w:pStyle w:val="EC-Para"/>
        <w:rPr>
          <w:rFonts w:cs="Tahoma"/>
        </w:rPr>
      </w:pPr>
      <w:r w:rsidRPr="005E139C">
        <w:rPr>
          <w:rFonts w:cs="Tahoma"/>
        </w:rPr>
        <w:t>The Surveillan</w:t>
      </w:r>
      <w:r>
        <w:rPr>
          <w:rFonts w:cs="Tahoma"/>
        </w:rPr>
        <w:t>ce Atlas indicators for confirmed hepatitis A</w:t>
      </w:r>
      <w:r w:rsidR="00496DC9">
        <w:rPr>
          <w:rFonts w:cs="Tahoma"/>
        </w:rPr>
        <w:t xml:space="preserve"> cases</w:t>
      </w:r>
      <w:r w:rsidRPr="005E139C">
        <w:rPr>
          <w:rFonts w:cs="Tahoma"/>
        </w:rPr>
        <w:t xml:space="preserve"> are:</w:t>
      </w:r>
    </w:p>
    <w:p w14:paraId="67FB4B89" w14:textId="77777777" w:rsidR="00AC0043" w:rsidRPr="007B34B1" w:rsidRDefault="00AC0043" w:rsidP="007704F9">
      <w:pPr>
        <w:numPr>
          <w:ilvl w:val="0"/>
          <w:numId w:val="18"/>
        </w:num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2E8DAF5F" w14:textId="77777777" w:rsidR="00AC0043" w:rsidRDefault="00AC0043" w:rsidP="007704F9">
      <w:pPr>
        <w:numPr>
          <w:ilvl w:val="0"/>
          <w:numId w:val="18"/>
        </w:num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0C8D98DF" w14:textId="77777777" w:rsidR="00AC0043" w:rsidRDefault="00AC0043" w:rsidP="007704F9">
      <w:pPr>
        <w:numPr>
          <w:ilvl w:val="0"/>
          <w:numId w:val="18"/>
        </w:numPr>
        <w:kinsoku w:val="0"/>
        <w:autoSpaceDE w:val="0"/>
        <w:autoSpaceDN w:val="0"/>
        <w:adjustRightInd w:val="0"/>
        <w:spacing w:after="120" w:line="200" w:lineRule="atLeast"/>
        <w:rPr>
          <w:rFonts w:eastAsia="Arial Unicode MS" w:cs="Tahoma"/>
          <w:kern w:val="22"/>
          <w:szCs w:val="18"/>
        </w:rPr>
      </w:pPr>
      <w:r>
        <w:rPr>
          <w:rFonts w:eastAsia="Arial Unicode MS" w:cs="Tahoma"/>
          <w:kern w:val="22"/>
          <w:szCs w:val="18"/>
        </w:rPr>
        <w:t xml:space="preserve">Age-standardised rate </w:t>
      </w:r>
      <w:r w:rsidRPr="007B34B1">
        <w:rPr>
          <w:rFonts w:eastAsia="Arial Unicode MS" w:cs="Tahoma"/>
          <w:kern w:val="22"/>
          <w:szCs w:val="18"/>
        </w:rPr>
        <w:t xml:space="preserve">per 100 000 </w:t>
      </w:r>
      <w:proofErr w:type="gramStart"/>
      <w:r w:rsidRPr="007B34B1">
        <w:rPr>
          <w:rFonts w:eastAsia="Arial Unicode MS" w:cs="Tahoma"/>
          <w:kern w:val="22"/>
          <w:szCs w:val="18"/>
        </w:rPr>
        <w:t>population;</w:t>
      </w:r>
      <w:proofErr w:type="gramEnd"/>
    </w:p>
    <w:p w14:paraId="2F2E4FD2" w14:textId="77777777" w:rsidR="00AC0043" w:rsidRPr="007B34B1" w:rsidRDefault="00AC0043" w:rsidP="007704F9">
      <w:pPr>
        <w:numPr>
          <w:ilvl w:val="0"/>
          <w:numId w:val="18"/>
        </w:num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1EB8F698" w14:textId="77777777" w:rsidR="00AC0043" w:rsidRPr="00C31313" w:rsidRDefault="00AC0043" w:rsidP="007704F9">
      <w:pPr>
        <w:numPr>
          <w:ilvl w:val="0"/>
          <w:numId w:val="18"/>
        </w:num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 xml:space="preserve">cases </w:t>
      </w:r>
      <w:r w:rsidRPr="002F58C3">
        <w:rPr>
          <w:rFonts w:eastAsia="Arial Unicode MS" w:cs="Tahoma"/>
          <w:kern w:val="22"/>
          <w:szCs w:val="18"/>
        </w:rPr>
        <w:t>with known history of hospitalisation</w:t>
      </w:r>
      <w:r w:rsidRPr="007B34B1">
        <w:rPr>
          <w:rFonts w:eastAsia="Arial Unicode MS" w:cs="Tahoma"/>
          <w:kern w:val="22"/>
          <w:szCs w:val="18"/>
        </w:rPr>
        <w:t xml:space="preserve"> (%</w:t>
      </w:r>
      <w:proofErr w:type="gramStart"/>
      <w:r w:rsidRPr="007B34B1">
        <w:rPr>
          <w:rFonts w:eastAsia="Arial Unicode MS" w:cs="Tahoma"/>
          <w:kern w:val="22"/>
          <w:szCs w:val="18"/>
        </w:rPr>
        <w:t>);</w:t>
      </w:r>
      <w:proofErr w:type="gramEnd"/>
    </w:p>
    <w:p w14:paraId="38D8EDC0" w14:textId="77777777" w:rsidR="00AC0043" w:rsidRPr="007B34B1" w:rsidRDefault="00AC0043" w:rsidP="007704F9">
      <w:pPr>
        <w:numPr>
          <w:ilvl w:val="0"/>
          <w:numId w:val="18"/>
        </w:num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7525B1FE" w14:textId="77777777" w:rsidR="00AC0043" w:rsidRPr="007B34B1" w:rsidRDefault="00AC0043" w:rsidP="007704F9">
      <w:pPr>
        <w:numPr>
          <w:ilvl w:val="0"/>
          <w:numId w:val="18"/>
        </w:numPr>
        <w:kinsoku w:val="0"/>
        <w:autoSpaceDE w:val="0"/>
        <w:autoSpaceDN w:val="0"/>
        <w:adjustRightInd w:val="0"/>
        <w:spacing w:after="120" w:line="200" w:lineRule="atLeast"/>
        <w:rPr>
          <w:rFonts w:eastAsia="Arial Unicode MS" w:cs="Tahoma"/>
          <w:kern w:val="22"/>
          <w:szCs w:val="18"/>
        </w:rPr>
      </w:pPr>
      <w:r>
        <w:rPr>
          <w:rFonts w:eastAsia="Arial Unicode MS" w:cs="Tahoma"/>
          <w:kern w:val="22"/>
          <w:szCs w:val="18"/>
        </w:rPr>
        <w:t xml:space="preserve">Case fatality calculated as proportion of deaths among confirmed cases with known disease 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422A55E8" w14:textId="77777777" w:rsidR="00AC0043" w:rsidRPr="007B34B1" w:rsidRDefault="00AC0043" w:rsidP="007704F9">
      <w:pPr>
        <w:numPr>
          <w:ilvl w:val="0"/>
          <w:numId w:val="18"/>
        </w:num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6D2E9034" w14:textId="77777777" w:rsidR="00AC0043" w:rsidRPr="007B34B1" w:rsidRDefault="00AC0043" w:rsidP="007704F9">
      <w:pPr>
        <w:numPr>
          <w:ilvl w:val="0"/>
          <w:numId w:val="18"/>
        </w:numPr>
        <w:kinsoku w:val="0"/>
        <w:autoSpaceDE w:val="0"/>
        <w:autoSpaceDN w:val="0"/>
        <w:adjustRightInd w:val="0"/>
        <w:spacing w:after="120"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0D078E70" w14:textId="77777777" w:rsidR="00AC0043" w:rsidRDefault="00AC0043" w:rsidP="007704F9">
      <w:pPr>
        <w:kinsoku w:val="0"/>
        <w:autoSpaceDE w:val="0"/>
        <w:autoSpaceDN w:val="0"/>
        <w:adjustRightInd w:val="0"/>
        <w:spacing w:after="120" w:line="200" w:lineRule="atLeast"/>
        <w:rPr>
          <w:rFonts w:eastAsia="Arial Unicode MS"/>
          <w:b/>
          <w:bCs/>
          <w:kern w:val="22"/>
          <w:szCs w:val="18"/>
        </w:rPr>
      </w:pPr>
    </w:p>
    <w:p w14:paraId="75F01D2D" w14:textId="77777777" w:rsidR="00AC0043" w:rsidRPr="007B34B1" w:rsidRDefault="00AC0043" w:rsidP="007704F9">
      <w:p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179C33EC" w14:textId="77777777" w:rsidR="00AC0043" w:rsidRPr="007B34B1" w:rsidRDefault="00AC0043" w:rsidP="007704F9">
      <w:pPr>
        <w:numPr>
          <w:ilvl w:val="0"/>
          <w:numId w:val="1"/>
        </w:num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5E809FDA" w14:textId="77777777" w:rsidR="00AC0043" w:rsidRPr="007B34B1" w:rsidRDefault="00AC0043" w:rsidP="007704F9">
      <w:pPr>
        <w:numPr>
          <w:ilvl w:val="0"/>
          <w:numId w:val="1"/>
        </w:numPr>
        <w:kinsoku w:val="0"/>
        <w:autoSpaceDE w:val="0"/>
        <w:autoSpaceDN w:val="0"/>
        <w:adjustRightInd w:val="0"/>
        <w:spacing w:after="120"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0781541A" w14:textId="77777777" w:rsidR="00AC0043" w:rsidRDefault="00AC0043" w:rsidP="007704F9">
      <w:pPr>
        <w:kinsoku w:val="0"/>
        <w:autoSpaceDE w:val="0"/>
        <w:autoSpaceDN w:val="0"/>
        <w:adjustRightInd w:val="0"/>
        <w:spacing w:after="120" w:line="200" w:lineRule="atLeast"/>
        <w:rPr>
          <w:rFonts w:eastAsia="Arial Unicode MS" w:cs="Tahoma"/>
          <w:kern w:val="22"/>
          <w:szCs w:val="18"/>
        </w:rPr>
      </w:pPr>
    </w:p>
    <w:p w14:paraId="07841E20" w14:textId="77777777" w:rsidR="00AC0043" w:rsidRPr="007B34B1" w:rsidRDefault="00AC0043" w:rsidP="007704F9">
      <w:p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72845956" w14:textId="77777777" w:rsidR="00AC0043" w:rsidRPr="007B34B1" w:rsidRDefault="00AC0043" w:rsidP="007704F9">
      <w:pPr>
        <w:numPr>
          <w:ilvl w:val="0"/>
          <w:numId w:val="1"/>
        </w:numPr>
        <w:kinsoku w:val="0"/>
        <w:autoSpaceDE w:val="0"/>
        <w:autoSpaceDN w:val="0"/>
        <w:adjustRightInd w:val="0"/>
        <w:spacing w:after="120"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5A641C6C" w14:textId="77777777" w:rsidR="00AC0043" w:rsidRDefault="00AC0043" w:rsidP="007704F9">
      <w:pPr>
        <w:numPr>
          <w:ilvl w:val="0"/>
          <w:numId w:val="1"/>
        </w:numPr>
        <w:kinsoku w:val="0"/>
        <w:autoSpaceDE w:val="0"/>
        <w:autoSpaceDN w:val="0"/>
        <w:adjustRightInd w:val="0"/>
        <w:spacing w:after="120"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4DA32F87" w14:textId="77777777" w:rsidR="00AC0043" w:rsidRDefault="00AC0043" w:rsidP="007704F9">
      <w:pPr>
        <w:numPr>
          <w:ilvl w:val="0"/>
          <w:numId w:val="1"/>
        </w:numPr>
        <w:kinsoku w:val="0"/>
        <w:autoSpaceDE w:val="0"/>
        <w:autoSpaceDN w:val="0"/>
        <w:adjustRightInd w:val="0"/>
        <w:spacing w:after="120" w:line="200" w:lineRule="atLeast"/>
        <w:rPr>
          <w:rFonts w:eastAsia="Arial Unicode MS" w:cs="Tahoma"/>
          <w:kern w:val="22"/>
          <w:szCs w:val="18"/>
        </w:rPr>
      </w:pPr>
      <w:r>
        <w:rPr>
          <w:rFonts w:eastAsia="Arial Unicode MS" w:cs="Tahoma"/>
          <w:kern w:val="22"/>
          <w:szCs w:val="18"/>
        </w:rPr>
        <w:t>Probable country of infection.</w:t>
      </w:r>
    </w:p>
    <w:p w14:paraId="64B92B84" w14:textId="77777777" w:rsidR="00496DC9" w:rsidRPr="00206DFA" w:rsidRDefault="00496DC9" w:rsidP="00496DC9">
      <w:pPr>
        <w:kinsoku w:val="0"/>
        <w:autoSpaceDE w:val="0"/>
        <w:autoSpaceDN w:val="0"/>
        <w:adjustRightInd w:val="0"/>
        <w:spacing w:line="200" w:lineRule="atLeast"/>
        <w:ind w:left="720"/>
        <w:rPr>
          <w:rFonts w:eastAsia="Arial Unicode MS" w:cs="Tahoma"/>
          <w:kern w:val="22"/>
          <w:szCs w:val="18"/>
        </w:rPr>
      </w:pPr>
    </w:p>
    <w:p w14:paraId="08633526" w14:textId="77777777" w:rsidR="00AC0043" w:rsidRDefault="00AC0043" w:rsidP="00AC004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AC0043" w14:paraId="364F06E8"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60FAA3E2" w14:textId="77777777" w:rsidR="00AC0043" w:rsidRDefault="00AC0043" w:rsidP="00AC004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0A6DEDF8" w14:textId="77777777" w:rsidR="00AC0043" w:rsidRDefault="00AC0043" w:rsidP="00AC0043">
            <w:pPr>
              <w:pStyle w:val="EC-Para"/>
              <w:rPr>
                <w:lang w:eastAsia="en-US"/>
              </w:rPr>
            </w:pPr>
            <w:r>
              <w:rPr>
                <w:lang w:eastAsia="en-US"/>
              </w:rPr>
              <w:t>Comment</w:t>
            </w:r>
          </w:p>
        </w:tc>
      </w:tr>
      <w:tr w:rsidR="00AC0043" w14:paraId="77AC68A7"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10C8B485" w14:textId="77777777" w:rsidR="00AC0043" w:rsidRDefault="00AC0043" w:rsidP="00AC004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EC21BAB" w14:textId="77777777" w:rsidR="00AC0043" w:rsidRDefault="00AC0043" w:rsidP="00AC004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AC0043" w14:paraId="3FF511D4"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2C37C07C" w14:textId="77777777" w:rsidR="00AC0043" w:rsidRDefault="00AC0043" w:rsidP="00AC004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1E02B96" w14:textId="77777777" w:rsidR="00AC0043" w:rsidRDefault="00AC0043" w:rsidP="00AC004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37B9C111" w14:textId="77777777" w:rsidR="00AC0043" w:rsidRDefault="00AC0043" w:rsidP="00AC0043">
      <w:pPr>
        <w:pStyle w:val="EC-Para"/>
        <w:rPr>
          <w:lang w:eastAsia="en-US"/>
        </w:rPr>
      </w:pPr>
    </w:p>
    <w:p w14:paraId="6C3074DA" w14:textId="0F07A781" w:rsidR="00AC0043" w:rsidRPr="0072746F" w:rsidRDefault="00A02451" w:rsidP="00496DC9">
      <w:pPr>
        <w:pStyle w:val="EC-Title-6"/>
      </w:pPr>
      <w:r>
        <w:t xml:space="preserve">Data </w:t>
      </w:r>
      <w:r w:rsidRPr="00496DC9">
        <w:t>quality</w:t>
      </w:r>
    </w:p>
    <w:p w14:paraId="1C81A8DD" w14:textId="3DF5C5B1" w:rsidR="0097253D" w:rsidRDefault="0097253D" w:rsidP="0097253D">
      <w:pPr>
        <w:autoSpaceDE w:val="0"/>
        <w:autoSpaceDN w:val="0"/>
        <w:adjustRightInd w:val="0"/>
        <w:jc w:val="both"/>
        <w:rPr>
          <w:rFonts w:eastAsia="Arial Unicode MS" w:cs="Tahoma"/>
          <w:kern w:val="22"/>
          <w:szCs w:val="18"/>
        </w:rPr>
      </w:pPr>
      <w:bookmarkStart w:id="43" w:name="_Toc437442020"/>
      <w:r w:rsidRPr="009E3B9F">
        <w:rPr>
          <w:rFonts w:eastAsia="Arial Unicode MS" w:cs="Tahoma"/>
          <w:kern w:val="22"/>
          <w:szCs w:val="18"/>
        </w:rPr>
        <w:t>EU/EEA coun</w:t>
      </w:r>
      <w:r w:rsidR="00E6375C">
        <w:rPr>
          <w:rFonts w:eastAsia="Arial Unicode MS" w:cs="Tahoma"/>
          <w:kern w:val="22"/>
          <w:szCs w:val="18"/>
        </w:rPr>
        <w:t>tries reporting data on hepatitis A</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3C396D89" w14:textId="71135F41"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00E6375C">
        <w:rPr>
          <w:rFonts w:eastAsia="Arial Unicode MS" w:cs="Tahoma"/>
          <w:kern w:val="22"/>
          <w:szCs w:val="18"/>
        </w:rPr>
        <w:t>confirmed hepatitis A cases</w:t>
      </w:r>
      <w:r>
        <w:rPr>
          <w:rFonts w:eastAsia="Arial Unicode MS" w:cs="Tahoma"/>
          <w:kern w:val="22"/>
          <w:szCs w:val="18"/>
        </w:rPr>
        <w:t xml:space="preserve"> are:</w:t>
      </w:r>
    </w:p>
    <w:p w14:paraId="022BFCC9" w14:textId="05F0BB55"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lastRenderedPageBreak/>
        <w:t>Completeness age (%</w:t>
      </w:r>
      <w:proofErr w:type="gramStart"/>
      <w:r>
        <w:rPr>
          <w:rFonts w:eastAsia="Arial Unicode MS" w:cs="Tahoma"/>
          <w:kern w:val="22"/>
          <w:szCs w:val="18"/>
          <w:lang w:eastAsia="ko-KR"/>
        </w:rPr>
        <w:t>);</w:t>
      </w:r>
      <w:proofErr w:type="gramEnd"/>
    </w:p>
    <w:p w14:paraId="6C8D6097" w14:textId="7A92E0AB"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06BF7C32" w14:textId="135175DB"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7B0C2D9A" w14:textId="02F0284A"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1D3E69EE" w14:textId="366406F0"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474A1472" w14:textId="01F5B35A" w:rsidR="00BB427B" w:rsidRPr="00496DC9" w:rsidRDefault="00A278F0" w:rsidP="000617B1">
      <w:pPr>
        <w:pStyle w:val="ListParagraph"/>
        <w:numPr>
          <w:ilvl w:val="0"/>
          <w:numId w:val="10"/>
        </w:numPr>
        <w:autoSpaceDE w:val="0"/>
        <w:autoSpaceDN w:val="0"/>
        <w:adjustRightInd w:val="0"/>
        <w:spacing w:after="200" w:line="276" w:lineRule="auto"/>
        <w:jc w:val="both"/>
        <w:rPr>
          <w:rFonts w:eastAsia="Arial Unicode MS" w:cs="Tahoma"/>
          <w:color w:val="000000"/>
          <w:kern w:val="22"/>
          <w:szCs w:val="18"/>
        </w:rPr>
      </w:pPr>
      <w:r w:rsidRPr="00496DC9">
        <w:rPr>
          <w:rFonts w:eastAsia="Arial Unicode MS" w:cs="Tahoma"/>
          <w:kern w:val="22"/>
          <w:szCs w:val="18"/>
        </w:rPr>
        <w:t xml:space="preserve">Completeness </w:t>
      </w:r>
      <w:r w:rsidR="00E6375C" w:rsidRPr="00496DC9">
        <w:rPr>
          <w:rFonts w:eastAsia="Arial Unicode MS" w:cs="Tahoma"/>
          <w:kern w:val="22"/>
          <w:szCs w:val="18"/>
        </w:rPr>
        <w:t>probable country of infection</w:t>
      </w:r>
      <w:r w:rsidRPr="00496DC9">
        <w:rPr>
          <w:rFonts w:eastAsia="Arial Unicode MS" w:cs="Tahoma"/>
          <w:kern w:val="22"/>
          <w:szCs w:val="18"/>
        </w:rPr>
        <w:t xml:space="preserve"> (%)</w:t>
      </w:r>
      <w:r w:rsidR="00496DC9" w:rsidRPr="00496DC9">
        <w:rPr>
          <w:rFonts w:eastAsia="Arial Unicode MS" w:cs="Tahoma"/>
          <w:kern w:val="22"/>
          <w:szCs w:val="18"/>
        </w:rPr>
        <w:t>.</w:t>
      </w:r>
    </w:p>
    <w:p w14:paraId="0DE906E0" w14:textId="77777777" w:rsidR="0097253D" w:rsidRPr="00BB427B" w:rsidRDefault="0097253D" w:rsidP="00BB427B">
      <w:pPr>
        <w:autoSpaceDE w:val="0"/>
        <w:autoSpaceDN w:val="0"/>
        <w:adjustRightInd w:val="0"/>
        <w:jc w:val="both"/>
        <w:rPr>
          <w:rFonts w:eastAsia="Arial Unicode MS" w:cs="Tahoma"/>
          <w:kern w:val="22"/>
          <w:szCs w:val="18"/>
        </w:rPr>
      </w:pPr>
    </w:p>
    <w:p w14:paraId="6961FF21" w14:textId="77777777" w:rsidR="00AC0043" w:rsidRDefault="00AC0043" w:rsidP="00AC0043">
      <w:pPr>
        <w:pStyle w:val="EC-Title-6"/>
        <w:outlineLvl w:val="1"/>
        <w:rPr>
          <w:rFonts w:cs="Tahoma"/>
        </w:rPr>
      </w:pPr>
      <w:r w:rsidRPr="00C82DDE">
        <w:rPr>
          <w:rFonts w:cs="Tahoma"/>
        </w:rPr>
        <w:t>Interpretation</w:t>
      </w:r>
      <w:bookmarkEnd w:id="43"/>
      <w:r w:rsidRPr="00C82DDE">
        <w:rPr>
          <w:rFonts w:cs="Tahoma"/>
        </w:rPr>
        <w:t xml:space="preserve"> </w:t>
      </w:r>
    </w:p>
    <w:p w14:paraId="72CA89B2" w14:textId="53FE2051" w:rsidR="00AC0043" w:rsidRPr="00213FB7" w:rsidRDefault="00AC0043" w:rsidP="00AC0043">
      <w:pPr>
        <w:pStyle w:val="EC-Para"/>
        <w:jc w:val="both"/>
        <w:rPr>
          <w:rFonts w:eastAsiaTheme="minorHAnsi" w:cs="Tahoma"/>
          <w:lang w:eastAsia="en-US"/>
        </w:rPr>
      </w:pPr>
      <w:r w:rsidRPr="007F3A65">
        <w:rPr>
          <w:rFonts w:eastAsiaTheme="minorHAnsi" w:cs="Tahoma"/>
          <w:lang w:eastAsia="en-US"/>
        </w:rPr>
        <w:t xml:space="preserve">The results shown in the Surveillance Atlas should be interpreted carefully. </w:t>
      </w:r>
      <w:r>
        <w:rPr>
          <w:rFonts w:eastAsiaTheme="minorHAnsi" w:cs="Tahoma"/>
          <w:lang w:eastAsia="en-US"/>
        </w:rPr>
        <w:t>National s</w:t>
      </w:r>
      <w:r w:rsidRPr="007F3A65">
        <w:rPr>
          <w:rFonts w:eastAsiaTheme="minorHAnsi" w:cs="Tahoma"/>
          <w:lang w:eastAsia="en-US"/>
        </w:rPr>
        <w:t xml:space="preserve">urveillance systems </w:t>
      </w:r>
      <w:r>
        <w:rPr>
          <w:rFonts w:eastAsiaTheme="minorHAnsi" w:cs="Tahoma"/>
          <w:lang w:eastAsia="en-US"/>
        </w:rPr>
        <w:t xml:space="preserve">differ </w:t>
      </w:r>
      <w:r w:rsidRPr="00213FB7">
        <w:rPr>
          <w:rFonts w:eastAsiaTheme="minorHAnsi" w:cs="Tahoma"/>
          <w:lang w:eastAsia="en-US"/>
        </w:rPr>
        <w:t xml:space="preserve">from each other and so does case under-ascertainment and under-reporting between countries. </w:t>
      </w:r>
    </w:p>
    <w:p w14:paraId="74F4757B" w14:textId="381EDA6B" w:rsidR="00BB427B" w:rsidRDefault="00BB6A7B" w:rsidP="00AC0043">
      <w:pPr>
        <w:pStyle w:val="EC-Para"/>
        <w:jc w:val="both"/>
      </w:pPr>
      <w:r w:rsidRPr="00213FB7">
        <w:t xml:space="preserve">The notification of hepatitis A is </w:t>
      </w:r>
      <w:r w:rsidR="004905A2" w:rsidRPr="00213FB7">
        <w:t>mandatory,</w:t>
      </w:r>
      <w:r w:rsidR="00252064">
        <w:t xml:space="preserve"> </w:t>
      </w:r>
      <w:bookmarkStart w:id="44" w:name="_Hlk113026568"/>
      <w:r w:rsidR="00252064">
        <w:t>and</w:t>
      </w:r>
      <w:r w:rsidR="00AB6AF7">
        <w:t xml:space="preserve"> the surveillance systems</w:t>
      </w:r>
      <w:r w:rsidR="00252064">
        <w:t xml:space="preserve"> have full national coverage</w:t>
      </w:r>
      <w:bookmarkEnd w:id="44"/>
      <w:r w:rsidRPr="00213FB7">
        <w:t xml:space="preserve"> in all </w:t>
      </w:r>
      <w:r w:rsidR="00055C96">
        <w:t xml:space="preserve">30 </w:t>
      </w:r>
      <w:r w:rsidRPr="00213FB7">
        <w:t>EU</w:t>
      </w:r>
      <w:r w:rsidR="00AF0F40">
        <w:t>/EEA countries</w:t>
      </w:r>
      <w:r w:rsidR="007577AB">
        <w:t xml:space="preserve"> </w:t>
      </w:r>
      <w:r w:rsidR="007577AB" w:rsidRPr="003503CC">
        <w:t xml:space="preserve">and </w:t>
      </w:r>
      <w:r w:rsidR="00252064" w:rsidRPr="003503CC">
        <w:t xml:space="preserve">in </w:t>
      </w:r>
      <w:r w:rsidR="00591A7A" w:rsidRPr="003503CC">
        <w:t>t</w:t>
      </w:r>
      <w:r w:rsidR="00F6249C" w:rsidRPr="003503CC">
        <w:t>hree</w:t>
      </w:r>
      <w:r w:rsidR="007577AB" w:rsidRPr="003503CC">
        <w:t xml:space="preserve"> </w:t>
      </w:r>
      <w:r w:rsidR="00AF0F40" w:rsidRPr="003503CC">
        <w:t xml:space="preserve">candidate </w:t>
      </w:r>
      <w:r w:rsidR="007577AB" w:rsidRPr="003503CC">
        <w:t>countries (</w:t>
      </w:r>
      <w:r w:rsidR="00F6249C" w:rsidRPr="003503CC">
        <w:t>Albania,</w:t>
      </w:r>
      <w:r w:rsidR="00F6249C">
        <w:t xml:space="preserve"> </w:t>
      </w:r>
      <w:r w:rsidR="00591A7A" w:rsidRPr="00591A7A">
        <w:t>North Macedonia</w:t>
      </w:r>
      <w:r w:rsidR="00591A7A">
        <w:t xml:space="preserve"> and</w:t>
      </w:r>
      <w:r w:rsidR="007577AB">
        <w:t xml:space="preserve"> Serbia)</w:t>
      </w:r>
      <w:r w:rsidRPr="00213FB7">
        <w:t>.</w:t>
      </w:r>
      <w:r w:rsidR="00B810E3" w:rsidRPr="00213FB7">
        <w:rPr>
          <w:rFonts w:cs="Tahoma"/>
        </w:rPr>
        <w:t xml:space="preserve"> </w:t>
      </w:r>
      <w:r w:rsidR="00252064" w:rsidRPr="00213FB7">
        <w:t xml:space="preserve">For 2020, Spain has not received data from all regions and rate </w:t>
      </w:r>
      <w:r w:rsidR="008F4EFD">
        <w:t xml:space="preserve">is </w:t>
      </w:r>
      <w:r w:rsidR="00252064" w:rsidRPr="00213FB7">
        <w:t>therefore not displayed for th</w:t>
      </w:r>
      <w:r w:rsidR="00987205">
        <w:t>at</w:t>
      </w:r>
      <w:r w:rsidR="00252064" w:rsidRPr="00213FB7">
        <w:t xml:space="preserve"> year. </w:t>
      </w:r>
      <w:r w:rsidR="00252064" w:rsidRPr="00213FB7">
        <w:rPr>
          <w:rFonts w:cs="Tahoma"/>
        </w:rPr>
        <w:t>In Belgium, full national coverage was established in 2015 and rates before this date are not displayed</w:t>
      </w:r>
      <w:r w:rsidR="00252064">
        <w:rPr>
          <w:rFonts w:cs="Tahoma"/>
        </w:rPr>
        <w:t xml:space="preserve">. </w:t>
      </w:r>
      <w:r w:rsidRPr="00213FB7">
        <w:t xml:space="preserve">All reporting countries </w:t>
      </w:r>
      <w:r w:rsidRPr="00213FB7">
        <w:rPr>
          <w:lang w:eastAsia="en-US"/>
        </w:rPr>
        <w:t xml:space="preserve">provide case-based data </w:t>
      </w:r>
      <w:r w:rsidRPr="00BE455A">
        <w:rPr>
          <w:lang w:eastAsia="en-US"/>
        </w:rPr>
        <w:t>except</w:t>
      </w:r>
      <w:r w:rsidR="00631B68" w:rsidRPr="00BE455A">
        <w:rPr>
          <w:lang w:eastAsia="en-US"/>
        </w:rPr>
        <w:t xml:space="preserve"> </w:t>
      </w:r>
      <w:r w:rsidR="00677C9F" w:rsidRPr="00BE455A">
        <w:rPr>
          <w:lang w:eastAsia="en-US"/>
        </w:rPr>
        <w:t xml:space="preserve">Albania, </w:t>
      </w:r>
      <w:r w:rsidRPr="00BE455A">
        <w:rPr>
          <w:lang w:eastAsia="en-US"/>
        </w:rPr>
        <w:t xml:space="preserve">Belgium </w:t>
      </w:r>
      <w:r w:rsidR="00372D75" w:rsidRPr="00BE455A">
        <w:rPr>
          <w:lang w:eastAsia="en-US"/>
        </w:rPr>
        <w:t xml:space="preserve">and </w:t>
      </w:r>
      <w:r w:rsidRPr="00BE455A">
        <w:rPr>
          <w:lang w:eastAsia="en-US"/>
        </w:rPr>
        <w:t>Bulgaria</w:t>
      </w:r>
      <w:r w:rsidR="008B3929" w:rsidRPr="00BE455A">
        <w:rPr>
          <w:lang w:eastAsia="en-US"/>
        </w:rPr>
        <w:t xml:space="preserve"> </w:t>
      </w:r>
      <w:r w:rsidRPr="00BE455A">
        <w:t>which</w:t>
      </w:r>
      <w:r w:rsidRPr="00213FB7">
        <w:t xml:space="preserve"> report aggregate data. </w:t>
      </w:r>
      <w:r w:rsidR="00C96C10">
        <w:t>Aggregated</w:t>
      </w:r>
      <w:r w:rsidR="00C96C10" w:rsidRPr="004C1587">
        <w:t xml:space="preserve"> reporting format w</w:t>
      </w:r>
      <w:r w:rsidR="00C96C10">
        <w:t>as</w:t>
      </w:r>
      <w:r w:rsidR="00C96C10" w:rsidRPr="004C1587">
        <w:t xml:space="preserve"> included to calculate numbers of cases</w:t>
      </w:r>
      <w:r w:rsidR="00C96C10">
        <w:t xml:space="preserve"> and </w:t>
      </w:r>
      <w:r w:rsidR="00C96C10" w:rsidRPr="004C1587">
        <w:t xml:space="preserve">notification rates, </w:t>
      </w:r>
      <w:r w:rsidR="00C96C10">
        <w:t xml:space="preserve">as well as </w:t>
      </w:r>
      <w:r w:rsidR="00C96C10" w:rsidRPr="004C1587">
        <w:t xml:space="preserve">disease trends, </w:t>
      </w:r>
      <w:r w:rsidR="00C96C10">
        <w:t>a</w:t>
      </w:r>
      <w:r w:rsidR="00C96C10" w:rsidRPr="004C1587">
        <w:t>ge and gender distributions</w:t>
      </w:r>
      <w:r w:rsidR="00C96C10">
        <w:t xml:space="preserve"> when this data was available</w:t>
      </w:r>
      <w:r w:rsidR="00C96C10" w:rsidRPr="004C1587">
        <w:t>.</w:t>
      </w:r>
    </w:p>
    <w:p w14:paraId="5CEE2268" w14:textId="0F048DFB" w:rsidR="00BB6A7B" w:rsidRPr="00B3152F" w:rsidRDefault="001C4E99" w:rsidP="00AC0043">
      <w:pPr>
        <w:pStyle w:val="EC-Para"/>
        <w:jc w:val="both"/>
        <w:rPr>
          <w:rFonts w:eastAsiaTheme="minorHAnsi" w:cs="Tahoma"/>
          <w:lang w:eastAsia="en-US"/>
        </w:rPr>
      </w:pPr>
      <w:r w:rsidRPr="001C4E99">
        <w:t xml:space="preserve">The COVID-19 pandemic significantly impacted on the </w:t>
      </w:r>
      <w:r w:rsidR="0056713A">
        <w:t xml:space="preserve">hepatitis A </w:t>
      </w:r>
      <w:r w:rsidRPr="001C4E99">
        <w:t xml:space="preserve">surveillance </w:t>
      </w:r>
      <w:r w:rsidR="002B3D57">
        <w:t xml:space="preserve">data </w:t>
      </w:r>
      <w:r w:rsidRPr="001C4E99">
        <w:t>in 2020</w:t>
      </w:r>
      <w:r w:rsidR="00BB427B">
        <w:t>-202</w:t>
      </w:r>
      <w:r w:rsidR="002D5232">
        <w:t>2</w:t>
      </w:r>
      <w:r w:rsidRPr="001C4E99">
        <w:t xml:space="preserve">. Factors mentioned by countries resulting in lower case numbers were e.g. </w:t>
      </w:r>
      <w:r w:rsidR="00003A46">
        <w:t xml:space="preserve">less travel due to travel restrictions, fewer social interactions, </w:t>
      </w:r>
      <w:r w:rsidRPr="001C4E99">
        <w:t xml:space="preserve">people avoiding </w:t>
      </w:r>
      <w:proofErr w:type="gramStart"/>
      <w:r w:rsidRPr="001C4E99">
        <w:t>to seek</w:t>
      </w:r>
      <w:proofErr w:type="gramEnd"/>
      <w:r w:rsidRPr="001C4E99">
        <w:t xml:space="preserve"> medical care for mild symptoms due to risk of exposure to COVID-19 in health care facilities, limited laboratory capacity due to reallocation of resources to SARS-CoV-2, fewer restaurant visits, etc.</w:t>
      </w:r>
    </w:p>
    <w:p w14:paraId="5F1158B0" w14:textId="77777777" w:rsidR="00AC0043" w:rsidRDefault="00AC0043" w:rsidP="00AC0043">
      <w:pPr>
        <w:pStyle w:val="EC-Para"/>
        <w:jc w:val="both"/>
        <w:rPr>
          <w:rFonts w:eastAsiaTheme="minorHAnsi" w:cs="Tahoma"/>
          <w:lang w:eastAsia="en-US"/>
        </w:rPr>
      </w:pPr>
      <w:r w:rsidRPr="007F3A65">
        <w:rPr>
          <w:rFonts w:eastAsiaTheme="minorHAnsi" w:cs="Tahoma"/>
          <w:lang w:eastAsia="en-US"/>
        </w:rPr>
        <w:t xml:space="preserve">The completeness of some variables such as outcome or </w:t>
      </w:r>
      <w:r>
        <w:rPr>
          <w:rFonts w:eastAsiaTheme="minorHAnsi" w:cs="Tahoma"/>
          <w:lang w:eastAsia="en-US"/>
        </w:rPr>
        <w:t>travel history</w:t>
      </w:r>
      <w:r w:rsidRPr="007F3A65">
        <w:rPr>
          <w:rFonts w:eastAsiaTheme="minorHAnsi" w:cs="Tahoma"/>
          <w:lang w:eastAsia="en-US"/>
        </w:rPr>
        <w:t xml:space="preserve"> var</w:t>
      </w:r>
      <w:r>
        <w:rPr>
          <w:rFonts w:eastAsiaTheme="minorHAnsi" w:cs="Tahoma"/>
          <w:lang w:eastAsia="en-US"/>
        </w:rPr>
        <w:t>ies</w:t>
      </w:r>
      <w:r w:rsidRPr="007F3A65">
        <w:rPr>
          <w:rFonts w:eastAsiaTheme="minorHAnsi" w:cs="Tahoma"/>
          <w:lang w:eastAsia="en-US"/>
        </w:rPr>
        <w:t xml:space="preserve"> between countries and years</w:t>
      </w:r>
      <w:r>
        <w:rPr>
          <w:rFonts w:eastAsiaTheme="minorHAnsi" w:cs="Tahoma"/>
          <w:lang w:eastAsia="en-US"/>
        </w:rPr>
        <w:t>. S</w:t>
      </w:r>
      <w:r w:rsidRPr="007F3A65">
        <w:rPr>
          <w:rFonts w:eastAsiaTheme="minorHAnsi" w:cs="Tahoma"/>
          <w:lang w:eastAsia="en-US"/>
        </w:rPr>
        <w:t xml:space="preserve">ome countries </w:t>
      </w:r>
      <w:proofErr w:type="gramStart"/>
      <w:r w:rsidRPr="007F3A65">
        <w:rPr>
          <w:rFonts w:eastAsiaTheme="minorHAnsi" w:cs="Tahoma"/>
          <w:lang w:eastAsia="en-US"/>
        </w:rPr>
        <w:t>are able to</w:t>
      </w:r>
      <w:proofErr w:type="gramEnd"/>
      <w:r w:rsidRPr="007F3A65">
        <w:rPr>
          <w:rFonts w:eastAsiaTheme="minorHAnsi" w:cs="Tahoma"/>
          <w:lang w:eastAsia="en-US"/>
        </w:rPr>
        <w:t xml:space="preserve"> collect and integrate this type of information from different sources, other countries are not. Even if overall data completeness is high for some variables, the reader should refrain from direct</w:t>
      </w:r>
      <w:r>
        <w:rPr>
          <w:rFonts w:eastAsiaTheme="minorHAnsi" w:cs="Tahoma"/>
          <w:lang w:eastAsia="en-US"/>
        </w:rPr>
        <w:t>ly</w:t>
      </w:r>
      <w:r w:rsidRPr="007F3A65">
        <w:rPr>
          <w:rFonts w:eastAsiaTheme="minorHAnsi" w:cs="Tahoma"/>
          <w:lang w:eastAsia="en-US"/>
        </w:rPr>
        <w:t xml:space="preserve"> compari</w:t>
      </w:r>
      <w:r>
        <w:rPr>
          <w:rFonts w:eastAsiaTheme="minorHAnsi" w:cs="Tahoma"/>
          <w:lang w:eastAsia="en-US"/>
        </w:rPr>
        <w:t>ng</w:t>
      </w:r>
      <w:r w:rsidRPr="007F3A65">
        <w:rPr>
          <w:rFonts w:eastAsiaTheme="minorHAnsi" w:cs="Tahoma"/>
          <w:lang w:eastAsia="en-US"/>
        </w:rPr>
        <w:t xml:space="preserve"> countries without </w:t>
      </w:r>
      <w:proofErr w:type="gramStart"/>
      <w:r w:rsidRPr="007F3A65">
        <w:rPr>
          <w:rFonts w:eastAsiaTheme="minorHAnsi" w:cs="Tahoma"/>
          <w:lang w:eastAsia="en-US"/>
        </w:rPr>
        <w:t>taking into account</w:t>
      </w:r>
      <w:proofErr w:type="gramEnd"/>
      <w:r w:rsidRPr="007F3A65">
        <w:rPr>
          <w:rFonts w:eastAsiaTheme="minorHAnsi" w:cs="Tahoma"/>
          <w:lang w:eastAsia="en-US"/>
        </w:rPr>
        <w:t xml:space="preserve"> limitations.</w:t>
      </w:r>
    </w:p>
    <w:p w14:paraId="6E62C60F" w14:textId="77777777" w:rsidR="004C23E6" w:rsidRDefault="004C23E6" w:rsidP="00AC0043">
      <w:pPr>
        <w:pStyle w:val="EC-Para"/>
        <w:jc w:val="both"/>
        <w:rPr>
          <w:rFonts w:eastAsiaTheme="minorHAnsi" w:cs="Tahoma"/>
          <w:lang w:eastAsia="en-US"/>
        </w:rPr>
      </w:pPr>
    </w:p>
    <w:p w14:paraId="37844ED9" w14:textId="77777777" w:rsidR="00AC0043" w:rsidRDefault="00AC0043" w:rsidP="009F5B73">
      <w:pPr>
        <w:pStyle w:val="EC-Title-6"/>
        <w:outlineLvl w:val="1"/>
        <w:rPr>
          <w:rFonts w:cs="Tahoma"/>
          <w:color w:val="FF0000"/>
          <w:sz w:val="20"/>
          <w:szCs w:val="20"/>
        </w:rPr>
      </w:pPr>
      <w:r>
        <w:t xml:space="preserve">Reports published by ECDC on hepatitis A </w:t>
      </w:r>
    </w:p>
    <w:p w14:paraId="69D1BEC9" w14:textId="77777777" w:rsidR="00AC0043" w:rsidRDefault="00AC0043" w:rsidP="00AC0043">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559518BC" w14:textId="0FA48CE5" w:rsidR="00686942" w:rsidRPr="009D4D86" w:rsidRDefault="00A51BAC" w:rsidP="00D30237">
      <w:pPr>
        <w:pStyle w:val="EC-Para"/>
        <w:spacing w:after="0" w:line="240" w:lineRule="auto"/>
        <w:rPr>
          <w:rFonts w:eastAsiaTheme="minorHAnsi" w:cs="Tahoma"/>
          <w:b/>
          <w:lang w:eastAsia="en-US"/>
        </w:rPr>
      </w:pPr>
      <w:r w:rsidRPr="009D4D86">
        <w:rPr>
          <w:rFonts w:eastAsiaTheme="minorHAnsi" w:cs="Tahoma"/>
          <w:b/>
          <w:lang w:eastAsia="en-US"/>
        </w:rPr>
        <w:t xml:space="preserve">Annual epidemiological report </w:t>
      </w:r>
      <w:r w:rsidR="00FE1067" w:rsidRPr="009D4D86">
        <w:rPr>
          <w:rFonts w:eastAsiaTheme="minorHAnsi" w:cs="Tahoma"/>
          <w:b/>
          <w:lang w:eastAsia="en-US"/>
        </w:rPr>
        <w:t>for 20</w:t>
      </w:r>
      <w:r w:rsidR="00717162" w:rsidRPr="009D4D86">
        <w:rPr>
          <w:rFonts w:eastAsiaTheme="minorHAnsi" w:cs="Tahoma"/>
          <w:b/>
          <w:lang w:eastAsia="en-US"/>
        </w:rPr>
        <w:t>2</w:t>
      </w:r>
      <w:r w:rsidR="00603533">
        <w:rPr>
          <w:rFonts w:eastAsiaTheme="minorHAnsi" w:cs="Tahoma"/>
          <w:b/>
          <w:lang w:eastAsia="en-US"/>
        </w:rPr>
        <w:t>2</w:t>
      </w:r>
      <w:r w:rsidRPr="009D4D86">
        <w:rPr>
          <w:rFonts w:eastAsiaTheme="minorHAnsi" w:cs="Tahoma"/>
          <w:b/>
          <w:lang w:eastAsia="en-US"/>
        </w:rPr>
        <w:t xml:space="preserve"> – </w:t>
      </w:r>
      <w:r w:rsidR="00FE1067" w:rsidRPr="009D4D86">
        <w:rPr>
          <w:rFonts w:eastAsiaTheme="minorHAnsi" w:cs="Tahoma"/>
          <w:b/>
          <w:lang w:eastAsia="en-US"/>
        </w:rPr>
        <w:t>Hepatitis A</w:t>
      </w:r>
      <w:r w:rsidRPr="009D4D86">
        <w:rPr>
          <w:rFonts w:eastAsiaTheme="minorHAnsi" w:cs="Tahoma"/>
          <w:b/>
          <w:lang w:eastAsia="en-US"/>
        </w:rPr>
        <w:t>:</w:t>
      </w:r>
    </w:p>
    <w:p w14:paraId="5135DA7A" w14:textId="77777777" w:rsidR="000B7C1F" w:rsidRDefault="00000000" w:rsidP="00F0787D">
      <w:pPr>
        <w:spacing w:after="0" w:line="240" w:lineRule="auto"/>
        <w:rPr>
          <w:rStyle w:val="Hyperlink"/>
          <w:sz w:val="18"/>
          <w:szCs w:val="18"/>
        </w:rPr>
      </w:pPr>
      <w:hyperlink r:id="rId39" w:history="1">
        <w:r w:rsidR="000B7C1F" w:rsidRPr="000B7C1F">
          <w:rPr>
            <w:rStyle w:val="Hyperlink"/>
            <w:sz w:val="18"/>
            <w:szCs w:val="18"/>
          </w:rPr>
          <w:t>Annual epidemiological report 2022 - Hepatitis A (europa.eu)</w:t>
        </w:r>
      </w:hyperlink>
    </w:p>
    <w:p w14:paraId="68CDEAF7" w14:textId="77777777" w:rsidR="00164C6F" w:rsidRDefault="00164C6F" w:rsidP="00F0787D">
      <w:pPr>
        <w:spacing w:after="0" w:line="240" w:lineRule="auto"/>
        <w:rPr>
          <w:rStyle w:val="Hyperlink"/>
          <w:sz w:val="18"/>
          <w:szCs w:val="18"/>
        </w:rPr>
      </w:pPr>
    </w:p>
    <w:p w14:paraId="4A48A105" w14:textId="13FEED9B" w:rsidR="00164C6F" w:rsidRDefault="000744ED" w:rsidP="00F0787D">
      <w:pPr>
        <w:spacing w:after="0" w:line="240" w:lineRule="auto"/>
        <w:rPr>
          <w:b/>
          <w:bCs/>
          <w:szCs w:val="18"/>
        </w:rPr>
      </w:pPr>
      <w:r w:rsidRPr="000744ED">
        <w:rPr>
          <w:b/>
          <w:bCs/>
          <w:szCs w:val="18"/>
        </w:rPr>
        <w:t>Severi</w:t>
      </w:r>
      <w:r>
        <w:rPr>
          <w:b/>
          <w:bCs/>
          <w:szCs w:val="18"/>
        </w:rPr>
        <w:t xml:space="preserve"> E</w:t>
      </w:r>
      <w:r w:rsidRPr="000744ED">
        <w:rPr>
          <w:b/>
          <w:bCs/>
          <w:szCs w:val="18"/>
        </w:rPr>
        <w:t xml:space="preserve">, </w:t>
      </w:r>
      <w:proofErr w:type="spellStart"/>
      <w:r w:rsidRPr="000744ED">
        <w:rPr>
          <w:b/>
          <w:bCs/>
          <w:szCs w:val="18"/>
        </w:rPr>
        <w:t>Tavoschi</w:t>
      </w:r>
      <w:proofErr w:type="spellEnd"/>
      <w:r>
        <w:rPr>
          <w:b/>
          <w:bCs/>
          <w:szCs w:val="18"/>
        </w:rPr>
        <w:t xml:space="preserve"> L, </w:t>
      </w:r>
      <w:r w:rsidRPr="000744ED">
        <w:rPr>
          <w:b/>
          <w:bCs/>
          <w:szCs w:val="18"/>
        </w:rPr>
        <w:t>Carrillo-</w:t>
      </w:r>
      <w:proofErr w:type="spellStart"/>
      <w:r w:rsidRPr="000744ED">
        <w:rPr>
          <w:b/>
          <w:bCs/>
          <w:szCs w:val="18"/>
        </w:rPr>
        <w:t>Santisteve</w:t>
      </w:r>
      <w:proofErr w:type="spellEnd"/>
      <w:r>
        <w:rPr>
          <w:b/>
          <w:bCs/>
          <w:szCs w:val="18"/>
        </w:rPr>
        <w:t xml:space="preserve"> P</w:t>
      </w:r>
      <w:r w:rsidRPr="000744ED">
        <w:rPr>
          <w:b/>
          <w:bCs/>
          <w:szCs w:val="18"/>
        </w:rPr>
        <w:t>, Westrell</w:t>
      </w:r>
      <w:r>
        <w:rPr>
          <w:b/>
          <w:bCs/>
          <w:szCs w:val="18"/>
        </w:rPr>
        <w:t xml:space="preserve"> T</w:t>
      </w:r>
      <w:r w:rsidRPr="000744ED">
        <w:rPr>
          <w:b/>
          <w:bCs/>
          <w:szCs w:val="18"/>
        </w:rPr>
        <w:t>, Gaetano Marrone</w:t>
      </w:r>
      <w:r>
        <w:rPr>
          <w:b/>
          <w:bCs/>
          <w:szCs w:val="18"/>
        </w:rPr>
        <w:t xml:space="preserve"> </w:t>
      </w:r>
      <w:r w:rsidR="00344AE3">
        <w:rPr>
          <w:b/>
          <w:bCs/>
          <w:szCs w:val="18"/>
        </w:rPr>
        <w:t>G</w:t>
      </w:r>
      <w:r w:rsidR="00344AE3" w:rsidRPr="000744ED">
        <w:rPr>
          <w:b/>
          <w:bCs/>
          <w:szCs w:val="18"/>
        </w:rPr>
        <w:t xml:space="preserve"> </w:t>
      </w:r>
      <w:r w:rsidR="00344AE3">
        <w:rPr>
          <w:b/>
          <w:bCs/>
          <w:szCs w:val="18"/>
        </w:rPr>
        <w:t>et al.</w:t>
      </w:r>
      <w:r w:rsidR="002D5A9C">
        <w:rPr>
          <w:b/>
          <w:bCs/>
          <w:szCs w:val="18"/>
        </w:rPr>
        <w:t xml:space="preserve"> </w:t>
      </w:r>
      <w:r w:rsidR="00164C6F" w:rsidRPr="00164C6F">
        <w:rPr>
          <w:b/>
          <w:bCs/>
          <w:szCs w:val="18"/>
        </w:rPr>
        <w:t>Hepatitis A notifications in the EU/EEA, 2010–2019: what can we learn from case reporting to the European Surveillance System?</w:t>
      </w:r>
      <w:r w:rsidR="002D5A9C">
        <w:rPr>
          <w:b/>
          <w:bCs/>
          <w:szCs w:val="18"/>
        </w:rPr>
        <w:t xml:space="preserve"> Eurosurveillance 2023</w:t>
      </w:r>
      <w:r w:rsidR="001C3D0F">
        <w:rPr>
          <w:b/>
          <w:bCs/>
          <w:szCs w:val="18"/>
        </w:rPr>
        <w:t>. Vol</w:t>
      </w:r>
      <w:r w:rsidR="001C3D0F" w:rsidRPr="001C3D0F">
        <w:rPr>
          <w:b/>
          <w:bCs/>
          <w:szCs w:val="18"/>
        </w:rPr>
        <w:t xml:space="preserve"> 28</w:t>
      </w:r>
      <w:r w:rsidR="00C8748F">
        <w:rPr>
          <w:b/>
          <w:bCs/>
          <w:szCs w:val="18"/>
        </w:rPr>
        <w:t xml:space="preserve">. </w:t>
      </w:r>
      <w:hyperlink r:id="rId40" w:history="1">
        <w:r w:rsidR="000B466B" w:rsidRPr="00741474">
          <w:rPr>
            <w:rStyle w:val="Hyperlink"/>
            <w:sz w:val="18"/>
            <w:szCs w:val="18"/>
          </w:rPr>
          <w:t>https://www.eurosurveillance.org/content/10.2807/1560-7917.ES.2023.28.19.2200575</w:t>
        </w:r>
      </w:hyperlink>
    </w:p>
    <w:p w14:paraId="1B1AD15E" w14:textId="77777777" w:rsidR="003629AB" w:rsidRPr="00164C6F" w:rsidRDefault="003629AB" w:rsidP="00F0787D">
      <w:pPr>
        <w:spacing w:after="0" w:line="240" w:lineRule="auto"/>
        <w:rPr>
          <w:b/>
          <w:bCs/>
          <w:szCs w:val="18"/>
        </w:rPr>
      </w:pPr>
    </w:p>
    <w:p w14:paraId="36FA7E6C" w14:textId="29797C9C" w:rsidR="00EE612C" w:rsidRPr="00B36C19" w:rsidRDefault="001901D9" w:rsidP="00F0787D">
      <w:pPr>
        <w:spacing w:after="0" w:line="240" w:lineRule="auto"/>
        <w:rPr>
          <w:b/>
          <w:bCs/>
          <w:szCs w:val="18"/>
        </w:rPr>
      </w:pPr>
      <w:r w:rsidRPr="00B36C19">
        <w:rPr>
          <w:rFonts w:eastAsiaTheme="minorHAnsi" w:cs="Tahoma"/>
          <w:b/>
          <w:szCs w:val="18"/>
        </w:rPr>
        <w:t>Epidemiological update 29</w:t>
      </w:r>
      <w:r w:rsidR="00F0787D" w:rsidRPr="00B36C19">
        <w:rPr>
          <w:rFonts w:eastAsiaTheme="minorHAnsi" w:cs="Tahoma"/>
          <w:b/>
          <w:szCs w:val="18"/>
        </w:rPr>
        <w:t xml:space="preserve"> September 2022:</w:t>
      </w:r>
      <w:r w:rsidRPr="00B36C19">
        <w:rPr>
          <w:rFonts w:eastAsiaTheme="minorHAnsi" w:cs="Tahoma"/>
          <w:b/>
          <w:szCs w:val="18"/>
        </w:rPr>
        <w:t xml:space="preserve"> </w:t>
      </w:r>
      <w:r w:rsidR="00194657" w:rsidRPr="00B36C19">
        <w:rPr>
          <w:b/>
          <w:bCs/>
          <w:szCs w:val="18"/>
        </w:rPr>
        <w:t>Spread of hepatitis A virus strains of genotype IB in several EU countries and the United Kingdom</w:t>
      </w:r>
      <w:r w:rsidR="00806CF1" w:rsidRPr="00B36C19">
        <w:rPr>
          <w:b/>
          <w:bCs/>
          <w:szCs w:val="18"/>
        </w:rPr>
        <w:t>:</w:t>
      </w:r>
    </w:p>
    <w:p w14:paraId="2E49CA27" w14:textId="287AA596" w:rsidR="00194657" w:rsidRPr="00B36C19" w:rsidRDefault="00000000" w:rsidP="00F0787D">
      <w:pPr>
        <w:pStyle w:val="EC-Para"/>
        <w:spacing w:after="0" w:line="240" w:lineRule="auto"/>
        <w:rPr>
          <w:rStyle w:val="Hyperlink"/>
          <w:sz w:val="18"/>
        </w:rPr>
      </w:pPr>
      <w:hyperlink r:id="rId41" w:history="1">
        <w:r w:rsidR="001901D9" w:rsidRPr="00B36C19">
          <w:rPr>
            <w:rStyle w:val="Hyperlink"/>
            <w:sz w:val="18"/>
          </w:rPr>
          <w:t>https://www.ecdc.europa.eu/en/news-events/spread-hepatitis-virus-strains-genotype-ib-several-eu-countries-and-united-kingdom</w:t>
        </w:r>
      </w:hyperlink>
    </w:p>
    <w:p w14:paraId="2F6538E2" w14:textId="77777777" w:rsidR="00F0787D" w:rsidRPr="00B36C19" w:rsidRDefault="00F0787D" w:rsidP="00F0787D">
      <w:pPr>
        <w:pStyle w:val="EC-Para"/>
        <w:spacing w:after="0" w:line="240" w:lineRule="auto"/>
        <w:rPr>
          <w:rStyle w:val="Hyperlink"/>
          <w:sz w:val="18"/>
        </w:rPr>
      </w:pPr>
    </w:p>
    <w:p w14:paraId="79910E1D" w14:textId="2A6B1F34" w:rsidR="00D30237" w:rsidRPr="00B36C19" w:rsidRDefault="00D30237" w:rsidP="00D30237">
      <w:pPr>
        <w:pStyle w:val="EC-Para"/>
        <w:spacing w:after="0" w:line="240" w:lineRule="auto"/>
        <w:rPr>
          <w:rFonts w:eastAsiaTheme="minorHAnsi" w:cs="Tahoma"/>
          <w:b/>
          <w:lang w:eastAsia="en-US"/>
        </w:rPr>
      </w:pPr>
      <w:r w:rsidRPr="00B36C19">
        <w:rPr>
          <w:rFonts w:eastAsiaTheme="minorHAnsi" w:cs="Tahoma"/>
          <w:b/>
          <w:lang w:eastAsia="en-US"/>
        </w:rPr>
        <w:t>Rapid risk assessment: Hepatitis A outbreak in the EU/EEA mostly affecting men who have sex with men, 3rd update</w:t>
      </w:r>
      <w:r w:rsidR="008A6526" w:rsidRPr="00B36C19">
        <w:rPr>
          <w:rFonts w:eastAsiaTheme="minorHAnsi" w:cs="Tahoma"/>
          <w:b/>
          <w:lang w:eastAsia="en-US"/>
        </w:rPr>
        <w:t xml:space="preserve"> (</w:t>
      </w:r>
      <w:r w:rsidRPr="00B36C19">
        <w:rPr>
          <w:rFonts w:eastAsiaTheme="minorHAnsi" w:cs="Tahoma"/>
          <w:b/>
          <w:lang w:eastAsia="en-US"/>
        </w:rPr>
        <w:t>28 June 2017</w:t>
      </w:r>
      <w:r w:rsidR="008A6526" w:rsidRPr="00B36C19">
        <w:rPr>
          <w:rFonts w:eastAsiaTheme="minorHAnsi" w:cs="Tahoma"/>
          <w:b/>
          <w:lang w:eastAsia="en-US"/>
        </w:rPr>
        <w:t>)</w:t>
      </w:r>
      <w:r w:rsidRPr="00B36C19">
        <w:rPr>
          <w:rFonts w:eastAsiaTheme="minorHAnsi" w:cs="Tahoma"/>
          <w:b/>
          <w:lang w:eastAsia="en-US"/>
        </w:rPr>
        <w:t>:</w:t>
      </w:r>
    </w:p>
    <w:p w14:paraId="4CD75ABB" w14:textId="51A9A135" w:rsidR="00D30237" w:rsidRPr="00B36C19" w:rsidRDefault="00000000" w:rsidP="006F212C">
      <w:pPr>
        <w:pStyle w:val="EC-Para"/>
        <w:spacing w:line="240" w:lineRule="auto"/>
        <w:rPr>
          <w:rStyle w:val="Hyperlink"/>
          <w:sz w:val="18"/>
        </w:rPr>
      </w:pPr>
      <w:hyperlink r:id="rId42" w:history="1">
        <w:r w:rsidR="00FE1067" w:rsidRPr="00B36C19">
          <w:rPr>
            <w:rStyle w:val="Hyperlink"/>
            <w:sz w:val="18"/>
          </w:rPr>
          <w:t>https://ecdc.europa.eu/en/publications-data/rapid-risk-assessment-hepatitis-outbreak-eueea-mostly-affecting-men-who-have-sex</w:t>
        </w:r>
      </w:hyperlink>
    </w:p>
    <w:p w14:paraId="59B9C09B" w14:textId="71B75B44" w:rsidR="00FE1067" w:rsidRPr="00B36C19" w:rsidRDefault="00FE1067" w:rsidP="00FE1067">
      <w:pPr>
        <w:pStyle w:val="EC-Para"/>
        <w:spacing w:after="0"/>
        <w:rPr>
          <w:rFonts w:eastAsiaTheme="minorHAnsi" w:cs="Tahoma"/>
          <w:b/>
          <w:lang w:eastAsia="en-US"/>
        </w:rPr>
      </w:pPr>
      <w:r w:rsidRPr="00B36C19">
        <w:rPr>
          <w:rFonts w:eastAsiaTheme="minorHAnsi" w:cs="Tahoma"/>
          <w:b/>
          <w:lang w:eastAsia="en-US"/>
        </w:rPr>
        <w:t>Epidemiological update</w:t>
      </w:r>
      <w:r w:rsidR="005A24F4" w:rsidRPr="00B36C19">
        <w:rPr>
          <w:rFonts w:eastAsiaTheme="minorHAnsi" w:cs="Tahoma"/>
          <w:b/>
          <w:lang w:eastAsia="en-US"/>
        </w:rPr>
        <w:t xml:space="preserve"> </w:t>
      </w:r>
      <w:r w:rsidR="00376192" w:rsidRPr="00B36C19">
        <w:rPr>
          <w:rFonts w:eastAsiaTheme="minorHAnsi" w:cs="Tahoma"/>
          <w:b/>
          <w:lang w:eastAsia="en-US"/>
        </w:rPr>
        <w:t xml:space="preserve">12 </w:t>
      </w:r>
      <w:r w:rsidR="005A24F4" w:rsidRPr="00B36C19">
        <w:rPr>
          <w:rFonts w:eastAsiaTheme="minorHAnsi" w:cs="Tahoma"/>
          <w:b/>
          <w:lang w:eastAsia="en-US"/>
        </w:rPr>
        <w:t>September 201</w:t>
      </w:r>
      <w:r w:rsidR="00124851" w:rsidRPr="00B36C19">
        <w:rPr>
          <w:rFonts w:eastAsiaTheme="minorHAnsi" w:cs="Tahoma"/>
          <w:b/>
          <w:lang w:eastAsia="en-US"/>
        </w:rPr>
        <w:t>8</w:t>
      </w:r>
      <w:r w:rsidRPr="00B36C19">
        <w:rPr>
          <w:rFonts w:eastAsiaTheme="minorHAnsi" w:cs="Tahoma"/>
          <w:b/>
          <w:lang w:eastAsia="en-US"/>
        </w:rPr>
        <w:t xml:space="preserve">: </w:t>
      </w:r>
      <w:r w:rsidR="005A24F4" w:rsidRPr="00B36C19">
        <w:rPr>
          <w:rFonts w:eastAsiaTheme="minorHAnsi" w:cs="Tahoma"/>
          <w:b/>
          <w:lang w:eastAsia="en-US"/>
        </w:rPr>
        <w:t>H</w:t>
      </w:r>
      <w:r w:rsidRPr="00B36C19">
        <w:rPr>
          <w:rFonts w:eastAsiaTheme="minorHAnsi" w:cs="Tahoma"/>
          <w:b/>
          <w:lang w:eastAsia="en-US"/>
        </w:rPr>
        <w:t>epatitis A outbreak in the EU/EEA mostly affecting men who have sex with men:</w:t>
      </w:r>
    </w:p>
    <w:p w14:paraId="0DADE341" w14:textId="77BF1E28" w:rsidR="00FE1067" w:rsidRPr="009D4D86" w:rsidRDefault="00000000" w:rsidP="00D30237">
      <w:pPr>
        <w:pStyle w:val="EC-Para"/>
        <w:spacing w:after="0" w:line="240" w:lineRule="auto"/>
      </w:pPr>
      <w:hyperlink r:id="rId43" w:history="1">
        <w:r w:rsidR="00124851" w:rsidRPr="00B36C19">
          <w:rPr>
            <w:rStyle w:val="Hyperlink"/>
            <w:sz w:val="18"/>
          </w:rPr>
          <w:t>https://ecdc.europa.eu/en/news-events/epidemiological-update-hepatitis-outbreak-eueea-mostly-affecting-men-who-have-sex-men-2</w:t>
        </w:r>
      </w:hyperlink>
      <w:r w:rsidR="00124851" w:rsidRPr="009D4D86">
        <w:t xml:space="preserve"> </w:t>
      </w:r>
    </w:p>
    <w:p w14:paraId="79F4E554" w14:textId="77777777" w:rsidR="002E537E" w:rsidRPr="009D4D86" w:rsidRDefault="002E537E" w:rsidP="00D30237">
      <w:pPr>
        <w:pStyle w:val="EC-Para"/>
        <w:spacing w:after="0" w:line="240" w:lineRule="auto"/>
      </w:pPr>
    </w:p>
    <w:p w14:paraId="4D9B09C9" w14:textId="77777777" w:rsidR="002E537E" w:rsidRPr="009D4D86" w:rsidRDefault="002E537E" w:rsidP="002E537E">
      <w:pPr>
        <w:pStyle w:val="EC-Para"/>
        <w:spacing w:after="0" w:line="240" w:lineRule="auto"/>
        <w:rPr>
          <w:rFonts w:eastAsiaTheme="minorHAnsi" w:cs="Tahoma"/>
          <w:b/>
          <w:lang w:eastAsia="en-US"/>
        </w:rPr>
      </w:pPr>
      <w:r w:rsidRPr="009D4D86">
        <w:rPr>
          <w:rFonts w:eastAsiaTheme="minorHAnsi" w:cs="Tahoma"/>
          <w:b/>
          <w:lang w:eastAsia="en-US"/>
        </w:rPr>
        <w:t>Hepatitis A virus in the EU/EEA, 1975-2014: A systematic review of seroprevalence and incidence comprising European surveillance data and national vaccination recommendations:</w:t>
      </w:r>
    </w:p>
    <w:p w14:paraId="1577BD93" w14:textId="7D6ABFC0" w:rsidR="007704F9" w:rsidRDefault="00000000" w:rsidP="00E278BB">
      <w:pPr>
        <w:pStyle w:val="EC-Para"/>
        <w:rPr>
          <w:rFonts w:eastAsia="Batang"/>
          <w:b/>
          <w:bCs/>
          <w:color w:val="69AE23"/>
          <w:sz w:val="26"/>
          <w:szCs w:val="26"/>
        </w:rPr>
      </w:pPr>
      <w:hyperlink r:id="rId44" w:history="1">
        <w:r w:rsidR="0061151F" w:rsidRPr="009D4D86">
          <w:rPr>
            <w:rStyle w:val="Hyperlink"/>
            <w:sz w:val="18"/>
          </w:rPr>
          <w:t>https://ecdc.europa.eu/sites/portal/files/media/en/publications/Publications/hepatitis-a-virus-EU-EEA-1975-2014.pdf</w:t>
        </w:r>
      </w:hyperlink>
      <w:r w:rsidR="007704F9">
        <w:br w:type="page"/>
      </w:r>
    </w:p>
    <w:p w14:paraId="5D099D78" w14:textId="620DE777" w:rsidR="00AC0043" w:rsidRPr="002E537E" w:rsidRDefault="00AC0043" w:rsidP="009F5B73">
      <w:pPr>
        <w:pStyle w:val="EC-Title-6"/>
        <w:outlineLvl w:val="1"/>
        <w:rPr>
          <w:lang w:val="fi-FI"/>
        </w:rPr>
      </w:pPr>
      <w:r>
        <w:lastRenderedPageBreak/>
        <w:t xml:space="preserve">Annex 1. </w:t>
      </w:r>
      <w:r>
        <w:t xml:space="preserve">Surveillance systems overview, </w:t>
      </w:r>
      <w:r w:rsidR="00A32FE1">
        <w:t>202</w:t>
      </w:r>
      <w:r w:rsidR="00261897">
        <w:t>3</w:t>
      </w:r>
    </w:p>
    <w:tbl>
      <w:tblPr>
        <w:tblW w:w="10271" w:type="dxa"/>
        <w:tblInd w:w="-637" w:type="dxa"/>
        <w:tblLook w:val="04A0" w:firstRow="1" w:lastRow="0" w:firstColumn="1" w:lastColumn="0" w:noHBand="0" w:noVBand="1"/>
      </w:tblPr>
      <w:tblGrid>
        <w:gridCol w:w="1483"/>
        <w:gridCol w:w="2588"/>
        <w:gridCol w:w="807"/>
        <w:gridCol w:w="570"/>
        <w:gridCol w:w="570"/>
        <w:gridCol w:w="570"/>
        <w:gridCol w:w="570"/>
        <w:gridCol w:w="570"/>
        <w:gridCol w:w="570"/>
        <w:gridCol w:w="570"/>
        <w:gridCol w:w="1403"/>
      </w:tblGrid>
      <w:tr w:rsidR="00D70C92" w:rsidRPr="00987D7F" w14:paraId="5D13D8EE" w14:textId="77777777" w:rsidTr="006A6458">
        <w:trPr>
          <w:trHeight w:val="294"/>
        </w:trPr>
        <w:tc>
          <w:tcPr>
            <w:tcW w:w="1483"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427AF341" w14:textId="77777777" w:rsidR="00987D7F" w:rsidRPr="00F915B2" w:rsidRDefault="00987D7F" w:rsidP="00987D7F">
            <w:pPr>
              <w:rPr>
                <w:rFonts w:eastAsia="Times New Roman" w:cs="Tahoma"/>
                <w:b/>
                <w:bCs/>
                <w:color w:val="FFFFFF"/>
                <w:sz w:val="14"/>
                <w:szCs w:val="14"/>
                <w:lang w:eastAsia="en-GB"/>
              </w:rPr>
            </w:pPr>
            <w:r w:rsidRPr="00F915B2">
              <w:rPr>
                <w:rFonts w:eastAsia="Times New Roman" w:cs="Tahoma"/>
                <w:b/>
                <w:bCs/>
                <w:color w:val="FFFFFF"/>
                <w:sz w:val="14"/>
                <w:szCs w:val="14"/>
                <w:lang w:eastAsia="en-GB"/>
              </w:rPr>
              <w:t>Country</w:t>
            </w:r>
          </w:p>
        </w:tc>
        <w:tc>
          <w:tcPr>
            <w:tcW w:w="2588"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01D2D3CC" w14:textId="77777777" w:rsidR="00987D7F" w:rsidRPr="00F915B2" w:rsidRDefault="00987D7F" w:rsidP="00987D7F">
            <w:pPr>
              <w:rPr>
                <w:rFonts w:eastAsia="Times New Roman" w:cs="Tahoma"/>
                <w:b/>
                <w:bCs/>
                <w:color w:val="FFFFFF"/>
                <w:sz w:val="14"/>
                <w:szCs w:val="14"/>
                <w:lang w:eastAsia="en-GB"/>
              </w:rPr>
            </w:pPr>
            <w:r w:rsidRPr="00F915B2">
              <w:rPr>
                <w:rFonts w:eastAsia="Times New Roman" w:cs="Tahoma"/>
                <w:b/>
                <w:bCs/>
                <w:color w:val="FFFFFF"/>
                <w:sz w:val="14"/>
                <w:szCs w:val="14"/>
                <w:lang w:eastAsia="en-GB"/>
              </w:rPr>
              <w:t>Data source</w:t>
            </w:r>
          </w:p>
        </w:tc>
        <w:tc>
          <w:tcPr>
            <w:tcW w:w="807"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013F43B" w14:textId="77777777" w:rsidR="00987D7F" w:rsidRPr="00F915B2" w:rsidRDefault="00987D7F" w:rsidP="00987D7F">
            <w:pPr>
              <w:jc w:val="center"/>
              <w:rPr>
                <w:rFonts w:eastAsia="Times New Roman" w:cs="Tahoma"/>
                <w:b/>
                <w:bCs/>
                <w:color w:val="FFFFFF"/>
                <w:sz w:val="14"/>
                <w:szCs w:val="14"/>
                <w:lang w:eastAsia="en-GB"/>
              </w:rPr>
            </w:pPr>
            <w:r w:rsidRPr="00F915B2">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88D3AF9" w14:textId="77777777" w:rsidR="00987D7F" w:rsidRPr="00F915B2" w:rsidRDefault="00987D7F" w:rsidP="00987D7F">
            <w:pPr>
              <w:jc w:val="center"/>
              <w:rPr>
                <w:rFonts w:eastAsia="Times New Roman" w:cs="Tahoma"/>
                <w:b/>
                <w:bCs/>
                <w:color w:val="FFFFFF"/>
                <w:sz w:val="14"/>
                <w:szCs w:val="14"/>
                <w:lang w:eastAsia="en-GB"/>
              </w:rPr>
            </w:pPr>
            <w:r w:rsidRPr="00F915B2">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0D1C5480" w14:textId="77777777" w:rsidR="00987D7F" w:rsidRPr="00F915B2" w:rsidRDefault="00987D7F" w:rsidP="00987D7F">
            <w:pPr>
              <w:jc w:val="center"/>
              <w:rPr>
                <w:rFonts w:eastAsia="Times New Roman" w:cs="Tahoma"/>
                <w:b/>
                <w:bCs/>
                <w:color w:val="FFFFFF"/>
                <w:sz w:val="14"/>
                <w:szCs w:val="14"/>
                <w:lang w:eastAsia="en-GB"/>
              </w:rPr>
            </w:pPr>
            <w:r w:rsidRPr="00F915B2">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2E27783" w14:textId="77777777" w:rsidR="00987D7F" w:rsidRPr="00F915B2" w:rsidRDefault="00987D7F" w:rsidP="00987D7F">
            <w:pPr>
              <w:jc w:val="center"/>
              <w:rPr>
                <w:rFonts w:eastAsia="Times New Roman" w:cs="Tahoma"/>
                <w:b/>
                <w:bCs/>
                <w:color w:val="FFFFFF"/>
                <w:sz w:val="14"/>
                <w:szCs w:val="14"/>
                <w:lang w:eastAsia="en-GB"/>
              </w:rPr>
            </w:pPr>
            <w:r w:rsidRPr="00F915B2">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150F9B3C" w14:textId="77777777" w:rsidR="00987D7F" w:rsidRPr="00F915B2" w:rsidRDefault="00987D7F" w:rsidP="00987D7F">
            <w:pPr>
              <w:jc w:val="center"/>
              <w:rPr>
                <w:rFonts w:eastAsia="Times New Roman" w:cs="Tahoma"/>
                <w:b/>
                <w:bCs/>
                <w:color w:val="FFFFFF"/>
                <w:sz w:val="14"/>
                <w:szCs w:val="14"/>
                <w:lang w:eastAsia="en-GB"/>
              </w:rPr>
            </w:pPr>
            <w:r w:rsidRPr="00F915B2">
              <w:rPr>
                <w:rFonts w:eastAsia="Times New Roman" w:cs="Tahoma"/>
                <w:b/>
                <w:bCs/>
                <w:color w:val="FFFFFF"/>
                <w:sz w:val="14"/>
                <w:szCs w:val="14"/>
                <w:lang w:eastAsia="en-GB"/>
              </w:rPr>
              <w:t>Data reported by</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12C2FA95" w14:textId="77777777" w:rsidR="00987D7F" w:rsidRPr="00F915B2" w:rsidRDefault="00987D7F" w:rsidP="00987D7F">
            <w:pPr>
              <w:rPr>
                <w:rFonts w:eastAsia="Times New Roman" w:cs="Tahoma"/>
                <w:b/>
                <w:bCs/>
                <w:color w:val="FFFFFF"/>
                <w:sz w:val="14"/>
                <w:szCs w:val="14"/>
                <w:lang w:eastAsia="en-GB"/>
              </w:rPr>
            </w:pPr>
            <w:r w:rsidRPr="00F915B2">
              <w:rPr>
                <w:rFonts w:eastAsia="Times New Roman" w:cs="Tahoma"/>
                <w:b/>
                <w:bCs/>
                <w:color w:val="FFFFFF"/>
                <w:sz w:val="14"/>
                <w:szCs w:val="14"/>
                <w:lang w:eastAsia="en-GB"/>
              </w:rPr>
              <w:t>Case definition used</w:t>
            </w:r>
          </w:p>
        </w:tc>
      </w:tr>
      <w:tr w:rsidR="00D70C92" w:rsidRPr="00987D7F" w14:paraId="4A89783A" w14:textId="77777777" w:rsidTr="006A6458">
        <w:trPr>
          <w:trHeight w:val="2568"/>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5D760225" w14:textId="77777777" w:rsidR="00987D7F" w:rsidRPr="00F915B2" w:rsidRDefault="00987D7F" w:rsidP="00987D7F">
            <w:pPr>
              <w:rPr>
                <w:rFonts w:eastAsia="Times New Roman" w:cs="Tahoma"/>
                <w:b/>
                <w:bCs/>
                <w:color w:val="FFFFFF"/>
                <w:sz w:val="14"/>
                <w:szCs w:val="14"/>
                <w:lang w:eastAsia="en-GB"/>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14:paraId="133D1D8F" w14:textId="77777777" w:rsidR="00987D7F" w:rsidRPr="00F915B2" w:rsidRDefault="00987D7F" w:rsidP="00987D7F">
            <w:pPr>
              <w:rPr>
                <w:rFonts w:eastAsia="Times New Roman" w:cs="Tahoma"/>
                <w:b/>
                <w:bCs/>
                <w:color w:val="FFFFFF"/>
                <w:sz w:val="14"/>
                <w:szCs w:val="14"/>
                <w:lang w:eastAsia="en-GB"/>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2AA3C1CE" w14:textId="77777777" w:rsidR="00987D7F" w:rsidRPr="00F915B2" w:rsidRDefault="00987D7F" w:rsidP="00987D7F">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674EC0EB" w14:textId="77777777" w:rsidR="00987D7F" w:rsidRPr="00F915B2" w:rsidRDefault="00987D7F" w:rsidP="00987D7F">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534BE358" w14:textId="77777777" w:rsidR="00987D7F" w:rsidRPr="00F915B2" w:rsidRDefault="00987D7F" w:rsidP="00987D7F">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215D76FF" w14:textId="77777777" w:rsidR="00987D7F" w:rsidRPr="00F915B2" w:rsidRDefault="00987D7F" w:rsidP="00987D7F">
            <w:pPr>
              <w:rPr>
                <w:rFonts w:eastAsia="Times New Roman" w:cs="Tahoma"/>
                <w:b/>
                <w:bCs/>
                <w:color w:val="FFFFFF"/>
                <w:sz w:val="14"/>
                <w:szCs w:val="14"/>
                <w:lang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19AAC7D1" w14:textId="77777777" w:rsidR="00987D7F" w:rsidRPr="00F915B2" w:rsidRDefault="00987D7F" w:rsidP="00987D7F">
            <w:pPr>
              <w:jc w:val="center"/>
              <w:rPr>
                <w:rFonts w:eastAsia="Times New Roman" w:cs="Tahoma"/>
                <w:b/>
                <w:bCs/>
                <w:color w:val="FFFFFF"/>
                <w:sz w:val="14"/>
                <w:szCs w:val="14"/>
                <w:lang w:eastAsia="en-GB"/>
              </w:rPr>
            </w:pPr>
            <w:r w:rsidRPr="00F915B2">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47C052B9" w14:textId="77777777" w:rsidR="00987D7F" w:rsidRPr="00F915B2" w:rsidRDefault="00987D7F" w:rsidP="00987D7F">
            <w:pPr>
              <w:jc w:val="center"/>
              <w:rPr>
                <w:rFonts w:eastAsia="Times New Roman" w:cs="Tahoma"/>
                <w:b/>
                <w:bCs/>
                <w:color w:val="FFFFFF"/>
                <w:sz w:val="14"/>
                <w:szCs w:val="14"/>
                <w:lang w:eastAsia="en-GB"/>
              </w:rPr>
            </w:pPr>
            <w:r w:rsidRPr="00F915B2">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38326D15" w14:textId="77777777" w:rsidR="00987D7F" w:rsidRPr="00F915B2" w:rsidRDefault="00987D7F" w:rsidP="00987D7F">
            <w:pPr>
              <w:jc w:val="center"/>
              <w:rPr>
                <w:rFonts w:eastAsia="Times New Roman" w:cs="Tahoma"/>
                <w:b/>
                <w:bCs/>
                <w:color w:val="FFFFFF"/>
                <w:sz w:val="14"/>
                <w:szCs w:val="14"/>
                <w:lang w:eastAsia="en-GB"/>
              </w:rPr>
            </w:pPr>
            <w:r w:rsidRPr="00F915B2">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018F8B5C" w14:textId="77777777" w:rsidR="00987D7F" w:rsidRPr="00F915B2" w:rsidRDefault="00987D7F" w:rsidP="00987D7F">
            <w:pPr>
              <w:jc w:val="center"/>
              <w:rPr>
                <w:rFonts w:eastAsia="Times New Roman" w:cs="Tahoma"/>
                <w:b/>
                <w:bCs/>
                <w:color w:val="FFFFFF"/>
                <w:sz w:val="14"/>
                <w:szCs w:val="14"/>
                <w:lang w:eastAsia="en-GB"/>
              </w:rPr>
            </w:pPr>
            <w:r w:rsidRPr="00F915B2">
              <w:rPr>
                <w:rFonts w:eastAsia="Times New Roman" w:cs="Tahoma"/>
                <w:b/>
                <w:bCs/>
                <w:color w:val="FFFFFF"/>
                <w:sz w:val="14"/>
                <w:szCs w:val="14"/>
                <w:lang w:eastAsia="en-GB"/>
              </w:rPr>
              <w:t>Others</w:t>
            </w: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AE1FBE5" w14:textId="77777777" w:rsidR="00987D7F" w:rsidRPr="00F915B2" w:rsidRDefault="00987D7F" w:rsidP="00987D7F">
            <w:pPr>
              <w:rPr>
                <w:rFonts w:eastAsia="Times New Roman" w:cs="Tahoma"/>
                <w:b/>
                <w:bCs/>
                <w:color w:val="FFFFFF"/>
                <w:sz w:val="14"/>
                <w:szCs w:val="14"/>
                <w:lang w:eastAsia="en-GB"/>
              </w:rPr>
            </w:pPr>
          </w:p>
        </w:tc>
      </w:tr>
      <w:tr w:rsidR="00A74364" w:rsidRPr="00987D7F" w14:paraId="2041510C" w14:textId="77777777" w:rsidTr="006A6458">
        <w:trPr>
          <w:trHeight w:val="255"/>
        </w:trPr>
        <w:tc>
          <w:tcPr>
            <w:tcW w:w="1483" w:type="dxa"/>
            <w:tcBorders>
              <w:top w:val="single" w:sz="4" w:space="0" w:color="auto"/>
              <w:left w:val="single" w:sz="4" w:space="0" w:color="auto"/>
              <w:bottom w:val="nil"/>
              <w:right w:val="single" w:sz="4" w:space="0" w:color="auto"/>
            </w:tcBorders>
            <w:shd w:val="clear" w:color="auto" w:fill="auto"/>
            <w:noWrap/>
            <w:vAlign w:val="bottom"/>
          </w:tcPr>
          <w:p w14:paraId="16D62E00" w14:textId="430B30C0" w:rsidR="00987D7F" w:rsidRPr="00C370C0" w:rsidRDefault="009B3119" w:rsidP="009A7342">
            <w:pPr>
              <w:spacing w:before="120" w:after="0"/>
              <w:rPr>
                <w:rFonts w:eastAsia="Times New Roman" w:cs="Tahoma"/>
                <w:sz w:val="14"/>
                <w:szCs w:val="14"/>
                <w:lang w:eastAsia="en-GB"/>
              </w:rPr>
            </w:pPr>
            <w:r w:rsidRPr="00C370C0">
              <w:rPr>
                <w:rFonts w:eastAsia="Times New Roman" w:cs="Tahoma"/>
                <w:sz w:val="14"/>
                <w:szCs w:val="14"/>
                <w:lang w:eastAsia="en-GB"/>
              </w:rPr>
              <w:t>Albania</w:t>
            </w:r>
          </w:p>
        </w:tc>
        <w:tc>
          <w:tcPr>
            <w:tcW w:w="2588" w:type="dxa"/>
            <w:tcBorders>
              <w:top w:val="single" w:sz="4" w:space="0" w:color="auto"/>
              <w:left w:val="single" w:sz="4" w:space="0" w:color="auto"/>
              <w:bottom w:val="nil"/>
              <w:right w:val="single" w:sz="4" w:space="0" w:color="auto"/>
            </w:tcBorders>
            <w:shd w:val="clear" w:color="auto" w:fill="auto"/>
            <w:noWrap/>
            <w:vAlign w:val="bottom"/>
          </w:tcPr>
          <w:p w14:paraId="31AF832D" w14:textId="1B234FE9" w:rsidR="00987D7F" w:rsidRPr="00C370C0" w:rsidRDefault="009B3119" w:rsidP="009A7342">
            <w:pPr>
              <w:spacing w:before="120" w:after="0"/>
              <w:rPr>
                <w:rFonts w:eastAsia="Times New Roman" w:cs="Tahoma"/>
                <w:sz w:val="14"/>
                <w:szCs w:val="14"/>
                <w:lang w:eastAsia="en-GB"/>
              </w:rPr>
            </w:pPr>
            <w:r w:rsidRPr="00C370C0">
              <w:rPr>
                <w:rFonts w:eastAsia="Times New Roman" w:cs="Tahoma"/>
                <w:sz w:val="14"/>
                <w:szCs w:val="14"/>
                <w:lang w:eastAsia="en-GB"/>
              </w:rPr>
              <w:t>AL-HEPA</w:t>
            </w:r>
          </w:p>
        </w:tc>
        <w:tc>
          <w:tcPr>
            <w:tcW w:w="807" w:type="dxa"/>
            <w:tcBorders>
              <w:top w:val="single" w:sz="4" w:space="0" w:color="auto"/>
              <w:left w:val="single" w:sz="4" w:space="0" w:color="auto"/>
              <w:bottom w:val="nil"/>
              <w:right w:val="single" w:sz="4" w:space="0" w:color="auto"/>
            </w:tcBorders>
            <w:shd w:val="clear" w:color="auto" w:fill="auto"/>
            <w:noWrap/>
            <w:vAlign w:val="bottom"/>
          </w:tcPr>
          <w:p w14:paraId="354832A2" w14:textId="351994EC" w:rsidR="00987D7F" w:rsidRPr="00C370C0" w:rsidRDefault="00F6249C" w:rsidP="009A7342">
            <w:pPr>
              <w:spacing w:before="120" w:after="0"/>
              <w:rPr>
                <w:rFonts w:eastAsia="Times New Roman" w:cs="Tahoma"/>
                <w:sz w:val="14"/>
                <w:szCs w:val="14"/>
                <w:lang w:eastAsia="en-GB"/>
              </w:rPr>
            </w:pPr>
            <w:r w:rsidRPr="00C370C0">
              <w:rPr>
                <w:rFonts w:eastAsia="Times New Roman" w:cs="Tahoma"/>
                <w:sz w:val="14"/>
                <w:szCs w:val="14"/>
                <w:lang w:eastAsia="en-GB"/>
              </w:rPr>
              <w:t>Cp</w:t>
            </w:r>
          </w:p>
        </w:tc>
        <w:tc>
          <w:tcPr>
            <w:tcW w:w="570" w:type="dxa"/>
            <w:tcBorders>
              <w:top w:val="single" w:sz="4" w:space="0" w:color="auto"/>
              <w:left w:val="single" w:sz="4" w:space="0" w:color="auto"/>
              <w:bottom w:val="nil"/>
              <w:right w:val="single" w:sz="4" w:space="0" w:color="auto"/>
            </w:tcBorders>
            <w:shd w:val="clear" w:color="auto" w:fill="auto"/>
            <w:noWrap/>
            <w:vAlign w:val="bottom"/>
          </w:tcPr>
          <w:p w14:paraId="2DCB5029" w14:textId="243629D9" w:rsidR="00987D7F" w:rsidRPr="00C370C0" w:rsidRDefault="00F6249C" w:rsidP="009A7342">
            <w:pPr>
              <w:spacing w:before="120" w:after="0"/>
              <w:rPr>
                <w:rFonts w:eastAsia="Times New Roman" w:cs="Tahoma"/>
                <w:sz w:val="14"/>
                <w:szCs w:val="14"/>
                <w:lang w:eastAsia="en-GB"/>
              </w:rPr>
            </w:pPr>
            <w:r w:rsidRPr="00C370C0">
              <w:rPr>
                <w:rFonts w:eastAsia="Times New Roman" w:cs="Tahoma"/>
                <w:sz w:val="14"/>
                <w:szCs w:val="14"/>
                <w:lang w:eastAsia="en-GB"/>
              </w:rPr>
              <w:t>Co</w:t>
            </w:r>
          </w:p>
        </w:tc>
        <w:tc>
          <w:tcPr>
            <w:tcW w:w="570" w:type="dxa"/>
            <w:tcBorders>
              <w:top w:val="single" w:sz="4" w:space="0" w:color="auto"/>
              <w:left w:val="single" w:sz="4" w:space="0" w:color="auto"/>
              <w:bottom w:val="nil"/>
              <w:right w:val="single" w:sz="4" w:space="0" w:color="auto"/>
            </w:tcBorders>
            <w:shd w:val="clear" w:color="auto" w:fill="auto"/>
            <w:noWrap/>
            <w:vAlign w:val="bottom"/>
          </w:tcPr>
          <w:p w14:paraId="6BCF1088" w14:textId="1F7572C1" w:rsidR="00987D7F" w:rsidRPr="00C370C0" w:rsidRDefault="00F6249C" w:rsidP="009A7342">
            <w:pPr>
              <w:spacing w:before="120" w:after="0"/>
              <w:rPr>
                <w:rFonts w:eastAsia="Times New Roman" w:cs="Tahoma"/>
                <w:sz w:val="14"/>
                <w:szCs w:val="14"/>
                <w:lang w:eastAsia="en-GB"/>
              </w:rPr>
            </w:pPr>
            <w:r w:rsidRPr="00C370C0">
              <w:rPr>
                <w:rFonts w:eastAsia="Times New Roman" w:cs="Tahoma"/>
                <w:sz w:val="14"/>
                <w:szCs w:val="14"/>
                <w:lang w:eastAsia="en-GB"/>
              </w:rPr>
              <w:t>P</w:t>
            </w:r>
          </w:p>
        </w:tc>
        <w:tc>
          <w:tcPr>
            <w:tcW w:w="570" w:type="dxa"/>
            <w:tcBorders>
              <w:top w:val="single" w:sz="4" w:space="0" w:color="auto"/>
              <w:left w:val="single" w:sz="4" w:space="0" w:color="auto"/>
              <w:bottom w:val="nil"/>
              <w:right w:val="single" w:sz="4" w:space="0" w:color="auto"/>
            </w:tcBorders>
            <w:shd w:val="clear" w:color="auto" w:fill="auto"/>
            <w:noWrap/>
            <w:vAlign w:val="bottom"/>
          </w:tcPr>
          <w:p w14:paraId="01BA10DE" w14:textId="34BD68E0" w:rsidR="00987D7F" w:rsidRPr="00C370C0" w:rsidRDefault="009B3119" w:rsidP="009A7342">
            <w:pPr>
              <w:spacing w:before="120" w:after="0"/>
              <w:rPr>
                <w:rFonts w:eastAsia="Times New Roman" w:cs="Tahoma"/>
                <w:sz w:val="14"/>
                <w:szCs w:val="14"/>
                <w:lang w:eastAsia="en-GB"/>
              </w:rPr>
            </w:pPr>
            <w:r w:rsidRPr="00C370C0">
              <w:rPr>
                <w:rFonts w:eastAsia="Times New Roman" w:cs="Tahoma"/>
                <w:sz w:val="14"/>
                <w:szCs w:val="14"/>
                <w:lang w:eastAsia="en-GB"/>
              </w:rPr>
              <w:t>A</w:t>
            </w:r>
          </w:p>
        </w:tc>
        <w:tc>
          <w:tcPr>
            <w:tcW w:w="570" w:type="dxa"/>
            <w:tcBorders>
              <w:top w:val="single" w:sz="4" w:space="0" w:color="auto"/>
              <w:left w:val="single" w:sz="4" w:space="0" w:color="auto"/>
              <w:bottom w:val="nil"/>
              <w:right w:val="single" w:sz="4" w:space="0" w:color="auto"/>
            </w:tcBorders>
            <w:shd w:val="clear" w:color="auto" w:fill="auto"/>
            <w:noWrap/>
            <w:vAlign w:val="bottom"/>
          </w:tcPr>
          <w:p w14:paraId="5A25D802" w14:textId="1FC09A90" w:rsidR="00987D7F" w:rsidRPr="00C370C0" w:rsidRDefault="00F6249C" w:rsidP="009A7342">
            <w:pPr>
              <w:spacing w:before="120" w:after="0"/>
              <w:rPr>
                <w:rFonts w:eastAsia="Times New Roman" w:cs="Tahoma"/>
                <w:sz w:val="14"/>
                <w:szCs w:val="14"/>
                <w:lang w:eastAsia="en-GB"/>
              </w:rPr>
            </w:pPr>
            <w:r w:rsidRPr="00C370C0">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auto" w:fill="auto"/>
            <w:noWrap/>
            <w:vAlign w:val="bottom"/>
          </w:tcPr>
          <w:p w14:paraId="78DCA9E1" w14:textId="28AA6475" w:rsidR="00987D7F" w:rsidRPr="00C370C0" w:rsidRDefault="00F6249C" w:rsidP="009A7342">
            <w:pPr>
              <w:spacing w:before="120" w:after="0"/>
              <w:rPr>
                <w:rFonts w:eastAsia="Times New Roman" w:cs="Tahoma"/>
                <w:sz w:val="14"/>
                <w:szCs w:val="14"/>
                <w:lang w:eastAsia="en-GB"/>
              </w:rPr>
            </w:pPr>
            <w:r w:rsidRPr="00C370C0">
              <w:rPr>
                <w:rFonts w:eastAsia="Times New Roman" w:cs="Tahoma"/>
                <w:sz w:val="14"/>
                <w:szCs w:val="14"/>
                <w:lang w:eastAsia="en-GB"/>
              </w:rPr>
              <w:t>N</w:t>
            </w:r>
          </w:p>
        </w:tc>
        <w:tc>
          <w:tcPr>
            <w:tcW w:w="570" w:type="dxa"/>
            <w:tcBorders>
              <w:top w:val="single" w:sz="4" w:space="0" w:color="auto"/>
              <w:left w:val="single" w:sz="4" w:space="0" w:color="auto"/>
              <w:bottom w:val="nil"/>
              <w:right w:val="single" w:sz="4" w:space="0" w:color="auto"/>
            </w:tcBorders>
            <w:shd w:val="clear" w:color="auto" w:fill="auto"/>
            <w:noWrap/>
            <w:vAlign w:val="bottom"/>
          </w:tcPr>
          <w:p w14:paraId="446E15D3" w14:textId="12AC50B7" w:rsidR="00987D7F" w:rsidRPr="00C370C0" w:rsidRDefault="00F6249C" w:rsidP="009A7342">
            <w:pPr>
              <w:spacing w:before="120" w:after="0"/>
              <w:rPr>
                <w:rFonts w:eastAsia="Times New Roman" w:cs="Tahoma"/>
                <w:sz w:val="14"/>
                <w:szCs w:val="14"/>
                <w:lang w:eastAsia="en-GB"/>
              </w:rPr>
            </w:pPr>
            <w:r w:rsidRPr="00C370C0">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auto" w:fill="auto"/>
            <w:noWrap/>
            <w:vAlign w:val="bottom"/>
          </w:tcPr>
          <w:p w14:paraId="4E480782" w14:textId="7CE4E53E" w:rsidR="00987D7F" w:rsidRPr="00C370C0" w:rsidRDefault="00F6249C" w:rsidP="009A7342">
            <w:pPr>
              <w:spacing w:before="120" w:after="0"/>
              <w:rPr>
                <w:rFonts w:eastAsia="Times New Roman" w:cs="Tahoma"/>
                <w:sz w:val="14"/>
                <w:szCs w:val="14"/>
                <w:lang w:eastAsia="en-GB"/>
              </w:rPr>
            </w:pPr>
            <w:r w:rsidRPr="00C370C0">
              <w:rPr>
                <w:rFonts w:eastAsia="Times New Roman" w:cs="Tahoma"/>
                <w:sz w:val="14"/>
                <w:szCs w:val="14"/>
                <w:lang w:eastAsia="en-GB"/>
              </w:rPr>
              <w:t>N</w:t>
            </w:r>
          </w:p>
        </w:tc>
        <w:tc>
          <w:tcPr>
            <w:tcW w:w="1403" w:type="dxa"/>
            <w:tcBorders>
              <w:top w:val="single" w:sz="4" w:space="0" w:color="auto"/>
              <w:left w:val="nil"/>
              <w:bottom w:val="nil"/>
              <w:right w:val="single" w:sz="4" w:space="0" w:color="auto"/>
            </w:tcBorders>
            <w:shd w:val="clear" w:color="auto" w:fill="auto"/>
            <w:noWrap/>
            <w:vAlign w:val="bottom"/>
          </w:tcPr>
          <w:p w14:paraId="3C54E77C" w14:textId="6BDF4B6A" w:rsidR="00987D7F" w:rsidRPr="00C370C0" w:rsidRDefault="009B3119" w:rsidP="009A7342">
            <w:pPr>
              <w:spacing w:before="120" w:after="0"/>
              <w:rPr>
                <w:rFonts w:eastAsia="Times New Roman" w:cs="Tahoma"/>
                <w:sz w:val="14"/>
                <w:szCs w:val="14"/>
                <w:lang w:eastAsia="en-GB"/>
              </w:rPr>
            </w:pPr>
            <w:r w:rsidRPr="00C370C0">
              <w:rPr>
                <w:rFonts w:eastAsia="Times New Roman" w:cs="Tahoma"/>
                <w:sz w:val="14"/>
                <w:szCs w:val="14"/>
                <w:lang w:eastAsia="en-GB"/>
              </w:rPr>
              <w:t>Not specified/unknown</w:t>
            </w:r>
          </w:p>
        </w:tc>
      </w:tr>
      <w:tr w:rsidR="00D70C92" w:rsidRPr="00987D7F" w14:paraId="3AE71DE0" w14:textId="77777777" w:rsidTr="006A6458">
        <w:trPr>
          <w:trHeight w:val="235"/>
        </w:trPr>
        <w:tc>
          <w:tcPr>
            <w:tcW w:w="1483" w:type="dxa"/>
            <w:tcBorders>
              <w:top w:val="nil"/>
              <w:left w:val="single" w:sz="4" w:space="0" w:color="auto"/>
              <w:bottom w:val="nil"/>
              <w:right w:val="single" w:sz="4" w:space="0" w:color="auto"/>
            </w:tcBorders>
            <w:shd w:val="clear" w:color="auto" w:fill="D9D9D9" w:themeFill="background1" w:themeFillShade="D9"/>
            <w:noWrap/>
            <w:vAlign w:val="bottom"/>
          </w:tcPr>
          <w:p w14:paraId="051F4432" w14:textId="1DEFAC5D"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Austria</w:t>
            </w:r>
          </w:p>
        </w:tc>
        <w:tc>
          <w:tcPr>
            <w:tcW w:w="2588" w:type="dxa"/>
            <w:tcBorders>
              <w:top w:val="nil"/>
              <w:left w:val="nil"/>
              <w:bottom w:val="nil"/>
              <w:right w:val="single" w:sz="4" w:space="0" w:color="auto"/>
            </w:tcBorders>
            <w:shd w:val="clear" w:color="auto" w:fill="D9D9D9" w:themeFill="background1" w:themeFillShade="D9"/>
            <w:noWrap/>
            <w:vAlign w:val="bottom"/>
          </w:tcPr>
          <w:p w14:paraId="1B87E1F9" w14:textId="0EB44075"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AT-</w:t>
            </w:r>
            <w:proofErr w:type="spellStart"/>
            <w:r w:rsidRPr="00F915B2">
              <w:rPr>
                <w:rFonts w:eastAsia="Times New Roman" w:cs="Tahoma"/>
                <w:sz w:val="14"/>
                <w:szCs w:val="14"/>
                <w:lang w:eastAsia="en-GB"/>
              </w:rPr>
              <w:t>Epidemiegesetz</w:t>
            </w:r>
            <w:proofErr w:type="spellEnd"/>
          </w:p>
        </w:tc>
        <w:tc>
          <w:tcPr>
            <w:tcW w:w="807" w:type="dxa"/>
            <w:tcBorders>
              <w:top w:val="nil"/>
              <w:left w:val="nil"/>
              <w:bottom w:val="nil"/>
              <w:right w:val="single" w:sz="4" w:space="0" w:color="auto"/>
            </w:tcBorders>
            <w:shd w:val="clear" w:color="auto" w:fill="D9D9D9" w:themeFill="background1" w:themeFillShade="D9"/>
            <w:noWrap/>
            <w:vAlign w:val="bottom"/>
          </w:tcPr>
          <w:p w14:paraId="46F4BC96" w14:textId="341985B9"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D9D9D9" w:themeFill="background1" w:themeFillShade="D9"/>
            <w:noWrap/>
            <w:vAlign w:val="bottom"/>
          </w:tcPr>
          <w:p w14:paraId="35F3A9FF" w14:textId="522BCD0B"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D9D9D9" w:themeFill="background1" w:themeFillShade="D9"/>
            <w:noWrap/>
            <w:vAlign w:val="bottom"/>
          </w:tcPr>
          <w:p w14:paraId="5FCD7DDE" w14:textId="7565F9BB"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D9D9D9" w:themeFill="background1" w:themeFillShade="D9"/>
            <w:noWrap/>
            <w:vAlign w:val="bottom"/>
          </w:tcPr>
          <w:p w14:paraId="69628C81" w14:textId="642A79DC"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vAlign w:val="bottom"/>
          </w:tcPr>
          <w:p w14:paraId="04B52F6C" w14:textId="4C91E1BC"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tcPr>
          <w:p w14:paraId="35E8EDB2" w14:textId="138DC9F5"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tcPr>
          <w:p w14:paraId="43F386A1" w14:textId="41897B9E"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tcPr>
          <w:p w14:paraId="70809478" w14:textId="52583E6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1403" w:type="dxa"/>
            <w:tcBorders>
              <w:top w:val="nil"/>
              <w:left w:val="nil"/>
              <w:bottom w:val="nil"/>
              <w:right w:val="single" w:sz="4" w:space="0" w:color="auto"/>
            </w:tcBorders>
            <w:shd w:val="clear" w:color="auto" w:fill="D9D9D9" w:themeFill="background1" w:themeFillShade="D9"/>
            <w:noWrap/>
            <w:vAlign w:val="bottom"/>
          </w:tcPr>
          <w:p w14:paraId="0FCCB276" w14:textId="1E5EE5BD"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EU-2008</w:t>
            </w:r>
          </w:p>
        </w:tc>
      </w:tr>
      <w:tr w:rsidR="00D92F54" w:rsidRPr="00987D7F" w14:paraId="4F22A085"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tcPr>
          <w:p w14:paraId="0B230BA8" w14:textId="3E004D1A"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Belgium</w:t>
            </w:r>
          </w:p>
        </w:tc>
        <w:tc>
          <w:tcPr>
            <w:tcW w:w="2588" w:type="dxa"/>
            <w:tcBorders>
              <w:top w:val="nil"/>
              <w:left w:val="nil"/>
              <w:bottom w:val="nil"/>
              <w:right w:val="single" w:sz="4" w:space="0" w:color="auto"/>
            </w:tcBorders>
            <w:shd w:val="clear" w:color="auto" w:fill="auto"/>
            <w:noWrap/>
            <w:vAlign w:val="bottom"/>
          </w:tcPr>
          <w:p w14:paraId="5A82D5D7" w14:textId="2C9AB0F1"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BE-LABNET</w:t>
            </w:r>
          </w:p>
        </w:tc>
        <w:tc>
          <w:tcPr>
            <w:tcW w:w="807" w:type="dxa"/>
            <w:tcBorders>
              <w:top w:val="nil"/>
              <w:left w:val="nil"/>
              <w:bottom w:val="nil"/>
              <w:right w:val="single" w:sz="4" w:space="0" w:color="auto"/>
            </w:tcBorders>
            <w:shd w:val="clear" w:color="auto" w:fill="auto"/>
            <w:noWrap/>
            <w:vAlign w:val="bottom"/>
          </w:tcPr>
          <w:p w14:paraId="68528094" w14:textId="4582E6DE"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401BA80D" w14:textId="49DF99E8"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O</w:t>
            </w:r>
          </w:p>
        </w:tc>
        <w:tc>
          <w:tcPr>
            <w:tcW w:w="570" w:type="dxa"/>
            <w:tcBorders>
              <w:top w:val="nil"/>
              <w:left w:val="nil"/>
              <w:bottom w:val="nil"/>
              <w:right w:val="single" w:sz="4" w:space="0" w:color="auto"/>
            </w:tcBorders>
            <w:shd w:val="clear" w:color="auto" w:fill="auto"/>
            <w:noWrap/>
            <w:vAlign w:val="bottom"/>
          </w:tcPr>
          <w:p w14:paraId="000ABEFD" w14:textId="22202928"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374D8F3B" w14:textId="46D7AF22"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tcPr>
          <w:p w14:paraId="357CA16D" w14:textId="5B668FC1"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0949B5A8" w14:textId="08A5C83E"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6BCAA673" w14:textId="5AFF9FEE"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w:t>
            </w:r>
          </w:p>
        </w:tc>
        <w:tc>
          <w:tcPr>
            <w:tcW w:w="570" w:type="dxa"/>
            <w:tcBorders>
              <w:top w:val="nil"/>
              <w:left w:val="nil"/>
              <w:bottom w:val="nil"/>
              <w:right w:val="single" w:sz="4" w:space="0" w:color="auto"/>
            </w:tcBorders>
            <w:shd w:val="clear" w:color="auto" w:fill="auto"/>
            <w:noWrap/>
            <w:vAlign w:val="bottom"/>
          </w:tcPr>
          <w:p w14:paraId="5860815D" w14:textId="1BA74A26"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w:t>
            </w:r>
          </w:p>
        </w:tc>
        <w:tc>
          <w:tcPr>
            <w:tcW w:w="1403" w:type="dxa"/>
            <w:tcBorders>
              <w:top w:val="nil"/>
              <w:left w:val="nil"/>
              <w:bottom w:val="nil"/>
              <w:right w:val="single" w:sz="4" w:space="0" w:color="auto"/>
            </w:tcBorders>
            <w:shd w:val="clear" w:color="auto" w:fill="auto"/>
            <w:noWrap/>
            <w:vAlign w:val="bottom"/>
          </w:tcPr>
          <w:p w14:paraId="094FA2BB" w14:textId="4A75BE09"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w:t>
            </w:r>
            <w:r w:rsidR="00B75D22">
              <w:rPr>
                <w:rFonts w:eastAsia="Times New Roman" w:cs="Tahoma"/>
                <w:sz w:val="14"/>
                <w:szCs w:val="14"/>
                <w:lang w:eastAsia="en-GB"/>
              </w:rPr>
              <w:t>8</w:t>
            </w:r>
          </w:p>
        </w:tc>
      </w:tr>
      <w:tr w:rsidR="00D70C92" w:rsidRPr="00987D7F" w14:paraId="547FC451"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28E144E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Bulgaria</w:t>
            </w:r>
          </w:p>
        </w:tc>
        <w:tc>
          <w:tcPr>
            <w:tcW w:w="2588" w:type="dxa"/>
            <w:tcBorders>
              <w:top w:val="nil"/>
              <w:left w:val="single" w:sz="4" w:space="0" w:color="auto"/>
              <w:bottom w:val="nil"/>
              <w:right w:val="single" w:sz="4" w:space="0" w:color="auto"/>
            </w:tcBorders>
            <w:shd w:val="clear" w:color="000000" w:fill="D9D9D9"/>
            <w:noWrap/>
            <w:vAlign w:val="bottom"/>
            <w:hideMark/>
          </w:tcPr>
          <w:p w14:paraId="651C3E6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BG-NATIONAL_SURVEILLANCE</w:t>
            </w:r>
          </w:p>
        </w:tc>
        <w:tc>
          <w:tcPr>
            <w:tcW w:w="807" w:type="dxa"/>
            <w:tcBorders>
              <w:top w:val="nil"/>
              <w:left w:val="single" w:sz="4" w:space="0" w:color="auto"/>
              <w:bottom w:val="nil"/>
              <w:right w:val="single" w:sz="4" w:space="0" w:color="auto"/>
            </w:tcBorders>
            <w:shd w:val="clear" w:color="000000" w:fill="D9D9D9"/>
            <w:noWrap/>
            <w:vAlign w:val="bottom"/>
            <w:hideMark/>
          </w:tcPr>
          <w:p w14:paraId="07921CD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B69BC9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274240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6C96E51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A</w:t>
            </w:r>
          </w:p>
        </w:tc>
        <w:tc>
          <w:tcPr>
            <w:tcW w:w="570" w:type="dxa"/>
            <w:tcBorders>
              <w:top w:val="nil"/>
              <w:left w:val="single" w:sz="4" w:space="0" w:color="auto"/>
              <w:bottom w:val="nil"/>
              <w:right w:val="single" w:sz="4" w:space="0" w:color="auto"/>
            </w:tcBorders>
            <w:shd w:val="clear" w:color="000000" w:fill="D9D9D9"/>
            <w:noWrap/>
            <w:vAlign w:val="bottom"/>
            <w:hideMark/>
          </w:tcPr>
          <w:p w14:paraId="73DFF81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23CE4D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522FFC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ABAD3F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1403" w:type="dxa"/>
            <w:tcBorders>
              <w:top w:val="nil"/>
              <w:left w:val="nil"/>
              <w:bottom w:val="nil"/>
              <w:right w:val="single" w:sz="4" w:space="0" w:color="auto"/>
            </w:tcBorders>
            <w:shd w:val="clear" w:color="000000" w:fill="D9D9D9"/>
            <w:noWrap/>
            <w:vAlign w:val="bottom"/>
            <w:hideMark/>
          </w:tcPr>
          <w:p w14:paraId="7C61F1A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r w:rsidR="00D92F54" w:rsidRPr="00987D7F" w14:paraId="4576D108"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449B49F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Croatia</w:t>
            </w:r>
          </w:p>
        </w:tc>
        <w:tc>
          <w:tcPr>
            <w:tcW w:w="2588" w:type="dxa"/>
            <w:tcBorders>
              <w:top w:val="nil"/>
              <w:left w:val="nil"/>
              <w:bottom w:val="nil"/>
              <w:right w:val="single" w:sz="4" w:space="0" w:color="auto"/>
            </w:tcBorders>
            <w:shd w:val="clear" w:color="auto" w:fill="auto"/>
            <w:noWrap/>
            <w:vAlign w:val="bottom"/>
            <w:hideMark/>
          </w:tcPr>
          <w:p w14:paraId="147264B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HR-CNIPH</w:t>
            </w:r>
          </w:p>
        </w:tc>
        <w:tc>
          <w:tcPr>
            <w:tcW w:w="807" w:type="dxa"/>
            <w:tcBorders>
              <w:top w:val="nil"/>
              <w:left w:val="nil"/>
              <w:bottom w:val="nil"/>
              <w:right w:val="single" w:sz="4" w:space="0" w:color="auto"/>
            </w:tcBorders>
            <w:shd w:val="clear" w:color="auto" w:fill="auto"/>
            <w:noWrap/>
            <w:vAlign w:val="bottom"/>
            <w:hideMark/>
          </w:tcPr>
          <w:p w14:paraId="038DEF3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771DB4D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9AF82F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D40C02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818AAB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55A868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CE6A9A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8082F2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1403" w:type="dxa"/>
            <w:tcBorders>
              <w:top w:val="nil"/>
              <w:left w:val="nil"/>
              <w:bottom w:val="nil"/>
              <w:right w:val="single" w:sz="4" w:space="0" w:color="auto"/>
            </w:tcBorders>
            <w:shd w:val="clear" w:color="auto" w:fill="auto"/>
            <w:noWrap/>
            <w:vAlign w:val="bottom"/>
            <w:hideMark/>
          </w:tcPr>
          <w:p w14:paraId="7D050AA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EU-2012</w:t>
            </w:r>
          </w:p>
        </w:tc>
      </w:tr>
      <w:tr w:rsidR="00D70C92" w:rsidRPr="00987D7F" w14:paraId="382FA2AF"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7A3DFF7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Cyprus</w:t>
            </w:r>
          </w:p>
        </w:tc>
        <w:tc>
          <w:tcPr>
            <w:tcW w:w="2588" w:type="dxa"/>
            <w:tcBorders>
              <w:top w:val="nil"/>
              <w:left w:val="single" w:sz="4" w:space="0" w:color="auto"/>
              <w:bottom w:val="nil"/>
              <w:right w:val="single" w:sz="4" w:space="0" w:color="auto"/>
            </w:tcBorders>
            <w:shd w:val="clear" w:color="000000" w:fill="D9D9D9"/>
            <w:noWrap/>
            <w:vAlign w:val="bottom"/>
            <w:hideMark/>
          </w:tcPr>
          <w:p w14:paraId="377D5C3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CY-NOTIFIED_DISEASES</w:t>
            </w:r>
          </w:p>
        </w:tc>
        <w:tc>
          <w:tcPr>
            <w:tcW w:w="807" w:type="dxa"/>
            <w:tcBorders>
              <w:top w:val="nil"/>
              <w:left w:val="single" w:sz="4" w:space="0" w:color="auto"/>
              <w:bottom w:val="nil"/>
              <w:right w:val="single" w:sz="4" w:space="0" w:color="auto"/>
            </w:tcBorders>
            <w:shd w:val="clear" w:color="000000" w:fill="D9D9D9"/>
            <w:noWrap/>
            <w:vAlign w:val="bottom"/>
            <w:hideMark/>
          </w:tcPr>
          <w:p w14:paraId="5F4816A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6B9AE37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3015D07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FEAEC3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0274364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3F51E0E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32F06B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E20AB4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000000" w:fill="D9D9D9"/>
            <w:noWrap/>
            <w:vAlign w:val="bottom"/>
            <w:hideMark/>
          </w:tcPr>
          <w:p w14:paraId="4657FA7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EU-2008</w:t>
            </w:r>
          </w:p>
        </w:tc>
      </w:tr>
      <w:tr w:rsidR="00D92F54" w:rsidRPr="00987D7F" w14:paraId="06D4B279"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1680E10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Czechia</w:t>
            </w:r>
          </w:p>
        </w:tc>
        <w:tc>
          <w:tcPr>
            <w:tcW w:w="2588" w:type="dxa"/>
            <w:tcBorders>
              <w:top w:val="nil"/>
              <w:left w:val="nil"/>
              <w:bottom w:val="nil"/>
              <w:right w:val="single" w:sz="4" w:space="0" w:color="auto"/>
            </w:tcBorders>
            <w:shd w:val="clear" w:color="auto" w:fill="auto"/>
            <w:noWrap/>
            <w:vAlign w:val="bottom"/>
            <w:hideMark/>
          </w:tcPr>
          <w:p w14:paraId="6946828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CZ-ISIN</w:t>
            </w:r>
          </w:p>
        </w:tc>
        <w:tc>
          <w:tcPr>
            <w:tcW w:w="807" w:type="dxa"/>
            <w:tcBorders>
              <w:top w:val="nil"/>
              <w:left w:val="nil"/>
              <w:bottom w:val="nil"/>
              <w:right w:val="single" w:sz="4" w:space="0" w:color="auto"/>
            </w:tcBorders>
            <w:shd w:val="clear" w:color="auto" w:fill="auto"/>
            <w:noWrap/>
            <w:vAlign w:val="bottom"/>
            <w:hideMark/>
          </w:tcPr>
          <w:p w14:paraId="5109F72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65AFD3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6BB0F85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7F34789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1B027E3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9AFC8BC"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7B4B13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9FF211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auto"/>
            <w:noWrap/>
            <w:vAlign w:val="bottom"/>
            <w:hideMark/>
          </w:tcPr>
          <w:p w14:paraId="7BA512F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EU-2008</w:t>
            </w:r>
          </w:p>
        </w:tc>
      </w:tr>
      <w:tr w:rsidR="00D70C92" w:rsidRPr="00987D7F" w14:paraId="1C5D447B"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28CF767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Denmark</w:t>
            </w:r>
          </w:p>
        </w:tc>
        <w:tc>
          <w:tcPr>
            <w:tcW w:w="2588" w:type="dxa"/>
            <w:tcBorders>
              <w:top w:val="nil"/>
              <w:left w:val="single" w:sz="4" w:space="0" w:color="auto"/>
              <w:bottom w:val="nil"/>
              <w:right w:val="single" w:sz="4" w:space="0" w:color="auto"/>
            </w:tcBorders>
            <w:shd w:val="clear" w:color="000000" w:fill="D9D9D9"/>
            <w:noWrap/>
            <w:vAlign w:val="bottom"/>
            <w:hideMark/>
          </w:tcPr>
          <w:p w14:paraId="39FFA68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DK-MIS</w:t>
            </w:r>
          </w:p>
        </w:tc>
        <w:tc>
          <w:tcPr>
            <w:tcW w:w="807" w:type="dxa"/>
            <w:tcBorders>
              <w:top w:val="nil"/>
              <w:left w:val="single" w:sz="4" w:space="0" w:color="auto"/>
              <w:bottom w:val="nil"/>
              <w:right w:val="single" w:sz="4" w:space="0" w:color="auto"/>
            </w:tcBorders>
            <w:shd w:val="clear" w:color="000000" w:fill="D9D9D9"/>
            <w:noWrap/>
            <w:vAlign w:val="bottom"/>
            <w:hideMark/>
          </w:tcPr>
          <w:p w14:paraId="1FA3EB2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6E80D86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5FFC0D0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638D161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3694776C"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8B63DA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26729B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4AB7743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000000" w:fill="D9D9D9"/>
            <w:noWrap/>
            <w:vAlign w:val="bottom"/>
            <w:hideMark/>
          </w:tcPr>
          <w:p w14:paraId="7AF1768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Other</w:t>
            </w:r>
          </w:p>
        </w:tc>
      </w:tr>
      <w:tr w:rsidR="00D92F54" w:rsidRPr="00987D7F" w14:paraId="50929865"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4118ECF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Estonia</w:t>
            </w:r>
          </w:p>
        </w:tc>
        <w:tc>
          <w:tcPr>
            <w:tcW w:w="2588" w:type="dxa"/>
            <w:tcBorders>
              <w:top w:val="nil"/>
              <w:left w:val="nil"/>
              <w:bottom w:val="nil"/>
              <w:right w:val="single" w:sz="4" w:space="0" w:color="auto"/>
            </w:tcBorders>
            <w:shd w:val="clear" w:color="auto" w:fill="auto"/>
            <w:noWrap/>
            <w:vAlign w:val="bottom"/>
            <w:hideMark/>
          </w:tcPr>
          <w:p w14:paraId="74468D4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EE-NAKIS</w:t>
            </w:r>
          </w:p>
        </w:tc>
        <w:tc>
          <w:tcPr>
            <w:tcW w:w="807" w:type="dxa"/>
            <w:tcBorders>
              <w:top w:val="nil"/>
              <w:left w:val="nil"/>
              <w:bottom w:val="nil"/>
              <w:right w:val="single" w:sz="4" w:space="0" w:color="auto"/>
            </w:tcBorders>
            <w:shd w:val="clear" w:color="auto" w:fill="auto"/>
            <w:noWrap/>
            <w:vAlign w:val="bottom"/>
            <w:hideMark/>
          </w:tcPr>
          <w:p w14:paraId="51A5B6D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5D63B01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468453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F34326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07EC16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9CE95C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55431A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A01CF6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auto"/>
            <w:noWrap/>
            <w:vAlign w:val="bottom"/>
            <w:hideMark/>
          </w:tcPr>
          <w:p w14:paraId="727D6B8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r w:rsidR="00D70C92" w:rsidRPr="00987D7F" w14:paraId="24D54E70"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22ED34D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Finland</w:t>
            </w:r>
          </w:p>
        </w:tc>
        <w:tc>
          <w:tcPr>
            <w:tcW w:w="2588" w:type="dxa"/>
            <w:tcBorders>
              <w:top w:val="nil"/>
              <w:left w:val="single" w:sz="4" w:space="0" w:color="auto"/>
              <w:bottom w:val="nil"/>
              <w:right w:val="single" w:sz="4" w:space="0" w:color="auto"/>
            </w:tcBorders>
            <w:shd w:val="clear" w:color="000000" w:fill="D9D9D9"/>
            <w:noWrap/>
            <w:vAlign w:val="bottom"/>
            <w:hideMark/>
          </w:tcPr>
          <w:p w14:paraId="0110969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FI-NIDR</w:t>
            </w:r>
          </w:p>
        </w:tc>
        <w:tc>
          <w:tcPr>
            <w:tcW w:w="807" w:type="dxa"/>
            <w:tcBorders>
              <w:top w:val="nil"/>
              <w:left w:val="single" w:sz="4" w:space="0" w:color="auto"/>
              <w:bottom w:val="nil"/>
              <w:right w:val="single" w:sz="4" w:space="0" w:color="auto"/>
            </w:tcBorders>
            <w:shd w:val="clear" w:color="000000" w:fill="D9D9D9"/>
            <w:noWrap/>
            <w:vAlign w:val="bottom"/>
            <w:hideMark/>
          </w:tcPr>
          <w:p w14:paraId="746CDB3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F22C31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43A252B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54D2E9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3D025D4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EC2677C"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308B3F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1FED2C9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000000" w:fill="D9D9D9"/>
            <w:noWrap/>
            <w:vAlign w:val="bottom"/>
            <w:hideMark/>
          </w:tcPr>
          <w:p w14:paraId="68D3EA6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EU-2012</w:t>
            </w:r>
          </w:p>
        </w:tc>
      </w:tr>
      <w:tr w:rsidR="00D92F54" w:rsidRPr="00987D7F" w14:paraId="42A06E8B"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262ED55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France</w:t>
            </w:r>
          </w:p>
        </w:tc>
        <w:tc>
          <w:tcPr>
            <w:tcW w:w="2588" w:type="dxa"/>
            <w:tcBorders>
              <w:top w:val="nil"/>
              <w:left w:val="nil"/>
              <w:bottom w:val="nil"/>
              <w:right w:val="single" w:sz="4" w:space="0" w:color="auto"/>
            </w:tcBorders>
            <w:shd w:val="clear" w:color="auto" w:fill="auto"/>
            <w:noWrap/>
            <w:vAlign w:val="bottom"/>
            <w:hideMark/>
          </w:tcPr>
          <w:p w14:paraId="6DBA217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FR-MANDATORY_INFECTIOUS_DISEASES</w:t>
            </w:r>
          </w:p>
        </w:tc>
        <w:tc>
          <w:tcPr>
            <w:tcW w:w="807" w:type="dxa"/>
            <w:tcBorders>
              <w:top w:val="nil"/>
              <w:left w:val="nil"/>
              <w:bottom w:val="nil"/>
              <w:right w:val="single" w:sz="4" w:space="0" w:color="auto"/>
            </w:tcBorders>
            <w:shd w:val="clear" w:color="auto" w:fill="auto"/>
            <w:noWrap/>
            <w:vAlign w:val="bottom"/>
            <w:hideMark/>
          </w:tcPr>
          <w:p w14:paraId="18A3F14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46B4F0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3C2FE5C"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AA4C1D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DAD850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4D596F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10E574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E362F4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1403" w:type="dxa"/>
            <w:tcBorders>
              <w:top w:val="nil"/>
              <w:left w:val="nil"/>
              <w:bottom w:val="nil"/>
              <w:right w:val="single" w:sz="4" w:space="0" w:color="auto"/>
            </w:tcBorders>
            <w:shd w:val="clear" w:color="auto" w:fill="auto"/>
            <w:noWrap/>
            <w:vAlign w:val="bottom"/>
            <w:hideMark/>
          </w:tcPr>
          <w:p w14:paraId="7FC1A33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Not specified/unknown</w:t>
            </w:r>
          </w:p>
        </w:tc>
      </w:tr>
      <w:tr w:rsidR="00D70C92" w:rsidRPr="00987D7F" w14:paraId="5366C6D9"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1FBDAF6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Germany</w:t>
            </w:r>
          </w:p>
        </w:tc>
        <w:tc>
          <w:tcPr>
            <w:tcW w:w="2588" w:type="dxa"/>
            <w:tcBorders>
              <w:top w:val="nil"/>
              <w:left w:val="single" w:sz="4" w:space="0" w:color="auto"/>
              <w:bottom w:val="nil"/>
              <w:right w:val="single" w:sz="4" w:space="0" w:color="auto"/>
            </w:tcBorders>
            <w:shd w:val="clear" w:color="000000" w:fill="D9D9D9"/>
            <w:noWrap/>
            <w:vAlign w:val="bottom"/>
            <w:hideMark/>
          </w:tcPr>
          <w:p w14:paraId="4AFFB5C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DE-SURVNET@RKI-7.1/6</w:t>
            </w:r>
          </w:p>
        </w:tc>
        <w:tc>
          <w:tcPr>
            <w:tcW w:w="807" w:type="dxa"/>
            <w:tcBorders>
              <w:top w:val="nil"/>
              <w:left w:val="single" w:sz="4" w:space="0" w:color="auto"/>
              <w:bottom w:val="nil"/>
              <w:right w:val="single" w:sz="4" w:space="0" w:color="auto"/>
            </w:tcBorders>
            <w:shd w:val="clear" w:color="000000" w:fill="D9D9D9"/>
            <w:noWrap/>
            <w:vAlign w:val="bottom"/>
            <w:hideMark/>
          </w:tcPr>
          <w:p w14:paraId="4EED4A3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044FF4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202958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682EEEC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6B8B19E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26D124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D61F39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1CAFFF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1403" w:type="dxa"/>
            <w:tcBorders>
              <w:top w:val="nil"/>
              <w:left w:val="nil"/>
              <w:bottom w:val="nil"/>
              <w:right w:val="single" w:sz="4" w:space="0" w:color="auto"/>
            </w:tcBorders>
            <w:shd w:val="clear" w:color="000000" w:fill="D9D9D9"/>
            <w:noWrap/>
            <w:vAlign w:val="bottom"/>
            <w:hideMark/>
          </w:tcPr>
          <w:p w14:paraId="13CA4FD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Other</w:t>
            </w:r>
          </w:p>
        </w:tc>
      </w:tr>
      <w:tr w:rsidR="00D92F54" w:rsidRPr="00987D7F" w14:paraId="317685AA"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28E74C7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Greece</w:t>
            </w:r>
          </w:p>
        </w:tc>
        <w:tc>
          <w:tcPr>
            <w:tcW w:w="2588" w:type="dxa"/>
            <w:tcBorders>
              <w:top w:val="nil"/>
              <w:left w:val="nil"/>
              <w:bottom w:val="nil"/>
              <w:right w:val="single" w:sz="4" w:space="0" w:color="auto"/>
            </w:tcBorders>
            <w:shd w:val="clear" w:color="auto" w:fill="auto"/>
            <w:noWrap/>
            <w:vAlign w:val="bottom"/>
            <w:hideMark/>
          </w:tcPr>
          <w:p w14:paraId="4C6C948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EL-NOTIFIABLE_DISEASES</w:t>
            </w:r>
          </w:p>
        </w:tc>
        <w:tc>
          <w:tcPr>
            <w:tcW w:w="807" w:type="dxa"/>
            <w:tcBorders>
              <w:top w:val="nil"/>
              <w:left w:val="nil"/>
              <w:bottom w:val="nil"/>
              <w:right w:val="single" w:sz="4" w:space="0" w:color="auto"/>
            </w:tcBorders>
            <w:shd w:val="clear" w:color="auto" w:fill="auto"/>
            <w:noWrap/>
            <w:vAlign w:val="bottom"/>
            <w:hideMark/>
          </w:tcPr>
          <w:p w14:paraId="7C8B7E3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E772A5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CA0951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784576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B196E7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9AFD4F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98942B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1D181E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w:t>
            </w:r>
          </w:p>
        </w:tc>
        <w:tc>
          <w:tcPr>
            <w:tcW w:w="1403" w:type="dxa"/>
            <w:tcBorders>
              <w:top w:val="nil"/>
              <w:left w:val="nil"/>
              <w:bottom w:val="nil"/>
              <w:right w:val="single" w:sz="4" w:space="0" w:color="auto"/>
            </w:tcBorders>
            <w:shd w:val="clear" w:color="auto" w:fill="auto"/>
            <w:noWrap/>
            <w:vAlign w:val="bottom"/>
            <w:hideMark/>
          </w:tcPr>
          <w:p w14:paraId="0D708A4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r w:rsidR="00D70C92" w:rsidRPr="00987D7F" w14:paraId="7189F404"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2AF28E7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Hungary</w:t>
            </w:r>
          </w:p>
        </w:tc>
        <w:tc>
          <w:tcPr>
            <w:tcW w:w="2588" w:type="dxa"/>
            <w:tcBorders>
              <w:top w:val="nil"/>
              <w:left w:val="single" w:sz="4" w:space="0" w:color="auto"/>
              <w:bottom w:val="nil"/>
              <w:right w:val="single" w:sz="4" w:space="0" w:color="auto"/>
            </w:tcBorders>
            <w:shd w:val="clear" w:color="000000" w:fill="D9D9D9"/>
            <w:noWrap/>
            <w:vAlign w:val="bottom"/>
            <w:hideMark/>
          </w:tcPr>
          <w:p w14:paraId="3651596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HU-EFRIR</w:t>
            </w:r>
          </w:p>
        </w:tc>
        <w:tc>
          <w:tcPr>
            <w:tcW w:w="807" w:type="dxa"/>
            <w:tcBorders>
              <w:top w:val="nil"/>
              <w:left w:val="single" w:sz="4" w:space="0" w:color="auto"/>
              <w:bottom w:val="nil"/>
              <w:right w:val="single" w:sz="4" w:space="0" w:color="auto"/>
            </w:tcBorders>
            <w:shd w:val="clear" w:color="000000" w:fill="D9D9D9"/>
            <w:noWrap/>
            <w:vAlign w:val="bottom"/>
            <w:hideMark/>
          </w:tcPr>
          <w:p w14:paraId="69DFB84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46AC8EC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64EE10C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1C05994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1DD4FDA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F12A0A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8A9924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C5DEB2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000000" w:fill="D9D9D9"/>
            <w:noWrap/>
            <w:vAlign w:val="bottom"/>
            <w:hideMark/>
          </w:tcPr>
          <w:p w14:paraId="3A1277C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EU-2012</w:t>
            </w:r>
          </w:p>
        </w:tc>
      </w:tr>
      <w:tr w:rsidR="00D92F54" w:rsidRPr="00987D7F" w14:paraId="1A77B600"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54633EC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Iceland</w:t>
            </w:r>
          </w:p>
        </w:tc>
        <w:tc>
          <w:tcPr>
            <w:tcW w:w="2588" w:type="dxa"/>
            <w:tcBorders>
              <w:top w:val="nil"/>
              <w:left w:val="nil"/>
              <w:bottom w:val="nil"/>
              <w:right w:val="single" w:sz="4" w:space="0" w:color="auto"/>
            </w:tcBorders>
            <w:shd w:val="clear" w:color="auto" w:fill="auto"/>
            <w:noWrap/>
            <w:vAlign w:val="bottom"/>
            <w:hideMark/>
          </w:tcPr>
          <w:p w14:paraId="7E6C45E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IS-SUBJECT_TO_REGISTRATION</w:t>
            </w:r>
          </w:p>
        </w:tc>
        <w:tc>
          <w:tcPr>
            <w:tcW w:w="807" w:type="dxa"/>
            <w:tcBorders>
              <w:top w:val="nil"/>
              <w:left w:val="nil"/>
              <w:bottom w:val="nil"/>
              <w:right w:val="single" w:sz="4" w:space="0" w:color="auto"/>
            </w:tcBorders>
            <w:shd w:val="clear" w:color="auto" w:fill="auto"/>
            <w:noWrap/>
            <w:vAlign w:val="bottom"/>
            <w:hideMark/>
          </w:tcPr>
          <w:p w14:paraId="1AC2F1E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43C636D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26333B8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167FD7A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180F63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B71651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83FA1B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w:t>
            </w:r>
          </w:p>
        </w:tc>
        <w:tc>
          <w:tcPr>
            <w:tcW w:w="570" w:type="dxa"/>
            <w:tcBorders>
              <w:top w:val="nil"/>
              <w:left w:val="nil"/>
              <w:bottom w:val="nil"/>
              <w:right w:val="single" w:sz="4" w:space="0" w:color="auto"/>
            </w:tcBorders>
            <w:shd w:val="clear" w:color="auto" w:fill="auto"/>
            <w:noWrap/>
            <w:vAlign w:val="bottom"/>
            <w:hideMark/>
          </w:tcPr>
          <w:p w14:paraId="5C2B76B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w:t>
            </w:r>
          </w:p>
        </w:tc>
        <w:tc>
          <w:tcPr>
            <w:tcW w:w="1403" w:type="dxa"/>
            <w:tcBorders>
              <w:top w:val="nil"/>
              <w:left w:val="nil"/>
              <w:bottom w:val="nil"/>
              <w:right w:val="single" w:sz="4" w:space="0" w:color="auto"/>
            </w:tcBorders>
            <w:shd w:val="clear" w:color="auto" w:fill="auto"/>
            <w:noWrap/>
            <w:vAlign w:val="bottom"/>
            <w:hideMark/>
          </w:tcPr>
          <w:p w14:paraId="0A7736A3" w14:textId="4B493A7C"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w:t>
            </w:r>
            <w:r w:rsidR="003A12EB" w:rsidRPr="00F915B2">
              <w:rPr>
                <w:rFonts w:eastAsia="Times New Roman" w:cs="Tahoma"/>
                <w:sz w:val="14"/>
                <w:szCs w:val="14"/>
                <w:lang w:eastAsia="en-GB"/>
              </w:rPr>
              <w:t>8</w:t>
            </w:r>
          </w:p>
        </w:tc>
      </w:tr>
      <w:tr w:rsidR="00D70C92" w:rsidRPr="00987D7F" w14:paraId="678E2DB5"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7D8DECF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Ireland</w:t>
            </w:r>
          </w:p>
        </w:tc>
        <w:tc>
          <w:tcPr>
            <w:tcW w:w="2588" w:type="dxa"/>
            <w:tcBorders>
              <w:top w:val="nil"/>
              <w:left w:val="single" w:sz="4" w:space="0" w:color="auto"/>
              <w:bottom w:val="nil"/>
              <w:right w:val="single" w:sz="4" w:space="0" w:color="auto"/>
            </w:tcBorders>
            <w:shd w:val="clear" w:color="000000" w:fill="D9D9D9"/>
            <w:noWrap/>
            <w:vAlign w:val="bottom"/>
            <w:hideMark/>
          </w:tcPr>
          <w:p w14:paraId="48C8F78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IE-CIDR</w:t>
            </w:r>
          </w:p>
        </w:tc>
        <w:tc>
          <w:tcPr>
            <w:tcW w:w="807" w:type="dxa"/>
            <w:tcBorders>
              <w:top w:val="nil"/>
              <w:left w:val="single" w:sz="4" w:space="0" w:color="auto"/>
              <w:bottom w:val="nil"/>
              <w:right w:val="single" w:sz="4" w:space="0" w:color="auto"/>
            </w:tcBorders>
            <w:shd w:val="clear" w:color="000000" w:fill="D9D9D9"/>
            <w:noWrap/>
            <w:vAlign w:val="bottom"/>
            <w:hideMark/>
          </w:tcPr>
          <w:p w14:paraId="60CCE59C"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2F917D4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B7F939C"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684EB5D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EA1ED5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51BEBD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B3375E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03E7D0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000000" w:fill="D9D9D9"/>
            <w:noWrap/>
            <w:vAlign w:val="bottom"/>
            <w:hideMark/>
          </w:tcPr>
          <w:p w14:paraId="685031A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EU-2008</w:t>
            </w:r>
          </w:p>
        </w:tc>
      </w:tr>
      <w:tr w:rsidR="00D92F54" w:rsidRPr="00987D7F" w14:paraId="3CD5D87D"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547C689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Italy</w:t>
            </w:r>
          </w:p>
        </w:tc>
        <w:tc>
          <w:tcPr>
            <w:tcW w:w="2588" w:type="dxa"/>
            <w:tcBorders>
              <w:top w:val="nil"/>
              <w:left w:val="nil"/>
              <w:bottom w:val="nil"/>
              <w:right w:val="single" w:sz="4" w:space="0" w:color="auto"/>
            </w:tcBorders>
            <w:shd w:val="clear" w:color="auto" w:fill="auto"/>
            <w:noWrap/>
            <w:vAlign w:val="bottom"/>
            <w:hideMark/>
          </w:tcPr>
          <w:p w14:paraId="43C67CD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IT-NRS</w:t>
            </w:r>
          </w:p>
        </w:tc>
        <w:tc>
          <w:tcPr>
            <w:tcW w:w="807" w:type="dxa"/>
            <w:tcBorders>
              <w:top w:val="nil"/>
              <w:left w:val="nil"/>
              <w:bottom w:val="nil"/>
              <w:right w:val="single" w:sz="4" w:space="0" w:color="auto"/>
            </w:tcBorders>
            <w:shd w:val="clear" w:color="auto" w:fill="auto"/>
            <w:noWrap/>
            <w:vAlign w:val="bottom"/>
            <w:hideMark/>
          </w:tcPr>
          <w:p w14:paraId="30B13A1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A0DB42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AC63B4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1DCE23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1DF468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DA0734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F72DE9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4D1BCB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auto"/>
            <w:noWrap/>
            <w:vAlign w:val="bottom"/>
            <w:hideMark/>
          </w:tcPr>
          <w:p w14:paraId="3D428AD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Other</w:t>
            </w:r>
          </w:p>
        </w:tc>
      </w:tr>
      <w:tr w:rsidR="00D70C92" w:rsidRPr="00987D7F" w14:paraId="2A5A5B89"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72DF009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Latvia</w:t>
            </w:r>
          </w:p>
        </w:tc>
        <w:tc>
          <w:tcPr>
            <w:tcW w:w="2588" w:type="dxa"/>
            <w:tcBorders>
              <w:top w:val="nil"/>
              <w:left w:val="single" w:sz="4" w:space="0" w:color="auto"/>
              <w:bottom w:val="nil"/>
              <w:right w:val="single" w:sz="4" w:space="0" w:color="auto"/>
            </w:tcBorders>
            <w:shd w:val="clear" w:color="000000" w:fill="D9D9D9"/>
            <w:noWrap/>
            <w:vAlign w:val="bottom"/>
            <w:hideMark/>
          </w:tcPr>
          <w:p w14:paraId="702657C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LV-BSN</w:t>
            </w:r>
          </w:p>
        </w:tc>
        <w:tc>
          <w:tcPr>
            <w:tcW w:w="807" w:type="dxa"/>
            <w:tcBorders>
              <w:top w:val="nil"/>
              <w:left w:val="single" w:sz="4" w:space="0" w:color="auto"/>
              <w:bottom w:val="nil"/>
              <w:right w:val="single" w:sz="4" w:space="0" w:color="auto"/>
            </w:tcBorders>
            <w:shd w:val="clear" w:color="000000" w:fill="D9D9D9"/>
            <w:noWrap/>
            <w:vAlign w:val="bottom"/>
            <w:hideMark/>
          </w:tcPr>
          <w:p w14:paraId="0A024CA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15446B8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CDDFC5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6B26C82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49D9A10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D03D5D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730B2A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242F7C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000000" w:fill="D9D9D9"/>
            <w:noWrap/>
            <w:vAlign w:val="bottom"/>
            <w:hideMark/>
          </w:tcPr>
          <w:p w14:paraId="5E277257" w14:textId="22083823"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w:t>
            </w:r>
            <w:r w:rsidR="00805008">
              <w:rPr>
                <w:rFonts w:eastAsia="Times New Roman" w:cs="Tahoma"/>
                <w:sz w:val="14"/>
                <w:szCs w:val="14"/>
                <w:lang w:eastAsia="en-GB"/>
              </w:rPr>
              <w:t>8</w:t>
            </w:r>
          </w:p>
        </w:tc>
      </w:tr>
      <w:tr w:rsidR="00D92F54" w:rsidRPr="00987D7F" w14:paraId="707A948A"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67765EC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Liechtenstein</w:t>
            </w:r>
          </w:p>
        </w:tc>
        <w:tc>
          <w:tcPr>
            <w:tcW w:w="2588" w:type="dxa"/>
            <w:tcBorders>
              <w:top w:val="nil"/>
              <w:left w:val="nil"/>
              <w:bottom w:val="nil"/>
              <w:right w:val="single" w:sz="4" w:space="0" w:color="auto"/>
            </w:tcBorders>
            <w:shd w:val="clear" w:color="auto" w:fill="auto"/>
            <w:noWrap/>
            <w:vAlign w:val="bottom"/>
            <w:hideMark/>
          </w:tcPr>
          <w:p w14:paraId="431EC12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LI-HEPA</w:t>
            </w:r>
          </w:p>
        </w:tc>
        <w:tc>
          <w:tcPr>
            <w:tcW w:w="807" w:type="dxa"/>
            <w:tcBorders>
              <w:top w:val="nil"/>
              <w:left w:val="nil"/>
              <w:bottom w:val="nil"/>
              <w:right w:val="single" w:sz="4" w:space="0" w:color="auto"/>
            </w:tcBorders>
            <w:shd w:val="clear" w:color="auto" w:fill="auto"/>
            <w:noWrap/>
            <w:vAlign w:val="bottom"/>
            <w:hideMark/>
          </w:tcPr>
          <w:p w14:paraId="0DE3B16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7318BE6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74CC83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77AA91C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5A7029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31B346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5B5E2DA"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DCCAF1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w:t>
            </w:r>
          </w:p>
        </w:tc>
        <w:tc>
          <w:tcPr>
            <w:tcW w:w="1403" w:type="dxa"/>
            <w:tcBorders>
              <w:top w:val="nil"/>
              <w:left w:val="nil"/>
              <w:bottom w:val="nil"/>
              <w:right w:val="single" w:sz="4" w:space="0" w:color="auto"/>
            </w:tcBorders>
            <w:shd w:val="clear" w:color="auto" w:fill="auto"/>
            <w:noWrap/>
            <w:vAlign w:val="bottom"/>
            <w:hideMark/>
          </w:tcPr>
          <w:p w14:paraId="70651243" w14:textId="305E5A87" w:rsidR="009B3119" w:rsidRPr="00F915B2" w:rsidRDefault="00805008" w:rsidP="009A7342">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r w:rsidR="00D70C92" w:rsidRPr="00987D7F" w14:paraId="32EF2C42"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29A16A3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Lithuania</w:t>
            </w:r>
          </w:p>
        </w:tc>
        <w:tc>
          <w:tcPr>
            <w:tcW w:w="2588" w:type="dxa"/>
            <w:tcBorders>
              <w:top w:val="nil"/>
              <w:left w:val="single" w:sz="4" w:space="0" w:color="auto"/>
              <w:bottom w:val="nil"/>
              <w:right w:val="single" w:sz="4" w:space="0" w:color="auto"/>
            </w:tcBorders>
            <w:shd w:val="clear" w:color="000000" w:fill="D9D9D9"/>
            <w:noWrap/>
            <w:vAlign w:val="bottom"/>
            <w:hideMark/>
          </w:tcPr>
          <w:p w14:paraId="3075ACF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LT-COMMUNICABLE_DISEASES</w:t>
            </w:r>
          </w:p>
        </w:tc>
        <w:tc>
          <w:tcPr>
            <w:tcW w:w="807" w:type="dxa"/>
            <w:tcBorders>
              <w:top w:val="nil"/>
              <w:left w:val="single" w:sz="4" w:space="0" w:color="auto"/>
              <w:bottom w:val="nil"/>
              <w:right w:val="single" w:sz="4" w:space="0" w:color="auto"/>
            </w:tcBorders>
            <w:shd w:val="clear" w:color="000000" w:fill="D9D9D9"/>
            <w:noWrap/>
            <w:vAlign w:val="bottom"/>
            <w:hideMark/>
          </w:tcPr>
          <w:p w14:paraId="2D79041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169E3B4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4F54B54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7FBA941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33D044D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7EEE512"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2D6B70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0237AEE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000000" w:fill="D9D9D9"/>
            <w:noWrap/>
            <w:vAlign w:val="bottom"/>
            <w:hideMark/>
          </w:tcPr>
          <w:p w14:paraId="2D3DB25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r w:rsidR="00D92F54" w:rsidRPr="00987D7F" w14:paraId="1CBA2190"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1C81B9D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Luxembourg</w:t>
            </w:r>
          </w:p>
        </w:tc>
        <w:tc>
          <w:tcPr>
            <w:tcW w:w="2588" w:type="dxa"/>
            <w:tcBorders>
              <w:top w:val="nil"/>
              <w:left w:val="nil"/>
              <w:bottom w:val="nil"/>
              <w:right w:val="single" w:sz="4" w:space="0" w:color="auto"/>
            </w:tcBorders>
            <w:shd w:val="clear" w:color="auto" w:fill="auto"/>
            <w:noWrap/>
            <w:vAlign w:val="bottom"/>
            <w:hideMark/>
          </w:tcPr>
          <w:p w14:paraId="37C2589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LU-SYSTEM1</w:t>
            </w:r>
          </w:p>
        </w:tc>
        <w:tc>
          <w:tcPr>
            <w:tcW w:w="807" w:type="dxa"/>
            <w:tcBorders>
              <w:top w:val="nil"/>
              <w:left w:val="nil"/>
              <w:bottom w:val="nil"/>
              <w:right w:val="single" w:sz="4" w:space="0" w:color="auto"/>
            </w:tcBorders>
            <w:shd w:val="clear" w:color="auto" w:fill="auto"/>
            <w:noWrap/>
            <w:vAlign w:val="bottom"/>
            <w:hideMark/>
          </w:tcPr>
          <w:p w14:paraId="35CDBEF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312424A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2A0195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2F8777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10CFDA7" w14:textId="572E89AE" w:rsidR="009B3119" w:rsidRPr="00F915B2" w:rsidRDefault="00687BA0"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A6BEA8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911F8DE"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018527B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auto"/>
            <w:noWrap/>
            <w:vAlign w:val="bottom"/>
            <w:hideMark/>
          </w:tcPr>
          <w:p w14:paraId="6C51E48F" w14:textId="5272EDE3"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w:t>
            </w:r>
            <w:r w:rsidR="00687BA0" w:rsidRPr="00F915B2">
              <w:rPr>
                <w:rFonts w:eastAsia="Times New Roman" w:cs="Tahoma"/>
                <w:sz w:val="14"/>
                <w:szCs w:val="14"/>
                <w:lang w:eastAsia="en-GB"/>
              </w:rPr>
              <w:t>18</w:t>
            </w:r>
          </w:p>
        </w:tc>
      </w:tr>
      <w:tr w:rsidR="00D70C92" w:rsidRPr="00987D7F" w14:paraId="70C80E72" w14:textId="77777777" w:rsidTr="006A6458">
        <w:trPr>
          <w:trHeight w:val="235"/>
        </w:trPr>
        <w:tc>
          <w:tcPr>
            <w:tcW w:w="1483" w:type="dxa"/>
            <w:tcBorders>
              <w:top w:val="nil"/>
              <w:left w:val="single" w:sz="4" w:space="0" w:color="auto"/>
              <w:bottom w:val="nil"/>
              <w:right w:val="single" w:sz="4" w:space="0" w:color="auto"/>
            </w:tcBorders>
            <w:shd w:val="clear" w:color="000000" w:fill="D9D9D9"/>
            <w:noWrap/>
            <w:vAlign w:val="bottom"/>
            <w:hideMark/>
          </w:tcPr>
          <w:p w14:paraId="2BA647A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Malta</w:t>
            </w:r>
          </w:p>
        </w:tc>
        <w:tc>
          <w:tcPr>
            <w:tcW w:w="2588" w:type="dxa"/>
            <w:tcBorders>
              <w:top w:val="nil"/>
              <w:left w:val="single" w:sz="4" w:space="0" w:color="auto"/>
              <w:bottom w:val="nil"/>
              <w:right w:val="single" w:sz="4" w:space="0" w:color="auto"/>
            </w:tcBorders>
            <w:shd w:val="clear" w:color="000000" w:fill="D9D9D9"/>
            <w:noWrap/>
            <w:vAlign w:val="bottom"/>
            <w:hideMark/>
          </w:tcPr>
          <w:p w14:paraId="25170624"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MT-DISEASE_SURVEILLANCE</w:t>
            </w:r>
          </w:p>
        </w:tc>
        <w:tc>
          <w:tcPr>
            <w:tcW w:w="807" w:type="dxa"/>
            <w:tcBorders>
              <w:top w:val="nil"/>
              <w:left w:val="single" w:sz="4" w:space="0" w:color="auto"/>
              <w:bottom w:val="nil"/>
              <w:right w:val="single" w:sz="4" w:space="0" w:color="auto"/>
            </w:tcBorders>
            <w:shd w:val="clear" w:color="000000" w:fill="D9D9D9"/>
            <w:noWrap/>
            <w:vAlign w:val="bottom"/>
            <w:hideMark/>
          </w:tcPr>
          <w:p w14:paraId="7F53695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DFC4B4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12DFB5C9"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2B4DAA3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5D87399F"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7BA737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6EC4285"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0C0BB30"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1403" w:type="dxa"/>
            <w:tcBorders>
              <w:top w:val="nil"/>
              <w:left w:val="nil"/>
              <w:bottom w:val="nil"/>
              <w:right w:val="single" w:sz="4" w:space="0" w:color="auto"/>
            </w:tcBorders>
            <w:shd w:val="clear" w:color="000000" w:fill="D9D9D9"/>
            <w:noWrap/>
            <w:vAlign w:val="bottom"/>
            <w:hideMark/>
          </w:tcPr>
          <w:p w14:paraId="1CD9F63C"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r w:rsidR="00D92F54" w:rsidRPr="00987D7F" w14:paraId="77D7E5CC"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45DF2386"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Netherlands</w:t>
            </w:r>
          </w:p>
        </w:tc>
        <w:tc>
          <w:tcPr>
            <w:tcW w:w="2588" w:type="dxa"/>
            <w:tcBorders>
              <w:top w:val="nil"/>
              <w:left w:val="nil"/>
              <w:bottom w:val="nil"/>
              <w:right w:val="single" w:sz="4" w:space="0" w:color="auto"/>
            </w:tcBorders>
            <w:shd w:val="clear" w:color="auto" w:fill="auto"/>
            <w:noWrap/>
            <w:vAlign w:val="bottom"/>
            <w:hideMark/>
          </w:tcPr>
          <w:p w14:paraId="1C62AC1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NL-OSIRIS</w:t>
            </w:r>
          </w:p>
        </w:tc>
        <w:tc>
          <w:tcPr>
            <w:tcW w:w="807" w:type="dxa"/>
            <w:tcBorders>
              <w:top w:val="nil"/>
              <w:left w:val="nil"/>
              <w:bottom w:val="nil"/>
              <w:right w:val="single" w:sz="4" w:space="0" w:color="auto"/>
            </w:tcBorders>
            <w:shd w:val="clear" w:color="auto" w:fill="auto"/>
            <w:noWrap/>
            <w:vAlign w:val="bottom"/>
            <w:hideMark/>
          </w:tcPr>
          <w:p w14:paraId="1071A59C"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72EB19AD"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044F10B"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2FDFFBC1"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EC9DCE7"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12C4FD3"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BFF3D8C"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09E91348" w14:textId="77777777"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auto"/>
            <w:noWrap/>
            <w:vAlign w:val="bottom"/>
            <w:hideMark/>
          </w:tcPr>
          <w:p w14:paraId="4D956887" w14:textId="18597E94" w:rsidR="009B3119" w:rsidRPr="00F915B2" w:rsidRDefault="009B3119" w:rsidP="009A7342">
            <w:pPr>
              <w:spacing w:before="120" w:after="0"/>
              <w:rPr>
                <w:rFonts w:eastAsia="Times New Roman" w:cs="Tahoma"/>
                <w:sz w:val="14"/>
                <w:szCs w:val="14"/>
                <w:lang w:eastAsia="en-GB"/>
              </w:rPr>
            </w:pPr>
            <w:r w:rsidRPr="00F915B2">
              <w:rPr>
                <w:rFonts w:eastAsia="Times New Roman" w:cs="Tahoma"/>
                <w:sz w:val="14"/>
                <w:szCs w:val="14"/>
                <w:lang w:eastAsia="en-GB"/>
              </w:rPr>
              <w:t>EU-20</w:t>
            </w:r>
            <w:r w:rsidR="00936B31">
              <w:rPr>
                <w:rFonts w:eastAsia="Times New Roman" w:cs="Tahoma"/>
                <w:sz w:val="14"/>
                <w:szCs w:val="14"/>
                <w:lang w:eastAsia="en-GB"/>
              </w:rPr>
              <w:t>18</w:t>
            </w:r>
          </w:p>
        </w:tc>
      </w:tr>
      <w:tr w:rsidR="00D70C92" w:rsidRPr="00987D7F" w14:paraId="19BA01CA" w14:textId="77777777" w:rsidTr="006A6458">
        <w:trPr>
          <w:trHeight w:val="235"/>
        </w:trPr>
        <w:tc>
          <w:tcPr>
            <w:tcW w:w="1483" w:type="dxa"/>
            <w:tcBorders>
              <w:top w:val="nil"/>
              <w:left w:val="single" w:sz="4" w:space="0" w:color="auto"/>
              <w:bottom w:val="nil"/>
              <w:right w:val="single" w:sz="4" w:space="0" w:color="auto"/>
            </w:tcBorders>
            <w:shd w:val="clear" w:color="auto" w:fill="D9D9D9" w:themeFill="background1" w:themeFillShade="D9"/>
            <w:noWrap/>
            <w:vAlign w:val="bottom"/>
          </w:tcPr>
          <w:p w14:paraId="6F5AD9FC" w14:textId="4ED9FE0E"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Norway</w:t>
            </w:r>
          </w:p>
        </w:tc>
        <w:tc>
          <w:tcPr>
            <w:tcW w:w="2588" w:type="dxa"/>
            <w:tcBorders>
              <w:top w:val="nil"/>
              <w:left w:val="nil"/>
              <w:bottom w:val="nil"/>
              <w:right w:val="single" w:sz="4" w:space="0" w:color="auto"/>
            </w:tcBorders>
            <w:shd w:val="clear" w:color="auto" w:fill="D9D9D9" w:themeFill="background1" w:themeFillShade="D9"/>
            <w:noWrap/>
            <w:vAlign w:val="bottom"/>
          </w:tcPr>
          <w:p w14:paraId="0B699E4C" w14:textId="1BF435B5"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NO-MSIS_A</w:t>
            </w:r>
          </w:p>
        </w:tc>
        <w:tc>
          <w:tcPr>
            <w:tcW w:w="807" w:type="dxa"/>
            <w:tcBorders>
              <w:top w:val="nil"/>
              <w:left w:val="nil"/>
              <w:bottom w:val="nil"/>
              <w:right w:val="single" w:sz="4" w:space="0" w:color="auto"/>
            </w:tcBorders>
            <w:shd w:val="clear" w:color="auto" w:fill="D9D9D9" w:themeFill="background1" w:themeFillShade="D9"/>
            <w:noWrap/>
            <w:vAlign w:val="bottom"/>
          </w:tcPr>
          <w:p w14:paraId="6DEA85ED" w14:textId="02BD1356"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D9D9D9" w:themeFill="background1" w:themeFillShade="D9"/>
            <w:noWrap/>
            <w:vAlign w:val="bottom"/>
          </w:tcPr>
          <w:p w14:paraId="5920B767" w14:textId="2A9B6EA9"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D9D9D9" w:themeFill="background1" w:themeFillShade="D9"/>
            <w:noWrap/>
            <w:vAlign w:val="bottom"/>
          </w:tcPr>
          <w:p w14:paraId="5728D03F" w14:textId="27F10784"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D9D9D9" w:themeFill="background1" w:themeFillShade="D9"/>
            <w:noWrap/>
            <w:vAlign w:val="bottom"/>
          </w:tcPr>
          <w:p w14:paraId="53C9D4F5" w14:textId="64BA0D52"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vAlign w:val="bottom"/>
          </w:tcPr>
          <w:p w14:paraId="00FB8D34" w14:textId="509DEFBC"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tcPr>
          <w:p w14:paraId="4D64C155" w14:textId="5602DD2E"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tcPr>
          <w:p w14:paraId="2D59B19F" w14:textId="46EC1E67"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tcPr>
          <w:p w14:paraId="64FFFA99" w14:textId="6B573673"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D9D9D9" w:themeFill="background1" w:themeFillShade="D9"/>
            <w:noWrap/>
            <w:vAlign w:val="bottom"/>
          </w:tcPr>
          <w:p w14:paraId="4B3DB79E" w14:textId="0BD0BC3D"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r w:rsidR="00B10250" w:rsidRPr="00987D7F" w14:paraId="6A506FDC"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tcPr>
          <w:p w14:paraId="3097AC63" w14:textId="61D21759"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Poland</w:t>
            </w:r>
          </w:p>
        </w:tc>
        <w:tc>
          <w:tcPr>
            <w:tcW w:w="2588" w:type="dxa"/>
            <w:tcBorders>
              <w:top w:val="nil"/>
              <w:left w:val="single" w:sz="4" w:space="0" w:color="auto"/>
              <w:bottom w:val="nil"/>
              <w:right w:val="single" w:sz="4" w:space="0" w:color="auto"/>
            </w:tcBorders>
            <w:shd w:val="clear" w:color="auto" w:fill="auto"/>
            <w:noWrap/>
            <w:vAlign w:val="bottom"/>
          </w:tcPr>
          <w:p w14:paraId="45BD0D62" w14:textId="53D68B18"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PL-NATIONAL_SURVEILLANCE</w:t>
            </w:r>
          </w:p>
        </w:tc>
        <w:tc>
          <w:tcPr>
            <w:tcW w:w="807" w:type="dxa"/>
            <w:tcBorders>
              <w:top w:val="nil"/>
              <w:left w:val="single" w:sz="4" w:space="0" w:color="auto"/>
              <w:bottom w:val="nil"/>
              <w:right w:val="single" w:sz="4" w:space="0" w:color="auto"/>
            </w:tcBorders>
            <w:shd w:val="clear" w:color="auto" w:fill="auto"/>
            <w:noWrap/>
            <w:vAlign w:val="bottom"/>
          </w:tcPr>
          <w:p w14:paraId="00B74405" w14:textId="68A308C9"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auto" w:fill="auto"/>
            <w:noWrap/>
            <w:vAlign w:val="bottom"/>
          </w:tcPr>
          <w:p w14:paraId="11B91803" w14:textId="5194E487"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auto" w:fill="auto"/>
            <w:noWrap/>
            <w:vAlign w:val="bottom"/>
          </w:tcPr>
          <w:p w14:paraId="04DAD44E" w14:textId="58100341"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auto" w:fill="auto"/>
            <w:noWrap/>
            <w:vAlign w:val="bottom"/>
          </w:tcPr>
          <w:p w14:paraId="5A0F6F91" w14:textId="7959CA3F"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auto" w:fill="auto"/>
            <w:noWrap/>
            <w:vAlign w:val="bottom"/>
          </w:tcPr>
          <w:p w14:paraId="1D37EADA" w14:textId="04B0D9D6"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tcPr>
          <w:p w14:paraId="05396ED6" w14:textId="0FA19F77"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tcPr>
          <w:p w14:paraId="075DBFB8" w14:textId="466F5EF6"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tcPr>
          <w:p w14:paraId="32909D42" w14:textId="399AEF31"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auto"/>
            <w:noWrap/>
            <w:vAlign w:val="bottom"/>
          </w:tcPr>
          <w:p w14:paraId="70EDB548" w14:textId="07D6ECE4"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EU-2008</w:t>
            </w:r>
          </w:p>
        </w:tc>
      </w:tr>
      <w:tr w:rsidR="00D70C92" w:rsidRPr="00987D7F" w14:paraId="63A5A6A3" w14:textId="77777777" w:rsidTr="006A6458">
        <w:trPr>
          <w:trHeight w:val="235"/>
        </w:trPr>
        <w:tc>
          <w:tcPr>
            <w:tcW w:w="1483" w:type="dxa"/>
            <w:tcBorders>
              <w:top w:val="nil"/>
              <w:left w:val="single" w:sz="4" w:space="0" w:color="auto"/>
              <w:bottom w:val="nil"/>
              <w:right w:val="single" w:sz="4" w:space="0" w:color="auto"/>
            </w:tcBorders>
            <w:shd w:val="clear" w:color="auto" w:fill="D9D9D9" w:themeFill="background1" w:themeFillShade="D9"/>
            <w:noWrap/>
            <w:vAlign w:val="bottom"/>
          </w:tcPr>
          <w:p w14:paraId="2AE0298F" w14:textId="5B4AA23F"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Portugal</w:t>
            </w:r>
          </w:p>
        </w:tc>
        <w:tc>
          <w:tcPr>
            <w:tcW w:w="2588" w:type="dxa"/>
            <w:tcBorders>
              <w:top w:val="nil"/>
              <w:left w:val="nil"/>
              <w:bottom w:val="nil"/>
              <w:right w:val="single" w:sz="4" w:space="0" w:color="auto"/>
            </w:tcBorders>
            <w:shd w:val="clear" w:color="auto" w:fill="D9D9D9" w:themeFill="background1" w:themeFillShade="D9"/>
            <w:noWrap/>
            <w:vAlign w:val="bottom"/>
          </w:tcPr>
          <w:p w14:paraId="74A7163B" w14:textId="593F264C"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PT-HEPATITISA</w:t>
            </w:r>
          </w:p>
        </w:tc>
        <w:tc>
          <w:tcPr>
            <w:tcW w:w="807" w:type="dxa"/>
            <w:tcBorders>
              <w:top w:val="nil"/>
              <w:left w:val="nil"/>
              <w:bottom w:val="nil"/>
              <w:right w:val="single" w:sz="4" w:space="0" w:color="auto"/>
            </w:tcBorders>
            <w:shd w:val="clear" w:color="auto" w:fill="D9D9D9" w:themeFill="background1" w:themeFillShade="D9"/>
            <w:noWrap/>
            <w:vAlign w:val="bottom"/>
          </w:tcPr>
          <w:p w14:paraId="490CD9FB" w14:textId="66AD2286"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D9D9D9" w:themeFill="background1" w:themeFillShade="D9"/>
            <w:noWrap/>
            <w:vAlign w:val="bottom"/>
          </w:tcPr>
          <w:p w14:paraId="0D135877" w14:textId="1B12649F"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D9D9D9" w:themeFill="background1" w:themeFillShade="D9"/>
            <w:noWrap/>
            <w:vAlign w:val="bottom"/>
          </w:tcPr>
          <w:p w14:paraId="3A357E62" w14:textId="2BAAD77E" w:rsidR="00B10250" w:rsidRPr="00F915B2" w:rsidRDefault="00B10250" w:rsidP="00B10250">
            <w:pPr>
              <w:spacing w:before="120" w:after="0"/>
              <w:rPr>
                <w:rFonts w:eastAsia="Times New Roman" w:cs="Tahoma"/>
                <w:sz w:val="14"/>
                <w:szCs w:val="14"/>
                <w:lang w:eastAsia="en-GB"/>
              </w:rPr>
            </w:pPr>
            <w:r>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D9D9D9" w:themeFill="background1" w:themeFillShade="D9"/>
            <w:noWrap/>
            <w:vAlign w:val="bottom"/>
          </w:tcPr>
          <w:p w14:paraId="313E5570" w14:textId="5419CB4C"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vAlign w:val="bottom"/>
          </w:tcPr>
          <w:p w14:paraId="3F606960" w14:textId="7C990A3B"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D9D9D9" w:themeFill="background1" w:themeFillShade="D9"/>
            <w:noWrap/>
            <w:vAlign w:val="bottom"/>
          </w:tcPr>
          <w:p w14:paraId="70B770D9" w14:textId="162A81A8"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tcPr>
          <w:p w14:paraId="48712107" w14:textId="77BCC632"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D9D9D9" w:themeFill="background1" w:themeFillShade="D9"/>
            <w:noWrap/>
            <w:vAlign w:val="bottom"/>
          </w:tcPr>
          <w:p w14:paraId="370CEE79" w14:textId="200C66E6"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D9D9D9" w:themeFill="background1" w:themeFillShade="D9"/>
            <w:noWrap/>
            <w:vAlign w:val="bottom"/>
          </w:tcPr>
          <w:p w14:paraId="06256523" w14:textId="16D44D6A" w:rsidR="00B10250" w:rsidRPr="00F915B2" w:rsidRDefault="00B10250" w:rsidP="00B10250">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r w:rsidR="00B10250" w:rsidRPr="00987D7F" w14:paraId="3B0C8725"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tcPr>
          <w:p w14:paraId="64F69A86" w14:textId="62766562" w:rsidR="00B10250" w:rsidRPr="00F915B2" w:rsidRDefault="00B10250" w:rsidP="00B10250">
            <w:pPr>
              <w:spacing w:before="120" w:after="0"/>
              <w:rPr>
                <w:rFonts w:eastAsia="Times New Roman" w:cs="Tahoma"/>
                <w:sz w:val="14"/>
                <w:szCs w:val="14"/>
                <w:lang w:eastAsia="en-GB"/>
              </w:rPr>
            </w:pPr>
            <w:r w:rsidRPr="00E97F20">
              <w:rPr>
                <w:rFonts w:eastAsia="Times New Roman" w:cs="Tahoma"/>
                <w:sz w:val="14"/>
                <w:szCs w:val="14"/>
                <w:lang w:eastAsia="en-GB"/>
              </w:rPr>
              <w:t xml:space="preserve">Republic of </w:t>
            </w:r>
            <w:r w:rsidRPr="00F915B2">
              <w:rPr>
                <w:rFonts w:eastAsia="Times New Roman" w:cs="Tahoma"/>
                <w:sz w:val="14"/>
                <w:szCs w:val="14"/>
                <w:lang w:eastAsia="en-GB"/>
              </w:rPr>
              <w:t>North Macedonia</w:t>
            </w:r>
          </w:p>
        </w:tc>
        <w:tc>
          <w:tcPr>
            <w:tcW w:w="2588" w:type="dxa"/>
            <w:tcBorders>
              <w:top w:val="nil"/>
              <w:left w:val="single" w:sz="4" w:space="0" w:color="auto"/>
              <w:bottom w:val="nil"/>
              <w:right w:val="single" w:sz="4" w:space="0" w:color="auto"/>
            </w:tcBorders>
            <w:shd w:val="clear" w:color="auto" w:fill="auto"/>
            <w:noWrap/>
            <w:vAlign w:val="bottom"/>
          </w:tcPr>
          <w:p w14:paraId="6392E251" w14:textId="731C4155"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MK-HEPA</w:t>
            </w:r>
          </w:p>
        </w:tc>
        <w:tc>
          <w:tcPr>
            <w:tcW w:w="807" w:type="dxa"/>
            <w:tcBorders>
              <w:top w:val="nil"/>
              <w:left w:val="single" w:sz="4" w:space="0" w:color="auto"/>
              <w:bottom w:val="nil"/>
              <w:right w:val="single" w:sz="4" w:space="0" w:color="auto"/>
            </w:tcBorders>
            <w:shd w:val="clear" w:color="auto" w:fill="auto"/>
            <w:noWrap/>
            <w:vAlign w:val="bottom"/>
          </w:tcPr>
          <w:p w14:paraId="15011CE3" w14:textId="1E0346D4"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Cp</w:t>
            </w:r>
          </w:p>
        </w:tc>
        <w:tc>
          <w:tcPr>
            <w:tcW w:w="570" w:type="dxa"/>
            <w:tcBorders>
              <w:top w:val="nil"/>
              <w:left w:val="single" w:sz="4" w:space="0" w:color="auto"/>
              <w:bottom w:val="nil"/>
              <w:right w:val="single" w:sz="4" w:space="0" w:color="auto"/>
            </w:tcBorders>
            <w:shd w:val="clear" w:color="auto" w:fill="auto"/>
            <w:noWrap/>
            <w:vAlign w:val="bottom"/>
          </w:tcPr>
          <w:p w14:paraId="66BDF3AC" w14:textId="7EC0EAAF"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Co</w:t>
            </w:r>
          </w:p>
        </w:tc>
        <w:tc>
          <w:tcPr>
            <w:tcW w:w="570" w:type="dxa"/>
            <w:tcBorders>
              <w:top w:val="nil"/>
              <w:left w:val="single" w:sz="4" w:space="0" w:color="auto"/>
              <w:bottom w:val="nil"/>
              <w:right w:val="single" w:sz="4" w:space="0" w:color="auto"/>
            </w:tcBorders>
            <w:shd w:val="clear" w:color="auto" w:fill="auto"/>
            <w:noWrap/>
            <w:vAlign w:val="bottom"/>
          </w:tcPr>
          <w:p w14:paraId="203A0B11" w14:textId="49F83A34"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P</w:t>
            </w:r>
          </w:p>
        </w:tc>
        <w:tc>
          <w:tcPr>
            <w:tcW w:w="570" w:type="dxa"/>
            <w:tcBorders>
              <w:top w:val="nil"/>
              <w:left w:val="single" w:sz="4" w:space="0" w:color="auto"/>
              <w:bottom w:val="nil"/>
              <w:right w:val="single" w:sz="4" w:space="0" w:color="auto"/>
            </w:tcBorders>
            <w:shd w:val="clear" w:color="auto" w:fill="auto"/>
            <w:noWrap/>
            <w:vAlign w:val="bottom"/>
          </w:tcPr>
          <w:p w14:paraId="6DC74F22" w14:textId="52DDB5D4"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C</w:t>
            </w:r>
          </w:p>
        </w:tc>
        <w:tc>
          <w:tcPr>
            <w:tcW w:w="570" w:type="dxa"/>
            <w:tcBorders>
              <w:top w:val="nil"/>
              <w:left w:val="single" w:sz="4" w:space="0" w:color="auto"/>
              <w:bottom w:val="nil"/>
              <w:right w:val="single" w:sz="4" w:space="0" w:color="auto"/>
            </w:tcBorders>
            <w:shd w:val="clear" w:color="auto" w:fill="auto"/>
            <w:noWrap/>
            <w:vAlign w:val="bottom"/>
          </w:tcPr>
          <w:p w14:paraId="1233C1E4" w14:textId="1E957729"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Y</w:t>
            </w:r>
          </w:p>
        </w:tc>
        <w:tc>
          <w:tcPr>
            <w:tcW w:w="570" w:type="dxa"/>
            <w:tcBorders>
              <w:top w:val="nil"/>
              <w:left w:val="single" w:sz="4" w:space="0" w:color="auto"/>
              <w:bottom w:val="nil"/>
              <w:right w:val="single" w:sz="4" w:space="0" w:color="auto"/>
            </w:tcBorders>
            <w:shd w:val="clear" w:color="auto" w:fill="auto"/>
            <w:noWrap/>
            <w:vAlign w:val="bottom"/>
          </w:tcPr>
          <w:p w14:paraId="66A20917" w14:textId="67091E02"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Y</w:t>
            </w:r>
          </w:p>
        </w:tc>
        <w:tc>
          <w:tcPr>
            <w:tcW w:w="570" w:type="dxa"/>
            <w:tcBorders>
              <w:top w:val="nil"/>
              <w:left w:val="single" w:sz="4" w:space="0" w:color="auto"/>
              <w:bottom w:val="nil"/>
              <w:right w:val="single" w:sz="4" w:space="0" w:color="auto"/>
            </w:tcBorders>
            <w:shd w:val="clear" w:color="auto" w:fill="auto"/>
            <w:noWrap/>
            <w:vAlign w:val="bottom"/>
          </w:tcPr>
          <w:p w14:paraId="71439936" w14:textId="63D122D1"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Y</w:t>
            </w:r>
          </w:p>
        </w:tc>
        <w:tc>
          <w:tcPr>
            <w:tcW w:w="570" w:type="dxa"/>
            <w:tcBorders>
              <w:top w:val="nil"/>
              <w:left w:val="single" w:sz="4" w:space="0" w:color="auto"/>
              <w:bottom w:val="nil"/>
              <w:right w:val="single" w:sz="4" w:space="0" w:color="auto"/>
            </w:tcBorders>
            <w:shd w:val="clear" w:color="auto" w:fill="auto"/>
            <w:noWrap/>
            <w:vAlign w:val="bottom"/>
          </w:tcPr>
          <w:p w14:paraId="49598EFF" w14:textId="6931A1F0"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N</w:t>
            </w:r>
          </w:p>
        </w:tc>
        <w:tc>
          <w:tcPr>
            <w:tcW w:w="1403" w:type="dxa"/>
            <w:tcBorders>
              <w:top w:val="nil"/>
              <w:left w:val="nil"/>
              <w:bottom w:val="nil"/>
              <w:right w:val="single" w:sz="4" w:space="0" w:color="auto"/>
            </w:tcBorders>
            <w:shd w:val="clear" w:color="auto" w:fill="auto"/>
            <w:noWrap/>
            <w:vAlign w:val="bottom"/>
          </w:tcPr>
          <w:p w14:paraId="0BCFB983" w14:textId="527D184D" w:rsidR="00B10250" w:rsidRPr="00F915B2" w:rsidRDefault="00B10250" w:rsidP="00B10250">
            <w:pPr>
              <w:spacing w:before="120" w:after="0"/>
              <w:rPr>
                <w:rFonts w:eastAsia="Times New Roman" w:cs="Tahoma"/>
                <w:sz w:val="14"/>
                <w:szCs w:val="14"/>
                <w:lang w:eastAsia="en-GB"/>
              </w:rPr>
            </w:pPr>
            <w:r w:rsidRPr="00F915B2">
              <w:rPr>
                <w:rFonts w:cs="Tahoma"/>
                <w:color w:val="000000"/>
                <w:sz w:val="14"/>
                <w:szCs w:val="14"/>
              </w:rPr>
              <w:t>EU</w:t>
            </w:r>
            <w:r w:rsidR="00A405A0">
              <w:rPr>
                <w:rFonts w:cs="Tahoma"/>
                <w:color w:val="000000"/>
                <w:sz w:val="14"/>
                <w:szCs w:val="14"/>
              </w:rPr>
              <w:t>-</w:t>
            </w:r>
            <w:r w:rsidRPr="00F915B2">
              <w:rPr>
                <w:rFonts w:cs="Tahoma"/>
                <w:color w:val="000000"/>
                <w:sz w:val="14"/>
                <w:szCs w:val="14"/>
              </w:rPr>
              <w:t>2018</w:t>
            </w:r>
          </w:p>
        </w:tc>
      </w:tr>
      <w:tr w:rsidR="00D70C92" w:rsidRPr="00987D7F" w14:paraId="0A2232AD" w14:textId="77777777" w:rsidTr="006A6458">
        <w:trPr>
          <w:trHeight w:val="235"/>
        </w:trPr>
        <w:tc>
          <w:tcPr>
            <w:tcW w:w="1483" w:type="dxa"/>
            <w:tcBorders>
              <w:top w:val="nil"/>
              <w:left w:val="single" w:sz="4" w:space="0" w:color="auto"/>
              <w:bottom w:val="nil"/>
              <w:right w:val="single" w:sz="4" w:space="0" w:color="auto"/>
            </w:tcBorders>
            <w:shd w:val="clear" w:color="auto" w:fill="D9D9D9" w:themeFill="background1" w:themeFillShade="D9"/>
            <w:noWrap/>
            <w:vAlign w:val="bottom"/>
          </w:tcPr>
          <w:p w14:paraId="0B60B743" w14:textId="44D8BDDB"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Romania</w:t>
            </w:r>
          </w:p>
        </w:tc>
        <w:tc>
          <w:tcPr>
            <w:tcW w:w="2588" w:type="dxa"/>
            <w:tcBorders>
              <w:top w:val="nil"/>
              <w:left w:val="nil"/>
              <w:bottom w:val="nil"/>
              <w:right w:val="single" w:sz="4" w:space="0" w:color="auto"/>
            </w:tcBorders>
            <w:shd w:val="clear" w:color="auto" w:fill="D9D9D9" w:themeFill="background1" w:themeFillShade="D9"/>
            <w:noWrap/>
            <w:vAlign w:val="bottom"/>
          </w:tcPr>
          <w:p w14:paraId="18632A95" w14:textId="49F85406"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RO-</w:t>
            </w:r>
            <w:proofErr w:type="spellStart"/>
            <w:r w:rsidRPr="00F915B2">
              <w:rPr>
                <w:rFonts w:eastAsia="Times New Roman" w:cs="Tahoma"/>
                <w:sz w:val="14"/>
                <w:szCs w:val="14"/>
                <w:lang w:eastAsia="en-GB"/>
              </w:rPr>
              <w:t>RNSSy</w:t>
            </w:r>
            <w:proofErr w:type="spellEnd"/>
          </w:p>
        </w:tc>
        <w:tc>
          <w:tcPr>
            <w:tcW w:w="807" w:type="dxa"/>
            <w:tcBorders>
              <w:top w:val="nil"/>
              <w:left w:val="nil"/>
              <w:bottom w:val="nil"/>
              <w:right w:val="single" w:sz="4" w:space="0" w:color="auto"/>
            </w:tcBorders>
            <w:shd w:val="clear" w:color="auto" w:fill="D9D9D9" w:themeFill="background1" w:themeFillShade="D9"/>
            <w:noWrap/>
            <w:vAlign w:val="bottom"/>
          </w:tcPr>
          <w:p w14:paraId="2F65542C" w14:textId="56BC4AD6"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D9D9D9" w:themeFill="background1" w:themeFillShade="D9"/>
            <w:noWrap/>
            <w:vAlign w:val="bottom"/>
          </w:tcPr>
          <w:p w14:paraId="5D5ADEBE" w14:textId="108FD9B9"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D9D9D9" w:themeFill="background1" w:themeFillShade="D9"/>
            <w:noWrap/>
            <w:vAlign w:val="bottom"/>
          </w:tcPr>
          <w:p w14:paraId="02201929" w14:textId="79A049D9" w:rsidR="00B10250"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D9D9D9" w:themeFill="background1" w:themeFillShade="D9"/>
            <w:noWrap/>
            <w:vAlign w:val="bottom"/>
          </w:tcPr>
          <w:p w14:paraId="2471F038" w14:textId="153DFA27"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vAlign w:val="bottom"/>
          </w:tcPr>
          <w:p w14:paraId="42196246" w14:textId="05B26870"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D9D9D9" w:themeFill="background1" w:themeFillShade="D9"/>
            <w:noWrap/>
            <w:vAlign w:val="bottom"/>
          </w:tcPr>
          <w:p w14:paraId="62DBDE4F" w14:textId="285D41FE"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D9D9D9" w:themeFill="background1" w:themeFillShade="D9"/>
            <w:noWrap/>
            <w:vAlign w:val="bottom"/>
          </w:tcPr>
          <w:p w14:paraId="27EC7676" w14:textId="1CB974AF"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tcPr>
          <w:p w14:paraId="358946B6" w14:textId="11BE1506"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D9D9D9" w:themeFill="background1" w:themeFillShade="D9"/>
            <w:noWrap/>
            <w:vAlign w:val="bottom"/>
          </w:tcPr>
          <w:p w14:paraId="6E6A96A5" w14:textId="44394A8A"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EU-2012</w:t>
            </w:r>
          </w:p>
        </w:tc>
      </w:tr>
      <w:tr w:rsidR="00B10250" w:rsidRPr="00987D7F" w14:paraId="1D278355"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6AA964E4" w14:textId="04B9539B"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Serbia</w:t>
            </w:r>
          </w:p>
        </w:tc>
        <w:tc>
          <w:tcPr>
            <w:tcW w:w="2588" w:type="dxa"/>
            <w:tcBorders>
              <w:top w:val="nil"/>
              <w:left w:val="nil"/>
              <w:bottom w:val="nil"/>
              <w:right w:val="single" w:sz="4" w:space="0" w:color="auto"/>
            </w:tcBorders>
            <w:shd w:val="clear" w:color="auto" w:fill="auto"/>
            <w:noWrap/>
            <w:vAlign w:val="bottom"/>
            <w:hideMark/>
          </w:tcPr>
          <w:p w14:paraId="7F905F7B" w14:textId="3FD92415"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RS-IPHS-pilot</w:t>
            </w:r>
          </w:p>
        </w:tc>
        <w:tc>
          <w:tcPr>
            <w:tcW w:w="807" w:type="dxa"/>
            <w:tcBorders>
              <w:top w:val="nil"/>
              <w:left w:val="nil"/>
              <w:bottom w:val="nil"/>
              <w:right w:val="single" w:sz="4" w:space="0" w:color="auto"/>
            </w:tcBorders>
            <w:shd w:val="clear" w:color="auto" w:fill="auto"/>
            <w:noWrap/>
            <w:vAlign w:val="bottom"/>
            <w:hideMark/>
          </w:tcPr>
          <w:p w14:paraId="60ABFE06" w14:textId="1B896366"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Cp</w:t>
            </w:r>
          </w:p>
        </w:tc>
        <w:tc>
          <w:tcPr>
            <w:tcW w:w="570" w:type="dxa"/>
            <w:tcBorders>
              <w:top w:val="nil"/>
              <w:left w:val="nil"/>
              <w:bottom w:val="nil"/>
              <w:right w:val="single" w:sz="4" w:space="0" w:color="auto"/>
            </w:tcBorders>
            <w:shd w:val="clear" w:color="auto" w:fill="auto"/>
            <w:noWrap/>
            <w:vAlign w:val="bottom"/>
            <w:hideMark/>
          </w:tcPr>
          <w:p w14:paraId="413D0E43" w14:textId="08DCB539"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Co</w:t>
            </w:r>
          </w:p>
        </w:tc>
        <w:tc>
          <w:tcPr>
            <w:tcW w:w="570" w:type="dxa"/>
            <w:tcBorders>
              <w:top w:val="nil"/>
              <w:left w:val="nil"/>
              <w:bottom w:val="nil"/>
              <w:right w:val="single" w:sz="4" w:space="0" w:color="auto"/>
            </w:tcBorders>
            <w:shd w:val="clear" w:color="auto" w:fill="auto"/>
            <w:noWrap/>
            <w:vAlign w:val="bottom"/>
            <w:hideMark/>
          </w:tcPr>
          <w:p w14:paraId="5E58F143" w14:textId="0D0F928D"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P</w:t>
            </w:r>
          </w:p>
        </w:tc>
        <w:tc>
          <w:tcPr>
            <w:tcW w:w="570" w:type="dxa"/>
            <w:tcBorders>
              <w:top w:val="nil"/>
              <w:left w:val="nil"/>
              <w:bottom w:val="nil"/>
              <w:right w:val="single" w:sz="4" w:space="0" w:color="auto"/>
            </w:tcBorders>
            <w:shd w:val="clear" w:color="auto" w:fill="auto"/>
            <w:noWrap/>
            <w:vAlign w:val="bottom"/>
            <w:hideMark/>
          </w:tcPr>
          <w:p w14:paraId="152C77C7" w14:textId="29144477"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A</w:t>
            </w:r>
          </w:p>
        </w:tc>
        <w:tc>
          <w:tcPr>
            <w:tcW w:w="570" w:type="dxa"/>
            <w:tcBorders>
              <w:top w:val="nil"/>
              <w:left w:val="nil"/>
              <w:bottom w:val="nil"/>
              <w:right w:val="single" w:sz="4" w:space="0" w:color="auto"/>
            </w:tcBorders>
            <w:shd w:val="clear" w:color="auto" w:fill="auto"/>
            <w:noWrap/>
            <w:vAlign w:val="bottom"/>
            <w:hideMark/>
          </w:tcPr>
          <w:p w14:paraId="65FBB800" w14:textId="73FDC5C9"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Y</w:t>
            </w:r>
          </w:p>
        </w:tc>
        <w:tc>
          <w:tcPr>
            <w:tcW w:w="570" w:type="dxa"/>
            <w:tcBorders>
              <w:top w:val="nil"/>
              <w:left w:val="nil"/>
              <w:bottom w:val="nil"/>
              <w:right w:val="single" w:sz="4" w:space="0" w:color="auto"/>
            </w:tcBorders>
            <w:shd w:val="clear" w:color="auto" w:fill="auto"/>
            <w:noWrap/>
            <w:vAlign w:val="bottom"/>
            <w:hideMark/>
          </w:tcPr>
          <w:p w14:paraId="04CEC660" w14:textId="4587D952"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Y</w:t>
            </w:r>
          </w:p>
        </w:tc>
        <w:tc>
          <w:tcPr>
            <w:tcW w:w="570" w:type="dxa"/>
            <w:tcBorders>
              <w:top w:val="nil"/>
              <w:left w:val="nil"/>
              <w:bottom w:val="nil"/>
              <w:right w:val="single" w:sz="4" w:space="0" w:color="auto"/>
            </w:tcBorders>
            <w:shd w:val="clear" w:color="auto" w:fill="auto"/>
            <w:noWrap/>
            <w:vAlign w:val="bottom"/>
            <w:hideMark/>
          </w:tcPr>
          <w:p w14:paraId="0B9CF358" w14:textId="78D86456"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Y</w:t>
            </w:r>
          </w:p>
        </w:tc>
        <w:tc>
          <w:tcPr>
            <w:tcW w:w="570" w:type="dxa"/>
            <w:tcBorders>
              <w:top w:val="nil"/>
              <w:left w:val="nil"/>
              <w:bottom w:val="nil"/>
              <w:right w:val="single" w:sz="4" w:space="0" w:color="auto"/>
            </w:tcBorders>
            <w:shd w:val="clear" w:color="auto" w:fill="auto"/>
            <w:noWrap/>
            <w:vAlign w:val="bottom"/>
            <w:hideMark/>
          </w:tcPr>
          <w:p w14:paraId="1F303FBA" w14:textId="0BD4F806"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 .</w:t>
            </w:r>
          </w:p>
        </w:tc>
        <w:tc>
          <w:tcPr>
            <w:tcW w:w="1403" w:type="dxa"/>
            <w:tcBorders>
              <w:top w:val="nil"/>
              <w:left w:val="nil"/>
              <w:bottom w:val="nil"/>
              <w:right w:val="single" w:sz="4" w:space="0" w:color="auto"/>
            </w:tcBorders>
            <w:shd w:val="clear" w:color="auto" w:fill="auto"/>
            <w:noWrap/>
            <w:vAlign w:val="bottom"/>
            <w:hideMark/>
          </w:tcPr>
          <w:p w14:paraId="1909845C" w14:textId="31570B90" w:rsidR="00B10250" w:rsidRPr="00F915B2" w:rsidRDefault="00B10250" w:rsidP="00E97F20">
            <w:pPr>
              <w:spacing w:before="120" w:after="0"/>
              <w:rPr>
                <w:rFonts w:eastAsia="Times New Roman" w:cs="Tahoma"/>
                <w:sz w:val="14"/>
                <w:szCs w:val="14"/>
                <w:lang w:eastAsia="en-GB"/>
              </w:rPr>
            </w:pPr>
            <w:r w:rsidRPr="00F915B2">
              <w:rPr>
                <w:rFonts w:cs="Tahoma"/>
                <w:color w:val="000000"/>
                <w:sz w:val="14"/>
                <w:szCs w:val="14"/>
              </w:rPr>
              <w:t>EU</w:t>
            </w:r>
            <w:r w:rsidR="00A405A0">
              <w:rPr>
                <w:rFonts w:cs="Tahoma"/>
                <w:color w:val="000000"/>
                <w:sz w:val="14"/>
                <w:szCs w:val="14"/>
              </w:rPr>
              <w:t>-</w:t>
            </w:r>
            <w:r w:rsidRPr="00F915B2">
              <w:rPr>
                <w:rFonts w:cs="Tahoma"/>
                <w:color w:val="000000"/>
                <w:sz w:val="14"/>
                <w:szCs w:val="14"/>
              </w:rPr>
              <w:t>2018</w:t>
            </w:r>
          </w:p>
        </w:tc>
      </w:tr>
      <w:tr w:rsidR="00D70C92" w:rsidRPr="00987D7F" w14:paraId="3363AB8B" w14:textId="77777777" w:rsidTr="006A6458">
        <w:trPr>
          <w:trHeight w:val="235"/>
        </w:trPr>
        <w:tc>
          <w:tcPr>
            <w:tcW w:w="1483" w:type="dxa"/>
            <w:tcBorders>
              <w:top w:val="nil"/>
              <w:left w:val="single" w:sz="4" w:space="0" w:color="auto"/>
              <w:bottom w:val="nil"/>
              <w:right w:val="single" w:sz="4" w:space="0" w:color="auto"/>
            </w:tcBorders>
            <w:shd w:val="clear" w:color="auto" w:fill="D9D9D9" w:themeFill="background1" w:themeFillShade="D9"/>
            <w:noWrap/>
            <w:vAlign w:val="bottom"/>
          </w:tcPr>
          <w:p w14:paraId="0CF218B0" w14:textId="780955E4"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Slovakia</w:t>
            </w:r>
          </w:p>
        </w:tc>
        <w:tc>
          <w:tcPr>
            <w:tcW w:w="2588" w:type="dxa"/>
            <w:tcBorders>
              <w:top w:val="nil"/>
              <w:left w:val="single" w:sz="4" w:space="0" w:color="auto"/>
              <w:bottom w:val="nil"/>
              <w:right w:val="single" w:sz="4" w:space="0" w:color="auto"/>
            </w:tcBorders>
            <w:shd w:val="clear" w:color="auto" w:fill="D9D9D9" w:themeFill="background1" w:themeFillShade="D9"/>
            <w:noWrap/>
            <w:vAlign w:val="bottom"/>
          </w:tcPr>
          <w:p w14:paraId="3EA9CC03" w14:textId="05DEAC51"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SK-EPIS</w:t>
            </w:r>
          </w:p>
        </w:tc>
        <w:tc>
          <w:tcPr>
            <w:tcW w:w="807" w:type="dxa"/>
            <w:tcBorders>
              <w:top w:val="nil"/>
              <w:left w:val="single" w:sz="4" w:space="0" w:color="auto"/>
              <w:bottom w:val="nil"/>
              <w:right w:val="single" w:sz="4" w:space="0" w:color="auto"/>
            </w:tcBorders>
            <w:shd w:val="clear" w:color="auto" w:fill="D9D9D9" w:themeFill="background1" w:themeFillShade="D9"/>
            <w:noWrap/>
            <w:vAlign w:val="bottom"/>
          </w:tcPr>
          <w:p w14:paraId="13047226" w14:textId="7537F734"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tcPr>
          <w:p w14:paraId="2C9BD43A" w14:textId="28AD93AE"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tcPr>
          <w:p w14:paraId="7129864A" w14:textId="00365F29"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A</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tcPr>
          <w:p w14:paraId="6111C130" w14:textId="6C3BE42B"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tcPr>
          <w:p w14:paraId="012D3578" w14:textId="1D8E38C1"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tcPr>
          <w:p w14:paraId="3E68E6B4" w14:textId="23B5C3D4"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tcPr>
          <w:p w14:paraId="59676460" w14:textId="512268A0"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tcPr>
          <w:p w14:paraId="6E82AC23" w14:textId="255EF9FC"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1403" w:type="dxa"/>
            <w:tcBorders>
              <w:top w:val="nil"/>
              <w:left w:val="nil"/>
              <w:bottom w:val="nil"/>
              <w:right w:val="single" w:sz="4" w:space="0" w:color="auto"/>
            </w:tcBorders>
            <w:shd w:val="clear" w:color="auto" w:fill="D9D9D9" w:themeFill="background1" w:themeFillShade="D9"/>
            <w:noWrap/>
            <w:vAlign w:val="bottom"/>
          </w:tcPr>
          <w:p w14:paraId="26129ED2" w14:textId="3AC901EF"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EU-201</w:t>
            </w:r>
            <w:r>
              <w:rPr>
                <w:rFonts w:eastAsia="Times New Roman" w:cs="Tahoma"/>
                <w:sz w:val="14"/>
                <w:szCs w:val="14"/>
                <w:lang w:eastAsia="en-GB"/>
              </w:rPr>
              <w:t>8</w:t>
            </w:r>
          </w:p>
        </w:tc>
      </w:tr>
      <w:tr w:rsidR="00B10250" w:rsidRPr="00987D7F" w14:paraId="49ABC1F7" w14:textId="77777777" w:rsidTr="006A6458">
        <w:trPr>
          <w:trHeight w:val="235"/>
        </w:trPr>
        <w:tc>
          <w:tcPr>
            <w:tcW w:w="1483" w:type="dxa"/>
            <w:tcBorders>
              <w:top w:val="nil"/>
              <w:left w:val="single" w:sz="4" w:space="0" w:color="auto"/>
              <w:bottom w:val="nil"/>
              <w:right w:val="single" w:sz="4" w:space="0" w:color="auto"/>
            </w:tcBorders>
            <w:shd w:val="clear" w:color="auto" w:fill="auto"/>
            <w:noWrap/>
            <w:vAlign w:val="bottom"/>
            <w:hideMark/>
          </w:tcPr>
          <w:p w14:paraId="0FE6196A" w14:textId="7EE175FB"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Slovenia</w:t>
            </w:r>
          </w:p>
        </w:tc>
        <w:tc>
          <w:tcPr>
            <w:tcW w:w="2588" w:type="dxa"/>
            <w:tcBorders>
              <w:top w:val="nil"/>
              <w:left w:val="nil"/>
              <w:bottom w:val="nil"/>
              <w:right w:val="single" w:sz="4" w:space="0" w:color="auto"/>
            </w:tcBorders>
            <w:shd w:val="clear" w:color="auto" w:fill="auto"/>
            <w:noWrap/>
            <w:vAlign w:val="bottom"/>
            <w:hideMark/>
          </w:tcPr>
          <w:p w14:paraId="0969C091" w14:textId="5E57C085"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SI-SURVIVAL</w:t>
            </w:r>
          </w:p>
        </w:tc>
        <w:tc>
          <w:tcPr>
            <w:tcW w:w="807" w:type="dxa"/>
            <w:tcBorders>
              <w:top w:val="nil"/>
              <w:left w:val="nil"/>
              <w:bottom w:val="nil"/>
              <w:right w:val="single" w:sz="4" w:space="0" w:color="auto"/>
            </w:tcBorders>
            <w:shd w:val="clear" w:color="auto" w:fill="auto"/>
            <w:noWrap/>
            <w:vAlign w:val="bottom"/>
            <w:hideMark/>
          </w:tcPr>
          <w:p w14:paraId="390D31F9" w14:textId="708A8A1B"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4A42F93E" w14:textId="0E8A4AA3"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660ACEC" w14:textId="338BB29F"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5D694B4" w14:textId="4F83000B"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413955B" w14:textId="3BAD2056"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E55A758" w14:textId="50AF842E"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70181EF" w14:textId="4AFB0EED"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FE272AF" w14:textId="564375FE"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auto"/>
            <w:noWrap/>
            <w:vAlign w:val="bottom"/>
            <w:hideMark/>
          </w:tcPr>
          <w:p w14:paraId="0D567AA5" w14:textId="6189A7D7"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EU-2008</w:t>
            </w:r>
          </w:p>
        </w:tc>
      </w:tr>
      <w:tr w:rsidR="00D70C92" w:rsidRPr="00987D7F" w14:paraId="3E8EB1A0" w14:textId="77777777" w:rsidTr="006A6458">
        <w:trPr>
          <w:trHeight w:val="235"/>
        </w:trPr>
        <w:tc>
          <w:tcPr>
            <w:tcW w:w="1483" w:type="dxa"/>
            <w:tcBorders>
              <w:top w:val="nil"/>
              <w:left w:val="single" w:sz="4" w:space="0" w:color="auto"/>
              <w:bottom w:val="nil"/>
              <w:right w:val="single" w:sz="4" w:space="0" w:color="auto"/>
            </w:tcBorders>
            <w:shd w:val="clear" w:color="auto" w:fill="D9D9D9" w:themeFill="background1" w:themeFillShade="D9"/>
            <w:noWrap/>
            <w:vAlign w:val="bottom"/>
            <w:hideMark/>
          </w:tcPr>
          <w:p w14:paraId="5D3CF925" w14:textId="7B07CF7A"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Spain</w:t>
            </w:r>
          </w:p>
        </w:tc>
        <w:tc>
          <w:tcPr>
            <w:tcW w:w="2588" w:type="dxa"/>
            <w:tcBorders>
              <w:top w:val="nil"/>
              <w:left w:val="single" w:sz="4" w:space="0" w:color="auto"/>
              <w:bottom w:val="nil"/>
              <w:right w:val="single" w:sz="4" w:space="0" w:color="auto"/>
            </w:tcBorders>
            <w:shd w:val="clear" w:color="auto" w:fill="D9D9D9" w:themeFill="background1" w:themeFillShade="D9"/>
            <w:noWrap/>
            <w:vAlign w:val="bottom"/>
            <w:hideMark/>
          </w:tcPr>
          <w:p w14:paraId="072EE72C" w14:textId="67DD9887"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ES-STATUTORY_DISEASES</w:t>
            </w:r>
          </w:p>
        </w:tc>
        <w:tc>
          <w:tcPr>
            <w:tcW w:w="807" w:type="dxa"/>
            <w:tcBorders>
              <w:top w:val="nil"/>
              <w:left w:val="single" w:sz="4" w:space="0" w:color="auto"/>
              <w:bottom w:val="nil"/>
              <w:right w:val="single" w:sz="4" w:space="0" w:color="auto"/>
            </w:tcBorders>
            <w:shd w:val="clear" w:color="auto" w:fill="D9D9D9" w:themeFill="background1" w:themeFillShade="D9"/>
            <w:noWrap/>
            <w:vAlign w:val="bottom"/>
            <w:hideMark/>
          </w:tcPr>
          <w:p w14:paraId="2D673796" w14:textId="71AF1A1C"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hideMark/>
          </w:tcPr>
          <w:p w14:paraId="6BCC3C99" w14:textId="6AF299F3"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hideMark/>
          </w:tcPr>
          <w:p w14:paraId="153DA1E3" w14:textId="09BCE033"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hideMark/>
          </w:tcPr>
          <w:p w14:paraId="78782EF1" w14:textId="2CDC53A8"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hideMark/>
          </w:tcPr>
          <w:p w14:paraId="35ADDD92" w14:textId="6C20D5F1"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hideMark/>
          </w:tcPr>
          <w:p w14:paraId="6A19F3FE" w14:textId="4FC2B8A0"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hideMark/>
          </w:tcPr>
          <w:p w14:paraId="00B23BD5" w14:textId="189C1489"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D9D9D9" w:themeFill="background1" w:themeFillShade="D9"/>
            <w:noWrap/>
            <w:vAlign w:val="bottom"/>
            <w:hideMark/>
          </w:tcPr>
          <w:p w14:paraId="50AE04B6" w14:textId="5ECA1F17"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nil"/>
              <w:right w:val="single" w:sz="4" w:space="0" w:color="auto"/>
            </w:tcBorders>
            <w:shd w:val="clear" w:color="auto" w:fill="D9D9D9" w:themeFill="background1" w:themeFillShade="D9"/>
            <w:noWrap/>
            <w:vAlign w:val="bottom"/>
            <w:hideMark/>
          </w:tcPr>
          <w:p w14:paraId="3EF7AC02" w14:textId="256999F9"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r w:rsidR="00B10250" w:rsidRPr="00987D7F" w14:paraId="6224D884" w14:textId="77777777" w:rsidTr="006A6458">
        <w:trPr>
          <w:trHeight w:val="23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03412C5B" w14:textId="65EB17A6"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Sweden</w:t>
            </w:r>
          </w:p>
        </w:tc>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764F61BE" w14:textId="538AD4BA"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SE-SMINET</w:t>
            </w:r>
          </w:p>
        </w:tc>
        <w:tc>
          <w:tcPr>
            <w:tcW w:w="807" w:type="dxa"/>
            <w:tcBorders>
              <w:top w:val="nil"/>
              <w:left w:val="single" w:sz="4" w:space="0" w:color="auto"/>
              <w:bottom w:val="single" w:sz="4" w:space="0" w:color="auto"/>
              <w:right w:val="single" w:sz="4" w:space="0" w:color="auto"/>
            </w:tcBorders>
            <w:shd w:val="clear" w:color="auto" w:fill="auto"/>
            <w:noWrap/>
            <w:vAlign w:val="bottom"/>
            <w:hideMark/>
          </w:tcPr>
          <w:p w14:paraId="5E65A930" w14:textId="4A68CE35"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Cp</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7D188E3F" w14:textId="079B5653"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Co</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3215F1BC" w14:textId="7ED37BD5"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P</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0EE7940A" w14:textId="1D6837F3"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C</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6526F5D5" w14:textId="5B66601D"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22B1E10B" w14:textId="78608384"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1D1335B8" w14:textId="52801D64"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05009BB4" w14:textId="175DCA7E"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N</w:t>
            </w:r>
          </w:p>
        </w:tc>
        <w:tc>
          <w:tcPr>
            <w:tcW w:w="1403" w:type="dxa"/>
            <w:tcBorders>
              <w:top w:val="nil"/>
              <w:left w:val="nil"/>
              <w:bottom w:val="single" w:sz="4" w:space="0" w:color="auto"/>
              <w:right w:val="single" w:sz="4" w:space="0" w:color="auto"/>
            </w:tcBorders>
            <w:shd w:val="clear" w:color="auto" w:fill="auto"/>
            <w:noWrap/>
            <w:vAlign w:val="bottom"/>
            <w:hideMark/>
          </w:tcPr>
          <w:p w14:paraId="0362034A" w14:textId="71D50B08" w:rsidR="00B10250" w:rsidRPr="00F915B2" w:rsidRDefault="00B10250" w:rsidP="00E97F20">
            <w:pPr>
              <w:spacing w:before="120" w:after="0"/>
              <w:rPr>
                <w:rFonts w:eastAsia="Times New Roman" w:cs="Tahoma"/>
                <w:sz w:val="14"/>
                <w:szCs w:val="14"/>
                <w:lang w:eastAsia="en-GB"/>
              </w:rPr>
            </w:pPr>
            <w:r w:rsidRPr="00F915B2">
              <w:rPr>
                <w:rFonts w:eastAsia="Times New Roman" w:cs="Tahoma"/>
                <w:sz w:val="14"/>
                <w:szCs w:val="14"/>
                <w:lang w:eastAsia="en-GB"/>
              </w:rPr>
              <w:t>EU-2018</w:t>
            </w:r>
          </w:p>
        </w:tc>
      </w:tr>
    </w:tbl>
    <w:p w14:paraId="65CAF49D" w14:textId="77777777" w:rsidR="00AC0043" w:rsidRDefault="00AC0043" w:rsidP="009F5B73">
      <w:pPr>
        <w:pStyle w:val="EC-Title-5"/>
        <w:outlineLvl w:val="0"/>
        <w:rPr>
          <w:i/>
        </w:rPr>
      </w:pPr>
      <w:bookmarkStart w:id="45" w:name="_Toc437442021"/>
      <w:bookmarkStart w:id="46" w:name="_Toc127531825"/>
      <w:r w:rsidRPr="0051193D">
        <w:lastRenderedPageBreak/>
        <w:t>Leptospirosis</w:t>
      </w:r>
      <w:bookmarkEnd w:id="45"/>
      <w:bookmarkEnd w:id="46"/>
    </w:p>
    <w:p w14:paraId="6A21B9A1" w14:textId="553F891A" w:rsidR="00EE1F3C" w:rsidRPr="00A32FE1" w:rsidRDefault="00CB3144" w:rsidP="00EE1F3C">
      <w:pPr>
        <w:pStyle w:val="EC-Para"/>
        <w:jc w:val="right"/>
        <w:rPr>
          <w:b/>
          <w:lang w:eastAsia="en-US"/>
        </w:rPr>
      </w:pPr>
      <w:r>
        <w:rPr>
          <w:b/>
          <w:lang w:eastAsia="en-US"/>
        </w:rPr>
        <w:t>Last updated: 13 August 2024</w:t>
      </w:r>
    </w:p>
    <w:p w14:paraId="2ADB3E3D" w14:textId="46B52884"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564813DB" w14:textId="77777777" w:rsidR="00AD1FF8" w:rsidRDefault="00AD1FF8" w:rsidP="00AC0043">
      <w:pPr>
        <w:pStyle w:val="EC-Para"/>
        <w:jc w:val="right"/>
        <w:rPr>
          <w:b/>
          <w:lang w:eastAsia="en-US"/>
        </w:rPr>
      </w:pPr>
    </w:p>
    <w:p w14:paraId="2C48355E" w14:textId="650470C9" w:rsidR="00AC0043" w:rsidRPr="00F44E9A" w:rsidRDefault="00AC0043" w:rsidP="00AC0043">
      <w:pPr>
        <w:autoSpaceDE w:val="0"/>
        <w:autoSpaceDN w:val="0"/>
        <w:adjustRightInd w:val="0"/>
        <w:spacing w:after="120"/>
        <w:jc w:val="both"/>
        <w:rPr>
          <w:rFonts w:cs="Tahoma"/>
          <w:szCs w:val="18"/>
        </w:rPr>
      </w:pPr>
      <w:r w:rsidRPr="005237B5">
        <w:rPr>
          <w:rFonts w:cs="Tahoma"/>
          <w:szCs w:val="18"/>
        </w:rPr>
        <w:t>Leptospirosis</w:t>
      </w:r>
      <w:r w:rsidRPr="005237B5">
        <w:rPr>
          <w:rFonts w:cs="Tahoma"/>
          <w:szCs w:val="18"/>
          <w:shd w:val="clear" w:color="auto" w:fill="FFFFFF"/>
        </w:rPr>
        <w:t xml:space="preserve"> is a zoonotic disease caused by </w:t>
      </w:r>
      <w:r w:rsidRPr="00325BB6">
        <w:rPr>
          <w:rFonts w:cs="Tahoma"/>
          <w:szCs w:val="18"/>
          <w:shd w:val="clear" w:color="auto" w:fill="FFFFFF"/>
        </w:rPr>
        <w:t xml:space="preserve">pathogenic spirochetes belonging to the genus </w:t>
      </w:r>
      <w:r w:rsidRPr="00325BB6">
        <w:rPr>
          <w:rFonts w:cs="Tahoma"/>
          <w:i/>
          <w:szCs w:val="18"/>
          <w:shd w:val="clear" w:color="auto" w:fill="FFFFFF"/>
        </w:rPr>
        <w:t>Leptospira</w:t>
      </w:r>
      <w:r w:rsidRPr="005237B5">
        <w:rPr>
          <w:rFonts w:cs="Tahoma"/>
          <w:szCs w:val="18"/>
          <w:shd w:val="clear" w:color="auto" w:fill="FFFFFF"/>
        </w:rPr>
        <w:t>.</w:t>
      </w:r>
      <w:r w:rsidRPr="005237B5">
        <w:rPr>
          <w:rFonts w:cs="Tahoma"/>
          <w:szCs w:val="18"/>
        </w:rPr>
        <w:t xml:space="preserve"> </w:t>
      </w:r>
      <w:r w:rsidRPr="005237B5">
        <w:rPr>
          <w:rFonts w:eastAsiaTheme="minorHAnsi" w:cs="Tahoma"/>
          <w:szCs w:val="18"/>
        </w:rPr>
        <w:t>For a more detailed description of the disease and its epidemiology</w:t>
      </w:r>
      <w:r>
        <w:rPr>
          <w:rFonts w:eastAsiaTheme="minorHAnsi" w:cs="Tahoma"/>
          <w:szCs w:val="18"/>
        </w:rPr>
        <w:t>,</w:t>
      </w:r>
      <w:r w:rsidRPr="005237B5">
        <w:rPr>
          <w:rFonts w:eastAsiaTheme="minorHAnsi" w:cs="Tahoma"/>
          <w:szCs w:val="18"/>
        </w:rPr>
        <w:t xml:space="preserve"> please </w:t>
      </w:r>
      <w:r w:rsidRPr="009D4D86">
        <w:rPr>
          <w:rFonts w:eastAsiaTheme="minorHAnsi" w:cs="Tahoma"/>
          <w:szCs w:val="18"/>
        </w:rPr>
        <w:t>click</w:t>
      </w:r>
      <w:r w:rsidRPr="009D4D86">
        <w:rPr>
          <w:rFonts w:cs="Tahoma"/>
          <w:szCs w:val="18"/>
        </w:rPr>
        <w:t xml:space="preserve"> </w:t>
      </w:r>
      <w:hyperlink r:id="rId45" w:history="1">
        <w:r w:rsidRPr="009D4D86">
          <w:rPr>
            <w:rStyle w:val="Hyperlink"/>
            <w:i/>
            <w:sz w:val="18"/>
            <w:szCs w:val="18"/>
          </w:rPr>
          <w:t>here</w:t>
        </w:r>
      </w:hyperlink>
      <w:r w:rsidRPr="009D4D86">
        <w:rPr>
          <w:rStyle w:val="Hyperlink"/>
          <w:i/>
          <w:sz w:val="18"/>
          <w:szCs w:val="18"/>
        </w:rPr>
        <w:t>.</w:t>
      </w:r>
    </w:p>
    <w:p w14:paraId="69342153" w14:textId="77777777" w:rsidR="00AC0043" w:rsidRDefault="00AC0043" w:rsidP="00AC0043">
      <w:pPr>
        <w:pStyle w:val="EC-Title-6"/>
        <w:outlineLvl w:val="1"/>
        <w:rPr>
          <w:rFonts w:cs="Tahoma"/>
        </w:rPr>
      </w:pPr>
      <w:bookmarkStart w:id="47" w:name="_Toc437442022"/>
      <w:r>
        <w:rPr>
          <w:rFonts w:cs="Tahoma"/>
        </w:rPr>
        <w:t>Data</w:t>
      </w:r>
      <w:bookmarkEnd w:id="47"/>
    </w:p>
    <w:p w14:paraId="0FEF669D" w14:textId="7667AABB" w:rsidR="00AC0043" w:rsidRDefault="00AC0043" w:rsidP="00AC0043">
      <w:pPr>
        <w:pStyle w:val="EC-Para"/>
        <w:jc w:val="both"/>
        <w:rPr>
          <w:rFonts w:cs="Tahoma"/>
        </w:rPr>
      </w:pPr>
      <w:r>
        <w:rPr>
          <w:rFonts w:cs="Tahoma"/>
        </w:rPr>
        <w:t xml:space="preserve">The Surveillance Atlas of Infectious Diseases displays data on leptospirosis reported by the </w:t>
      </w:r>
      <w:r w:rsidR="00E75405">
        <w:rPr>
          <w:rFonts w:cs="Tahoma"/>
        </w:rPr>
        <w:t>EU/EEA countries</w:t>
      </w:r>
      <w:r>
        <w:rPr>
          <w:rFonts w:cs="Tahoma"/>
        </w:rPr>
        <w:t>. C</w:t>
      </w:r>
      <w:r w:rsidRPr="007B34B1">
        <w:rPr>
          <w:rFonts w:cs="Tahoma"/>
        </w:rPr>
        <w:t xml:space="preserve">ases </w:t>
      </w:r>
      <w:r>
        <w:rPr>
          <w:rFonts w:cs="Tahoma"/>
        </w:rPr>
        <w:t>are to</w:t>
      </w:r>
      <w:r w:rsidRPr="007B34B1">
        <w:rPr>
          <w:rFonts w:cs="Tahoma"/>
        </w:rPr>
        <w:t xml:space="preserve"> be reported according to the 201</w:t>
      </w:r>
      <w:r w:rsidR="00F53BCA">
        <w:rPr>
          <w:rFonts w:cs="Tahoma"/>
        </w:rPr>
        <w:t>8</w:t>
      </w:r>
      <w:r w:rsidRPr="007B34B1">
        <w:rPr>
          <w:rFonts w:cs="Tahoma"/>
        </w:rPr>
        <w:t xml:space="preserve"> EU case definition for </w:t>
      </w:r>
      <w:r>
        <w:rPr>
          <w:rFonts w:cs="Tahoma"/>
        </w:rPr>
        <w:t>leptospirosis</w:t>
      </w:r>
      <w:r>
        <w:rPr>
          <w:rStyle w:val="FootnoteReference"/>
          <w:rFonts w:cs="Tahoma"/>
        </w:rPr>
        <w:footnoteReference w:id="22"/>
      </w:r>
      <w:r>
        <w:rPr>
          <w:rFonts w:cs="Tahoma"/>
        </w:rPr>
        <w:t>:</w:t>
      </w:r>
    </w:p>
    <w:p w14:paraId="6E40595E" w14:textId="77777777" w:rsidR="00AC0043" w:rsidRDefault="00AC0043" w:rsidP="00AC0043">
      <w:pPr>
        <w:autoSpaceDE w:val="0"/>
        <w:autoSpaceDN w:val="0"/>
        <w:adjustRightInd w:val="0"/>
        <w:spacing w:before="60" w:after="60"/>
        <w:rPr>
          <w:rFonts w:eastAsiaTheme="minorHAnsi" w:cs="Tahoma"/>
          <w:b/>
          <w:bCs/>
          <w:color w:val="000000"/>
          <w:szCs w:val="18"/>
        </w:rPr>
      </w:pPr>
    </w:p>
    <w:p w14:paraId="35B15E2A" w14:textId="77777777" w:rsidR="00AC0043" w:rsidRDefault="00AC0043" w:rsidP="00AC0043">
      <w:pPr>
        <w:autoSpaceDE w:val="0"/>
        <w:autoSpaceDN w:val="0"/>
        <w:adjustRightInd w:val="0"/>
        <w:spacing w:before="60" w:after="60"/>
        <w:rPr>
          <w:rFonts w:eastAsiaTheme="minorHAnsi" w:cs="Tahoma"/>
          <w:color w:val="000000"/>
          <w:szCs w:val="18"/>
        </w:rPr>
      </w:pPr>
      <w:r>
        <w:rPr>
          <w:rFonts w:eastAsiaTheme="minorHAnsi" w:cs="Tahoma"/>
          <w:b/>
          <w:bCs/>
          <w:color w:val="000000"/>
          <w:szCs w:val="18"/>
        </w:rPr>
        <w:t xml:space="preserve">Clinical criteria </w:t>
      </w:r>
    </w:p>
    <w:p w14:paraId="70764433"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Any person with </w:t>
      </w:r>
    </w:p>
    <w:p w14:paraId="04235BA8"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w:t>
      </w:r>
      <w:proofErr w:type="gramStart"/>
      <w:r w:rsidRPr="00453542">
        <w:rPr>
          <w:rFonts w:eastAsiaTheme="minorHAnsi" w:cs="Tahoma"/>
          <w:color w:val="000000"/>
          <w:szCs w:val="18"/>
        </w:rPr>
        <w:t>Fever;</w:t>
      </w:r>
      <w:proofErr w:type="gramEnd"/>
      <w:r w:rsidRPr="00453542">
        <w:rPr>
          <w:rFonts w:eastAsiaTheme="minorHAnsi" w:cs="Tahoma"/>
          <w:color w:val="000000"/>
          <w:szCs w:val="18"/>
        </w:rPr>
        <w:t xml:space="preserve"> </w:t>
      </w:r>
    </w:p>
    <w:p w14:paraId="5B7FEAB6" w14:textId="77777777" w:rsidR="00AC0043" w:rsidRPr="00453542" w:rsidRDefault="00AC0043" w:rsidP="00AC0043">
      <w:pPr>
        <w:tabs>
          <w:tab w:val="left" w:pos="737"/>
        </w:tabs>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OR at least two of the following eleven: </w:t>
      </w:r>
    </w:p>
    <w:p w14:paraId="555C282D"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w:t>
      </w:r>
      <w:proofErr w:type="gramStart"/>
      <w:r w:rsidRPr="00453542">
        <w:rPr>
          <w:rFonts w:eastAsiaTheme="minorHAnsi" w:cs="Tahoma"/>
          <w:color w:val="000000"/>
          <w:szCs w:val="18"/>
        </w:rPr>
        <w:t>Chills;</w:t>
      </w:r>
      <w:proofErr w:type="gramEnd"/>
      <w:r w:rsidRPr="00453542">
        <w:rPr>
          <w:rFonts w:eastAsiaTheme="minorHAnsi" w:cs="Tahoma"/>
          <w:color w:val="000000"/>
          <w:szCs w:val="18"/>
        </w:rPr>
        <w:t xml:space="preserve"> </w:t>
      </w:r>
    </w:p>
    <w:p w14:paraId="4B7E1AF1"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w:t>
      </w:r>
      <w:proofErr w:type="gramStart"/>
      <w:r w:rsidRPr="00453542">
        <w:rPr>
          <w:rFonts w:eastAsiaTheme="minorHAnsi" w:cs="Tahoma"/>
          <w:color w:val="000000"/>
          <w:szCs w:val="18"/>
        </w:rPr>
        <w:t>Headache;</w:t>
      </w:r>
      <w:proofErr w:type="gramEnd"/>
      <w:r w:rsidRPr="00453542">
        <w:rPr>
          <w:rFonts w:eastAsiaTheme="minorHAnsi" w:cs="Tahoma"/>
          <w:color w:val="000000"/>
          <w:szCs w:val="18"/>
        </w:rPr>
        <w:t xml:space="preserve"> </w:t>
      </w:r>
    </w:p>
    <w:p w14:paraId="3FDC6C2A"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w:t>
      </w:r>
      <w:proofErr w:type="gramStart"/>
      <w:r w:rsidRPr="00453542">
        <w:rPr>
          <w:rFonts w:eastAsiaTheme="minorHAnsi" w:cs="Tahoma"/>
          <w:color w:val="000000"/>
          <w:szCs w:val="18"/>
        </w:rPr>
        <w:t>Myalgia;</w:t>
      </w:r>
      <w:proofErr w:type="gramEnd"/>
      <w:r w:rsidRPr="00453542">
        <w:rPr>
          <w:rFonts w:eastAsiaTheme="minorHAnsi" w:cs="Tahoma"/>
          <w:color w:val="000000"/>
          <w:szCs w:val="18"/>
        </w:rPr>
        <w:t xml:space="preserve"> </w:t>
      </w:r>
    </w:p>
    <w:p w14:paraId="062E4E38"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Conjunctival </w:t>
      </w:r>
      <w:proofErr w:type="gramStart"/>
      <w:r w:rsidRPr="00453542">
        <w:rPr>
          <w:rFonts w:eastAsiaTheme="minorHAnsi" w:cs="Tahoma"/>
          <w:color w:val="000000"/>
          <w:szCs w:val="18"/>
        </w:rPr>
        <w:t>suffusion;</w:t>
      </w:r>
      <w:proofErr w:type="gramEnd"/>
      <w:r w:rsidRPr="00453542">
        <w:rPr>
          <w:rFonts w:eastAsiaTheme="minorHAnsi" w:cs="Tahoma"/>
          <w:color w:val="000000"/>
          <w:szCs w:val="18"/>
        </w:rPr>
        <w:t xml:space="preserve"> </w:t>
      </w:r>
    </w:p>
    <w:p w14:paraId="397B6E58"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Haemorrhages into skin and mucous </w:t>
      </w:r>
      <w:proofErr w:type="gramStart"/>
      <w:r w:rsidRPr="00453542">
        <w:rPr>
          <w:rFonts w:eastAsiaTheme="minorHAnsi" w:cs="Tahoma"/>
          <w:color w:val="000000"/>
          <w:szCs w:val="18"/>
        </w:rPr>
        <w:t>membranes;</w:t>
      </w:r>
      <w:proofErr w:type="gramEnd"/>
      <w:r w:rsidRPr="00453542">
        <w:rPr>
          <w:rFonts w:eastAsiaTheme="minorHAnsi" w:cs="Tahoma"/>
          <w:color w:val="000000"/>
          <w:szCs w:val="18"/>
        </w:rPr>
        <w:t xml:space="preserve"> </w:t>
      </w:r>
    </w:p>
    <w:p w14:paraId="4F45020E"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w:t>
      </w:r>
      <w:proofErr w:type="gramStart"/>
      <w:r w:rsidRPr="00453542">
        <w:rPr>
          <w:rFonts w:eastAsiaTheme="minorHAnsi" w:cs="Tahoma"/>
          <w:color w:val="000000"/>
          <w:szCs w:val="18"/>
        </w:rPr>
        <w:t>Rash;</w:t>
      </w:r>
      <w:proofErr w:type="gramEnd"/>
      <w:r w:rsidRPr="00453542">
        <w:rPr>
          <w:rFonts w:eastAsiaTheme="minorHAnsi" w:cs="Tahoma"/>
          <w:color w:val="000000"/>
          <w:szCs w:val="18"/>
        </w:rPr>
        <w:t xml:space="preserve"> </w:t>
      </w:r>
    </w:p>
    <w:p w14:paraId="256CB5FE"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w:t>
      </w:r>
      <w:proofErr w:type="gramStart"/>
      <w:r w:rsidRPr="00453542">
        <w:rPr>
          <w:rFonts w:eastAsiaTheme="minorHAnsi" w:cs="Tahoma"/>
          <w:color w:val="000000"/>
          <w:szCs w:val="18"/>
        </w:rPr>
        <w:t>Jaundice;</w:t>
      </w:r>
      <w:proofErr w:type="gramEnd"/>
      <w:r w:rsidRPr="00453542">
        <w:rPr>
          <w:rFonts w:eastAsiaTheme="minorHAnsi" w:cs="Tahoma"/>
          <w:color w:val="000000"/>
          <w:szCs w:val="18"/>
        </w:rPr>
        <w:t xml:space="preserve"> </w:t>
      </w:r>
    </w:p>
    <w:p w14:paraId="568EA21F"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w:t>
      </w:r>
      <w:proofErr w:type="gramStart"/>
      <w:r w:rsidRPr="00453542">
        <w:rPr>
          <w:rFonts w:eastAsiaTheme="minorHAnsi" w:cs="Tahoma"/>
          <w:color w:val="000000"/>
          <w:szCs w:val="18"/>
        </w:rPr>
        <w:t>Myocarditis;</w:t>
      </w:r>
      <w:proofErr w:type="gramEnd"/>
      <w:r w:rsidRPr="00453542">
        <w:rPr>
          <w:rFonts w:eastAsiaTheme="minorHAnsi" w:cs="Tahoma"/>
          <w:color w:val="000000"/>
          <w:szCs w:val="18"/>
        </w:rPr>
        <w:t xml:space="preserve"> </w:t>
      </w:r>
    </w:p>
    <w:p w14:paraId="38EE58BA"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w:t>
      </w:r>
      <w:proofErr w:type="gramStart"/>
      <w:r w:rsidRPr="00453542">
        <w:rPr>
          <w:rFonts w:eastAsiaTheme="minorHAnsi" w:cs="Tahoma"/>
          <w:color w:val="000000"/>
          <w:szCs w:val="18"/>
        </w:rPr>
        <w:t>Meningitis;</w:t>
      </w:r>
      <w:proofErr w:type="gramEnd"/>
      <w:r w:rsidRPr="00453542">
        <w:rPr>
          <w:rFonts w:eastAsiaTheme="minorHAnsi" w:cs="Tahoma"/>
          <w:color w:val="000000"/>
          <w:szCs w:val="18"/>
        </w:rPr>
        <w:t xml:space="preserve"> </w:t>
      </w:r>
    </w:p>
    <w:p w14:paraId="2ACEACC4"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Renal </w:t>
      </w:r>
      <w:proofErr w:type="gramStart"/>
      <w:r w:rsidRPr="00453542">
        <w:rPr>
          <w:rFonts w:eastAsiaTheme="minorHAnsi" w:cs="Tahoma"/>
          <w:color w:val="000000"/>
          <w:szCs w:val="18"/>
        </w:rPr>
        <w:t>impairment;</w:t>
      </w:r>
      <w:proofErr w:type="gramEnd"/>
      <w:r w:rsidRPr="00453542">
        <w:rPr>
          <w:rFonts w:eastAsiaTheme="minorHAnsi" w:cs="Tahoma"/>
          <w:color w:val="000000"/>
          <w:szCs w:val="18"/>
        </w:rPr>
        <w:t xml:space="preserve"> </w:t>
      </w:r>
    </w:p>
    <w:p w14:paraId="55C6A2D5"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Respiratory symptoms such as haemoptysis. </w:t>
      </w:r>
    </w:p>
    <w:p w14:paraId="4061B818"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b/>
          <w:bCs/>
          <w:color w:val="000000"/>
          <w:szCs w:val="18"/>
        </w:rPr>
        <w:t xml:space="preserve">Laboratory </w:t>
      </w:r>
      <w:r>
        <w:rPr>
          <w:rFonts w:eastAsiaTheme="minorHAnsi" w:cs="Tahoma"/>
          <w:b/>
          <w:bCs/>
          <w:color w:val="000000"/>
          <w:szCs w:val="18"/>
        </w:rPr>
        <w:t>c</w:t>
      </w:r>
      <w:r w:rsidRPr="00453542">
        <w:rPr>
          <w:rFonts w:eastAsiaTheme="minorHAnsi" w:cs="Tahoma"/>
          <w:b/>
          <w:bCs/>
          <w:color w:val="000000"/>
          <w:szCs w:val="18"/>
        </w:rPr>
        <w:t xml:space="preserve">riteria </w:t>
      </w:r>
    </w:p>
    <w:p w14:paraId="7FE04E13"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At least one of the following four: </w:t>
      </w:r>
    </w:p>
    <w:p w14:paraId="5B203B8B"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Isolation of </w:t>
      </w:r>
      <w:r w:rsidRPr="00453542">
        <w:rPr>
          <w:rFonts w:eastAsiaTheme="minorHAnsi" w:cs="Tahoma"/>
          <w:i/>
          <w:iCs/>
          <w:color w:val="000000"/>
          <w:szCs w:val="18"/>
        </w:rPr>
        <w:t xml:space="preserve">Leptospira </w:t>
      </w:r>
      <w:proofErr w:type="spellStart"/>
      <w:r w:rsidRPr="00453542">
        <w:rPr>
          <w:rFonts w:eastAsiaTheme="minorHAnsi" w:cs="Tahoma"/>
          <w:i/>
          <w:iCs/>
          <w:color w:val="000000"/>
          <w:szCs w:val="18"/>
        </w:rPr>
        <w:t>interrogans</w:t>
      </w:r>
      <w:proofErr w:type="spellEnd"/>
      <w:r w:rsidRPr="00453542">
        <w:rPr>
          <w:rFonts w:eastAsiaTheme="minorHAnsi" w:cs="Tahoma"/>
          <w:i/>
          <w:iCs/>
          <w:color w:val="000000"/>
          <w:szCs w:val="18"/>
        </w:rPr>
        <w:t xml:space="preserve"> </w:t>
      </w:r>
      <w:r w:rsidRPr="00453542">
        <w:rPr>
          <w:rFonts w:eastAsiaTheme="minorHAnsi" w:cs="Tahoma"/>
          <w:color w:val="000000"/>
          <w:szCs w:val="18"/>
        </w:rPr>
        <w:t xml:space="preserve">or any other pathogenic </w:t>
      </w:r>
      <w:r w:rsidRPr="00453542">
        <w:rPr>
          <w:rFonts w:eastAsiaTheme="minorHAnsi" w:cs="Tahoma"/>
          <w:i/>
          <w:iCs/>
          <w:color w:val="000000"/>
          <w:szCs w:val="18"/>
        </w:rPr>
        <w:t xml:space="preserve">Leptospira </w:t>
      </w:r>
      <w:r w:rsidRPr="00453542">
        <w:rPr>
          <w:rFonts w:eastAsiaTheme="minorHAnsi" w:cs="Tahoma"/>
          <w:color w:val="000000"/>
          <w:szCs w:val="18"/>
        </w:rPr>
        <w:t xml:space="preserve">spp. from a clinical </w:t>
      </w:r>
      <w:proofErr w:type="gramStart"/>
      <w:r w:rsidRPr="00453542">
        <w:rPr>
          <w:rFonts w:eastAsiaTheme="minorHAnsi" w:cs="Tahoma"/>
          <w:color w:val="000000"/>
          <w:szCs w:val="18"/>
        </w:rPr>
        <w:t>specimen;</w:t>
      </w:r>
      <w:proofErr w:type="gramEnd"/>
      <w:r w:rsidRPr="00453542">
        <w:rPr>
          <w:rFonts w:eastAsiaTheme="minorHAnsi" w:cs="Tahoma"/>
          <w:color w:val="000000"/>
          <w:szCs w:val="18"/>
        </w:rPr>
        <w:t xml:space="preserve"> </w:t>
      </w:r>
    </w:p>
    <w:p w14:paraId="7E991B15"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Detection of </w:t>
      </w:r>
      <w:r w:rsidRPr="00453542">
        <w:rPr>
          <w:rFonts w:eastAsiaTheme="minorHAnsi" w:cs="Tahoma"/>
          <w:i/>
          <w:iCs/>
          <w:color w:val="000000"/>
          <w:szCs w:val="18"/>
        </w:rPr>
        <w:t xml:space="preserve">Leptospira </w:t>
      </w:r>
      <w:proofErr w:type="spellStart"/>
      <w:r w:rsidRPr="00453542">
        <w:rPr>
          <w:rFonts w:eastAsiaTheme="minorHAnsi" w:cs="Tahoma"/>
          <w:i/>
          <w:iCs/>
          <w:color w:val="000000"/>
          <w:szCs w:val="18"/>
        </w:rPr>
        <w:t>interrogans</w:t>
      </w:r>
      <w:proofErr w:type="spellEnd"/>
      <w:r w:rsidRPr="00453542">
        <w:rPr>
          <w:rFonts w:eastAsiaTheme="minorHAnsi" w:cs="Tahoma"/>
          <w:i/>
          <w:iCs/>
          <w:color w:val="000000"/>
          <w:szCs w:val="18"/>
        </w:rPr>
        <w:t xml:space="preserve"> </w:t>
      </w:r>
      <w:r w:rsidRPr="00453542">
        <w:rPr>
          <w:rFonts w:eastAsiaTheme="minorHAnsi" w:cs="Tahoma"/>
          <w:color w:val="000000"/>
          <w:szCs w:val="18"/>
        </w:rPr>
        <w:t xml:space="preserve">or any other pathogenic </w:t>
      </w:r>
      <w:r w:rsidRPr="00453542">
        <w:rPr>
          <w:rFonts w:eastAsiaTheme="minorHAnsi" w:cs="Tahoma"/>
          <w:i/>
          <w:iCs/>
          <w:color w:val="000000"/>
          <w:szCs w:val="18"/>
        </w:rPr>
        <w:t xml:space="preserve">Leptospira </w:t>
      </w:r>
      <w:r w:rsidRPr="00453542">
        <w:rPr>
          <w:rFonts w:eastAsiaTheme="minorHAnsi" w:cs="Tahoma"/>
          <w:color w:val="000000"/>
          <w:szCs w:val="18"/>
        </w:rPr>
        <w:t xml:space="preserve">spp. nucleic acid in a clinical </w:t>
      </w:r>
      <w:proofErr w:type="gramStart"/>
      <w:r w:rsidRPr="00453542">
        <w:rPr>
          <w:rFonts w:eastAsiaTheme="minorHAnsi" w:cs="Tahoma"/>
          <w:color w:val="000000"/>
          <w:szCs w:val="18"/>
        </w:rPr>
        <w:t>specimen;</w:t>
      </w:r>
      <w:proofErr w:type="gramEnd"/>
      <w:r w:rsidRPr="00453542">
        <w:rPr>
          <w:rFonts w:eastAsiaTheme="minorHAnsi" w:cs="Tahoma"/>
          <w:color w:val="000000"/>
          <w:szCs w:val="18"/>
        </w:rPr>
        <w:t xml:space="preserve"> </w:t>
      </w:r>
    </w:p>
    <w:p w14:paraId="52B101CB"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Demonstration of </w:t>
      </w:r>
      <w:r w:rsidRPr="00453542">
        <w:rPr>
          <w:rFonts w:eastAsiaTheme="minorHAnsi" w:cs="Tahoma"/>
          <w:i/>
          <w:iCs/>
          <w:color w:val="000000"/>
          <w:szCs w:val="18"/>
        </w:rPr>
        <w:t xml:space="preserve">Leptospira </w:t>
      </w:r>
      <w:proofErr w:type="spellStart"/>
      <w:r w:rsidRPr="00453542">
        <w:rPr>
          <w:rFonts w:eastAsiaTheme="minorHAnsi" w:cs="Tahoma"/>
          <w:i/>
          <w:iCs/>
          <w:color w:val="000000"/>
          <w:szCs w:val="18"/>
        </w:rPr>
        <w:t>interrogans</w:t>
      </w:r>
      <w:proofErr w:type="spellEnd"/>
      <w:r w:rsidRPr="00453542">
        <w:rPr>
          <w:rFonts w:eastAsiaTheme="minorHAnsi" w:cs="Tahoma"/>
          <w:i/>
          <w:iCs/>
          <w:color w:val="000000"/>
          <w:szCs w:val="18"/>
        </w:rPr>
        <w:t xml:space="preserve"> </w:t>
      </w:r>
      <w:r w:rsidRPr="00453542">
        <w:rPr>
          <w:rFonts w:eastAsiaTheme="minorHAnsi" w:cs="Tahoma"/>
          <w:color w:val="000000"/>
          <w:szCs w:val="18"/>
        </w:rPr>
        <w:t xml:space="preserve">or any other pathogenic </w:t>
      </w:r>
      <w:r w:rsidRPr="00453542">
        <w:rPr>
          <w:rFonts w:eastAsiaTheme="minorHAnsi" w:cs="Tahoma"/>
          <w:i/>
          <w:iCs/>
          <w:color w:val="000000"/>
          <w:szCs w:val="18"/>
        </w:rPr>
        <w:t xml:space="preserve">Leptospira </w:t>
      </w:r>
      <w:r w:rsidRPr="00453542">
        <w:rPr>
          <w:rFonts w:eastAsiaTheme="minorHAnsi" w:cs="Tahoma"/>
          <w:color w:val="000000"/>
          <w:szCs w:val="18"/>
        </w:rPr>
        <w:t xml:space="preserve">spp. by immunofluorescence in a clinical </w:t>
      </w:r>
      <w:proofErr w:type="gramStart"/>
      <w:r w:rsidRPr="00453542">
        <w:rPr>
          <w:rFonts w:eastAsiaTheme="minorHAnsi" w:cs="Tahoma"/>
          <w:color w:val="000000"/>
          <w:szCs w:val="18"/>
        </w:rPr>
        <w:t>specimen;</w:t>
      </w:r>
      <w:proofErr w:type="gramEnd"/>
      <w:r w:rsidRPr="00453542">
        <w:rPr>
          <w:rFonts w:eastAsiaTheme="minorHAnsi" w:cs="Tahoma"/>
          <w:color w:val="000000"/>
          <w:szCs w:val="18"/>
        </w:rPr>
        <w:t xml:space="preserve"> </w:t>
      </w:r>
    </w:p>
    <w:p w14:paraId="6B9EAAAD"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w:t>
      </w:r>
      <w:r w:rsidRPr="00453542">
        <w:rPr>
          <w:rFonts w:eastAsiaTheme="minorHAnsi" w:cs="Tahoma"/>
          <w:i/>
          <w:iCs/>
          <w:color w:val="000000"/>
          <w:szCs w:val="18"/>
        </w:rPr>
        <w:t xml:space="preserve">Leptospira </w:t>
      </w:r>
      <w:proofErr w:type="spellStart"/>
      <w:r w:rsidRPr="00453542">
        <w:rPr>
          <w:rFonts w:eastAsiaTheme="minorHAnsi" w:cs="Tahoma"/>
          <w:i/>
          <w:iCs/>
          <w:color w:val="000000"/>
          <w:szCs w:val="18"/>
        </w:rPr>
        <w:t>interrogans</w:t>
      </w:r>
      <w:proofErr w:type="spellEnd"/>
      <w:r w:rsidRPr="00453542">
        <w:rPr>
          <w:rFonts w:eastAsiaTheme="minorHAnsi" w:cs="Tahoma"/>
          <w:i/>
          <w:iCs/>
          <w:color w:val="000000"/>
          <w:szCs w:val="18"/>
        </w:rPr>
        <w:t xml:space="preserve"> </w:t>
      </w:r>
      <w:r w:rsidRPr="00453542">
        <w:rPr>
          <w:rFonts w:eastAsiaTheme="minorHAnsi" w:cs="Tahoma"/>
          <w:color w:val="000000"/>
          <w:szCs w:val="18"/>
        </w:rPr>
        <w:t xml:space="preserve">or any other pathogenic </w:t>
      </w:r>
      <w:r w:rsidRPr="00453542">
        <w:rPr>
          <w:rFonts w:eastAsiaTheme="minorHAnsi" w:cs="Tahoma"/>
          <w:i/>
          <w:iCs/>
          <w:color w:val="000000"/>
          <w:szCs w:val="18"/>
        </w:rPr>
        <w:t xml:space="preserve">Leptospira </w:t>
      </w:r>
      <w:r w:rsidRPr="00453542">
        <w:rPr>
          <w:rFonts w:eastAsiaTheme="minorHAnsi" w:cs="Tahoma"/>
          <w:color w:val="000000"/>
          <w:szCs w:val="18"/>
        </w:rPr>
        <w:t xml:space="preserve">spp. specific antibody response. </w:t>
      </w:r>
    </w:p>
    <w:p w14:paraId="41069832"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b/>
          <w:bCs/>
          <w:color w:val="000000"/>
          <w:szCs w:val="18"/>
        </w:rPr>
        <w:t xml:space="preserve">Epidemiological </w:t>
      </w:r>
      <w:r>
        <w:rPr>
          <w:rFonts w:eastAsiaTheme="minorHAnsi" w:cs="Tahoma"/>
          <w:b/>
          <w:bCs/>
          <w:color w:val="000000"/>
          <w:szCs w:val="18"/>
        </w:rPr>
        <w:t>c</w:t>
      </w:r>
      <w:r w:rsidRPr="00453542">
        <w:rPr>
          <w:rFonts w:eastAsiaTheme="minorHAnsi" w:cs="Tahoma"/>
          <w:b/>
          <w:bCs/>
          <w:color w:val="000000"/>
          <w:szCs w:val="18"/>
        </w:rPr>
        <w:t xml:space="preserve">riteria </w:t>
      </w:r>
    </w:p>
    <w:p w14:paraId="35099EFD"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At least one of the following three epidemiological links: </w:t>
      </w:r>
    </w:p>
    <w:p w14:paraId="4D252E2B" w14:textId="77777777" w:rsidR="00AC0043" w:rsidRPr="00453542"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Animal</w:t>
      </w:r>
      <w:r>
        <w:rPr>
          <w:rFonts w:eastAsiaTheme="minorHAnsi" w:cs="Tahoma"/>
          <w:color w:val="000000"/>
          <w:szCs w:val="18"/>
        </w:rPr>
        <w:t>-</w:t>
      </w:r>
      <w:r w:rsidRPr="00453542">
        <w:rPr>
          <w:rFonts w:eastAsiaTheme="minorHAnsi" w:cs="Tahoma"/>
          <w:color w:val="000000"/>
          <w:szCs w:val="18"/>
        </w:rPr>
        <w:t>to</w:t>
      </w:r>
      <w:r>
        <w:rPr>
          <w:rFonts w:eastAsiaTheme="minorHAnsi" w:cs="Tahoma"/>
          <w:color w:val="000000"/>
          <w:szCs w:val="18"/>
        </w:rPr>
        <w:t>-</w:t>
      </w:r>
      <w:r w:rsidRPr="00453542">
        <w:rPr>
          <w:rFonts w:eastAsiaTheme="minorHAnsi" w:cs="Tahoma"/>
          <w:color w:val="000000"/>
          <w:szCs w:val="18"/>
        </w:rPr>
        <w:t xml:space="preserve">human </w:t>
      </w:r>
      <w:proofErr w:type="gramStart"/>
      <w:r w:rsidRPr="00453542">
        <w:rPr>
          <w:rFonts w:eastAsiaTheme="minorHAnsi" w:cs="Tahoma"/>
          <w:color w:val="000000"/>
          <w:szCs w:val="18"/>
        </w:rPr>
        <w:t>transmission;</w:t>
      </w:r>
      <w:proofErr w:type="gramEnd"/>
      <w:r w:rsidRPr="00453542">
        <w:rPr>
          <w:rFonts w:eastAsiaTheme="minorHAnsi" w:cs="Tahoma"/>
          <w:color w:val="000000"/>
          <w:szCs w:val="18"/>
        </w:rPr>
        <w:t xml:space="preserve"> </w:t>
      </w:r>
    </w:p>
    <w:p w14:paraId="266914CB" w14:textId="77777777" w:rsidR="00AC0043" w:rsidRPr="009F0788" w:rsidRDefault="00AC0043" w:rsidP="00AC0043">
      <w:pPr>
        <w:autoSpaceDE w:val="0"/>
        <w:autoSpaceDN w:val="0"/>
        <w:adjustRightInd w:val="0"/>
        <w:spacing w:before="60" w:after="60"/>
        <w:rPr>
          <w:rFonts w:eastAsiaTheme="minorHAnsi" w:cs="Tahoma"/>
          <w:color w:val="000000"/>
          <w:szCs w:val="18"/>
        </w:rPr>
      </w:pPr>
      <w:r w:rsidRPr="00453542">
        <w:rPr>
          <w:rFonts w:eastAsiaTheme="minorHAnsi" w:cs="Tahoma"/>
          <w:color w:val="000000"/>
          <w:szCs w:val="18"/>
        </w:rPr>
        <w:t xml:space="preserve">— Environmental </w:t>
      </w:r>
      <w:proofErr w:type="gramStart"/>
      <w:r w:rsidRPr="00453542">
        <w:rPr>
          <w:rFonts w:eastAsiaTheme="minorHAnsi" w:cs="Tahoma"/>
          <w:color w:val="000000"/>
          <w:szCs w:val="18"/>
        </w:rPr>
        <w:t>exposure;</w:t>
      </w:r>
      <w:proofErr w:type="gramEnd"/>
      <w:r w:rsidRPr="009F0788">
        <w:rPr>
          <w:rFonts w:eastAsiaTheme="minorHAnsi" w:cs="Tahoma"/>
          <w:color w:val="000000"/>
          <w:szCs w:val="18"/>
        </w:rPr>
        <w:t xml:space="preserve"> </w:t>
      </w:r>
    </w:p>
    <w:p w14:paraId="284F7C2D" w14:textId="77777777" w:rsidR="00AC0043" w:rsidRPr="000238B4" w:rsidRDefault="00AC0043" w:rsidP="00AC0043">
      <w:pPr>
        <w:autoSpaceDE w:val="0"/>
        <w:autoSpaceDN w:val="0"/>
        <w:adjustRightInd w:val="0"/>
        <w:spacing w:before="60" w:after="60"/>
        <w:rPr>
          <w:rFonts w:eastAsiaTheme="minorHAnsi" w:cs="Tahoma"/>
          <w:color w:val="000000"/>
          <w:szCs w:val="18"/>
        </w:rPr>
      </w:pPr>
      <w:r w:rsidRPr="000238B4">
        <w:rPr>
          <w:rFonts w:eastAsiaTheme="minorHAnsi" w:cs="Tahoma"/>
          <w:color w:val="000000"/>
          <w:szCs w:val="18"/>
        </w:rPr>
        <w:t>— Exposure to a common source</w:t>
      </w:r>
      <w:r>
        <w:rPr>
          <w:rFonts w:eastAsiaTheme="minorHAnsi" w:cs="Tahoma"/>
          <w:color w:val="000000"/>
          <w:szCs w:val="18"/>
        </w:rPr>
        <w:t>.</w:t>
      </w:r>
    </w:p>
    <w:p w14:paraId="0C5B8851" w14:textId="77777777" w:rsidR="00AC0043" w:rsidRDefault="00AC0043" w:rsidP="00AC0043">
      <w:pPr>
        <w:autoSpaceDE w:val="0"/>
        <w:autoSpaceDN w:val="0"/>
        <w:adjustRightInd w:val="0"/>
        <w:spacing w:before="60" w:after="60"/>
        <w:rPr>
          <w:rFonts w:ascii="EUAlbertina" w:eastAsiaTheme="minorHAnsi" w:hAnsi="EUAlbertina" w:cs="EUAlbertina"/>
          <w:color w:val="000000"/>
          <w:sz w:val="24"/>
        </w:rPr>
      </w:pPr>
    </w:p>
    <w:p w14:paraId="2E894738" w14:textId="28EFA743" w:rsidR="00AC0043" w:rsidRPr="00D87F86" w:rsidRDefault="00AC0043" w:rsidP="00AC0043">
      <w:pPr>
        <w:pStyle w:val="CM4"/>
        <w:spacing w:before="60" w:after="60"/>
        <w:rPr>
          <w:rFonts w:ascii="Tahoma" w:hAnsi="Tahoma" w:cs="Tahoma"/>
          <w:b/>
          <w:sz w:val="18"/>
          <w:szCs w:val="18"/>
        </w:rPr>
      </w:pPr>
      <w:r>
        <w:rPr>
          <w:rFonts w:ascii="Tahoma" w:hAnsi="Tahoma" w:cs="Tahoma"/>
          <w:b/>
          <w:sz w:val="18"/>
          <w:szCs w:val="18"/>
        </w:rPr>
        <w:t xml:space="preserve">Case </w:t>
      </w:r>
      <w:r w:rsidRPr="00D87F86">
        <w:rPr>
          <w:rFonts w:ascii="Tahoma" w:hAnsi="Tahoma" w:cs="Tahoma"/>
          <w:b/>
          <w:sz w:val="18"/>
          <w:szCs w:val="18"/>
        </w:rPr>
        <w:t>classification</w:t>
      </w:r>
    </w:p>
    <w:p w14:paraId="0CF06F43" w14:textId="32CE7D57" w:rsidR="00D00214" w:rsidRPr="00D87F86" w:rsidRDefault="00D00214" w:rsidP="00D87F86">
      <w:pPr>
        <w:pStyle w:val="Default"/>
        <w:rPr>
          <w:rFonts w:ascii="Tahoma" w:hAnsi="Tahoma" w:cs="Tahoma"/>
          <w:sz w:val="18"/>
          <w:szCs w:val="18"/>
        </w:rPr>
      </w:pPr>
      <w:r w:rsidRPr="00D87F86">
        <w:rPr>
          <w:rFonts w:ascii="Tahoma" w:hAnsi="Tahoma" w:cs="Tahoma"/>
          <w:sz w:val="18"/>
          <w:szCs w:val="18"/>
        </w:rPr>
        <w:t>A. Possible case: NA</w:t>
      </w:r>
    </w:p>
    <w:p w14:paraId="637E073C" w14:textId="020DAE5D" w:rsidR="00AC0043" w:rsidRPr="00D87F86" w:rsidRDefault="00D00214"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B</w:t>
      </w:r>
      <w:r w:rsidR="00AC0043" w:rsidRPr="00D87F86">
        <w:rPr>
          <w:rFonts w:eastAsiaTheme="minorHAnsi" w:cs="Tahoma"/>
          <w:color w:val="000000"/>
          <w:szCs w:val="18"/>
        </w:rPr>
        <w:t xml:space="preserve">. </w:t>
      </w:r>
      <w:r w:rsidR="00AC0043" w:rsidRPr="00D87F86">
        <w:rPr>
          <w:rFonts w:eastAsiaTheme="minorHAnsi" w:cs="Tahoma"/>
          <w:bCs/>
          <w:color w:val="000000"/>
          <w:szCs w:val="18"/>
        </w:rPr>
        <w:t xml:space="preserve">Probable case: </w:t>
      </w:r>
      <w:r w:rsidR="00AC0043" w:rsidRPr="00D87F86">
        <w:rPr>
          <w:rFonts w:eastAsiaTheme="minorHAnsi" w:cs="Tahoma"/>
          <w:color w:val="000000"/>
          <w:szCs w:val="18"/>
        </w:rPr>
        <w:t>Any person meeting the clinical criteria with an epidemiological link</w:t>
      </w:r>
    </w:p>
    <w:p w14:paraId="74E8651B" w14:textId="61E6E4F3" w:rsidR="00AC0043" w:rsidRPr="00D87F86" w:rsidRDefault="00D00214" w:rsidP="00AC0043">
      <w:pPr>
        <w:autoSpaceDE w:val="0"/>
        <w:autoSpaceDN w:val="0"/>
        <w:adjustRightInd w:val="0"/>
        <w:spacing w:before="60" w:after="60"/>
        <w:rPr>
          <w:rFonts w:eastAsiaTheme="minorHAnsi" w:cs="Tahoma"/>
          <w:color w:val="000000"/>
          <w:szCs w:val="18"/>
        </w:rPr>
      </w:pPr>
      <w:r w:rsidRPr="00D87F86">
        <w:rPr>
          <w:rFonts w:eastAsiaTheme="minorHAnsi" w:cs="Tahoma"/>
          <w:color w:val="000000"/>
          <w:szCs w:val="18"/>
        </w:rPr>
        <w:t>C</w:t>
      </w:r>
      <w:r w:rsidR="00AC0043" w:rsidRPr="00D87F86">
        <w:rPr>
          <w:rFonts w:eastAsiaTheme="minorHAnsi" w:cs="Tahoma"/>
          <w:color w:val="000000"/>
          <w:szCs w:val="18"/>
        </w:rPr>
        <w:t xml:space="preserve">. </w:t>
      </w:r>
      <w:r w:rsidR="00AC0043" w:rsidRPr="00D87F86">
        <w:rPr>
          <w:rFonts w:eastAsiaTheme="minorHAnsi" w:cs="Tahoma"/>
          <w:bCs/>
          <w:color w:val="000000"/>
          <w:szCs w:val="18"/>
        </w:rPr>
        <w:t xml:space="preserve">Confirmed case: </w:t>
      </w:r>
      <w:r w:rsidR="00AC0043" w:rsidRPr="00D87F86">
        <w:rPr>
          <w:rFonts w:eastAsiaTheme="minorHAnsi" w:cs="Tahoma"/>
          <w:szCs w:val="18"/>
        </w:rPr>
        <w:t>Any person meeting the clinical and the laboratory criteria</w:t>
      </w:r>
    </w:p>
    <w:p w14:paraId="127BB49F" w14:textId="77777777" w:rsidR="00AC0043" w:rsidRPr="00D87F86" w:rsidRDefault="00AC0043" w:rsidP="00AC0043">
      <w:pPr>
        <w:pStyle w:val="EC-Para"/>
        <w:spacing w:after="0" w:line="240" w:lineRule="auto"/>
        <w:jc w:val="both"/>
        <w:rPr>
          <w:rFonts w:cs="Tahoma"/>
        </w:rPr>
      </w:pPr>
    </w:p>
    <w:p w14:paraId="06AEEB87" w14:textId="77777777" w:rsidR="00D00214" w:rsidRPr="00D87F86" w:rsidRDefault="00D00214" w:rsidP="00AC0043">
      <w:pPr>
        <w:pStyle w:val="EC-Para"/>
        <w:spacing w:after="0" w:line="240" w:lineRule="auto"/>
        <w:jc w:val="both"/>
        <w:rPr>
          <w:rFonts w:cs="Tahoma"/>
        </w:rPr>
      </w:pPr>
    </w:p>
    <w:p w14:paraId="4364F8C8" w14:textId="1A34A14D" w:rsidR="00D00214" w:rsidRPr="00D87F86" w:rsidRDefault="00D00214" w:rsidP="00AC0043">
      <w:pPr>
        <w:pStyle w:val="EC-Para"/>
        <w:spacing w:after="0" w:line="240" w:lineRule="auto"/>
        <w:jc w:val="both"/>
      </w:pPr>
      <w:r w:rsidRPr="00D87F86">
        <w:t>Note: If the national surveillance system is not capturing clinical symptoms, all laboratory-confirmed individuals should be reported as confirmed cases.</w:t>
      </w:r>
    </w:p>
    <w:p w14:paraId="701CD532" w14:textId="7ACB4772" w:rsidR="00D00214" w:rsidRPr="00D87F86" w:rsidRDefault="00D00214" w:rsidP="00AC0043">
      <w:pPr>
        <w:pStyle w:val="EC-Para"/>
        <w:spacing w:after="0" w:line="240" w:lineRule="auto"/>
        <w:jc w:val="both"/>
        <w:rPr>
          <w:rFonts w:cs="Tahoma"/>
        </w:rPr>
      </w:pPr>
    </w:p>
    <w:p w14:paraId="7BA4FE78" w14:textId="77777777" w:rsidR="00D87F86" w:rsidRPr="00D87F86" w:rsidRDefault="00D87F86" w:rsidP="00D87F86">
      <w:pPr>
        <w:pStyle w:val="EC-Para"/>
        <w:spacing w:after="0" w:line="240" w:lineRule="auto"/>
        <w:jc w:val="both"/>
        <w:rPr>
          <w:rFonts w:cs="Tahoma"/>
        </w:rPr>
      </w:pPr>
      <w:r w:rsidRPr="00D87F86">
        <w:rPr>
          <w:rFonts w:cs="Tahoma"/>
        </w:rPr>
        <w:t>------------------------</w:t>
      </w:r>
    </w:p>
    <w:p w14:paraId="2ECCFC53" w14:textId="718FA595" w:rsidR="00AC0043" w:rsidRPr="00B960F7" w:rsidRDefault="00D87F86" w:rsidP="00AC0043">
      <w:pPr>
        <w:pStyle w:val="EC-Para"/>
        <w:spacing w:after="0" w:line="240" w:lineRule="auto"/>
        <w:jc w:val="both"/>
        <w:rPr>
          <w:lang w:eastAsia="en-US"/>
        </w:rPr>
      </w:pPr>
      <w:r w:rsidRPr="00D87F86">
        <w:rPr>
          <w:lang w:eastAsia="en-US"/>
        </w:rPr>
        <w:t>(</w:t>
      </w:r>
      <w:r w:rsidR="00C62493" w:rsidRPr="00D87F86">
        <w:rPr>
          <w:lang w:eastAsia="en-US"/>
        </w:rPr>
        <w:t>The note is the only difference between the 2018 EU case definition</w:t>
      </w:r>
      <w:r w:rsidR="00C62493">
        <w:rPr>
          <w:lang w:eastAsia="en-US"/>
        </w:rPr>
        <w:t xml:space="preserve"> and the</w:t>
      </w:r>
      <w:r w:rsidR="00C62493" w:rsidRPr="00B960F7">
        <w:rPr>
          <w:lang w:eastAsia="en-US"/>
        </w:rPr>
        <w:t xml:space="preserve"> </w:t>
      </w:r>
      <w:r w:rsidR="00C62493">
        <w:rPr>
          <w:lang w:eastAsia="en-US"/>
        </w:rPr>
        <w:t xml:space="preserve">2012 and </w:t>
      </w:r>
      <w:r w:rsidR="00C62493" w:rsidRPr="00B960F7">
        <w:rPr>
          <w:lang w:eastAsia="en-US"/>
        </w:rPr>
        <w:t xml:space="preserve">2008 </w:t>
      </w:r>
      <w:r w:rsidR="00C62493">
        <w:rPr>
          <w:lang w:eastAsia="en-US"/>
        </w:rPr>
        <w:t>EU case definitions.</w:t>
      </w:r>
      <w:r>
        <w:rPr>
          <w:lang w:eastAsia="en-US"/>
        </w:rPr>
        <w:t>)</w:t>
      </w:r>
      <w:r w:rsidR="00AC0043">
        <w:rPr>
          <w:rFonts w:cs="Tahoma"/>
        </w:rPr>
        <w:t xml:space="preserve"> </w:t>
      </w:r>
    </w:p>
    <w:p w14:paraId="08F8B759" w14:textId="77777777" w:rsidR="00AC0043" w:rsidRDefault="00AC0043" w:rsidP="00AC0043">
      <w:pPr>
        <w:pStyle w:val="EC-Para"/>
        <w:spacing w:after="0" w:line="240" w:lineRule="auto"/>
        <w:jc w:val="both"/>
        <w:rPr>
          <w:color w:val="FF0000"/>
          <w:lang w:eastAsia="en-US"/>
        </w:rPr>
      </w:pPr>
    </w:p>
    <w:p w14:paraId="489E97D7" w14:textId="77777777" w:rsidR="00AC0043" w:rsidRPr="00452AF8" w:rsidRDefault="00AC0043" w:rsidP="003102E4">
      <w:pPr>
        <w:pStyle w:val="EC-Title-6"/>
      </w:pPr>
      <w:r w:rsidRPr="00BD0ACE">
        <w:t xml:space="preserve">Data collection and analysis </w:t>
      </w:r>
    </w:p>
    <w:p w14:paraId="0733EA07" w14:textId="72EC528F" w:rsidR="00AC0043" w:rsidRDefault="00AC0043" w:rsidP="00AC004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w:t>
      </w:r>
      <w:r w:rsidR="00A51BAC">
        <w:rPr>
          <w:rFonts w:cs="Tahoma"/>
        </w:rPr>
        <w:t xml:space="preserve"> EU/EEA countries</w:t>
      </w:r>
      <w:r>
        <w:rPr>
          <w:rFonts w:cs="Tahoma"/>
        </w:rPr>
        <w:t>. C</w:t>
      </w:r>
      <w:r>
        <w:t>ountry population denominators by age group for the calculation of notification rates were obtained from Eurostat</w:t>
      </w:r>
      <w:r>
        <w:rPr>
          <w:rStyle w:val="FootnoteReference"/>
        </w:rPr>
        <w:footnoteReference w:id="23"/>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6DA5B6A1" w14:textId="77777777" w:rsidR="00AC0043" w:rsidRDefault="00AC0043" w:rsidP="00AC0043">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095C1F26" w14:textId="77777777" w:rsidR="00AC0043" w:rsidRDefault="00AC0043" w:rsidP="00AC0043">
      <w:pPr>
        <w:pStyle w:val="EC-Para"/>
        <w:jc w:val="both"/>
        <w:rPr>
          <w:rFonts w:cs="Tahoma"/>
        </w:rPr>
      </w:pPr>
      <w:r>
        <w:rPr>
          <w:rFonts w:cs="Tahoma"/>
        </w:rPr>
        <w:t>Surveillance systems across the EU/EEA countries are heterogeneous and a surveillance systems overview is displayed in Annex 1.</w:t>
      </w:r>
    </w:p>
    <w:p w14:paraId="6BB62F51" w14:textId="77777777" w:rsidR="003102E4" w:rsidRDefault="003102E4" w:rsidP="00AC0043">
      <w:pPr>
        <w:pStyle w:val="EC-Para"/>
        <w:jc w:val="both"/>
        <w:rPr>
          <w:rFonts w:cs="Tahoma"/>
        </w:rPr>
      </w:pPr>
    </w:p>
    <w:p w14:paraId="2E23B492" w14:textId="77777777" w:rsidR="00AC0043" w:rsidRPr="0072746F" w:rsidRDefault="00AC0043" w:rsidP="003102E4">
      <w:pPr>
        <w:pStyle w:val="EC-Title-6"/>
      </w:pPr>
      <w:r w:rsidRPr="0072746F">
        <w:t xml:space="preserve">Surveillance Atlas </w:t>
      </w:r>
      <w:r w:rsidRPr="003102E4">
        <w:t>indicators</w:t>
      </w:r>
    </w:p>
    <w:p w14:paraId="2AD30E9F" w14:textId="77777777" w:rsidR="00AC0043" w:rsidRPr="007B34B1" w:rsidRDefault="00AC0043" w:rsidP="00AC0043">
      <w:pPr>
        <w:pStyle w:val="EC-Para"/>
        <w:rPr>
          <w:rFonts w:cs="Tahoma"/>
        </w:rPr>
      </w:pPr>
      <w:r w:rsidRPr="005E139C">
        <w:rPr>
          <w:rFonts w:cs="Tahoma"/>
        </w:rPr>
        <w:t xml:space="preserve">The Surveillance Atlas indicators for </w:t>
      </w:r>
      <w:r>
        <w:rPr>
          <w:rFonts w:cs="Tahoma"/>
        </w:rPr>
        <w:t>confirmed leptospirosis</w:t>
      </w:r>
      <w:r w:rsidRPr="005E139C">
        <w:rPr>
          <w:rFonts w:cs="Tahoma"/>
        </w:rPr>
        <w:t xml:space="preserve"> </w:t>
      </w:r>
      <w:r>
        <w:rPr>
          <w:rFonts w:cs="Tahoma"/>
        </w:rPr>
        <w:t>cases</w:t>
      </w:r>
      <w:r w:rsidRPr="005E139C">
        <w:rPr>
          <w:rFonts w:cs="Tahoma"/>
        </w:rPr>
        <w:t xml:space="preserve"> are:</w:t>
      </w:r>
    </w:p>
    <w:p w14:paraId="7DE4AB78" w14:textId="77777777" w:rsidR="00AC0043" w:rsidRPr="007B34B1" w:rsidRDefault="00AC0043" w:rsidP="000617B1">
      <w:pPr>
        <w:numPr>
          <w:ilvl w:val="0"/>
          <w:numId w:val="19"/>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48932643" w14:textId="77777777" w:rsidR="00AC0043" w:rsidRDefault="00AC0043" w:rsidP="000617B1">
      <w:pPr>
        <w:numPr>
          <w:ilvl w:val="0"/>
          <w:numId w:val="19"/>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502FA1FE" w14:textId="77777777" w:rsidR="00AC0043" w:rsidRDefault="00AC0043" w:rsidP="000617B1">
      <w:pPr>
        <w:numPr>
          <w:ilvl w:val="0"/>
          <w:numId w:val="19"/>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Age-standardised rate per 100 000 </w:t>
      </w:r>
      <w:proofErr w:type="gramStart"/>
      <w:r>
        <w:rPr>
          <w:rFonts w:eastAsia="Arial Unicode MS" w:cs="Tahoma"/>
          <w:kern w:val="22"/>
          <w:szCs w:val="18"/>
        </w:rPr>
        <w:t>population;</w:t>
      </w:r>
      <w:proofErr w:type="gramEnd"/>
    </w:p>
    <w:p w14:paraId="4E667C51" w14:textId="77777777" w:rsidR="00AC0043" w:rsidRPr="007B34B1" w:rsidRDefault="00AC0043" w:rsidP="000617B1">
      <w:pPr>
        <w:numPr>
          <w:ilvl w:val="0"/>
          <w:numId w:val="19"/>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4CBC109B" w14:textId="77777777" w:rsidR="00AC0043" w:rsidRPr="00FE3619" w:rsidRDefault="00AC0043" w:rsidP="000617B1">
      <w:pPr>
        <w:numPr>
          <w:ilvl w:val="0"/>
          <w:numId w:val="19"/>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 xml:space="preserve">cases </w:t>
      </w:r>
      <w:r w:rsidRPr="00222317">
        <w:rPr>
          <w:rFonts w:eastAsia="Arial Unicode MS" w:cs="Tahoma"/>
          <w:kern w:val="22"/>
          <w:szCs w:val="18"/>
        </w:rPr>
        <w:t>with known history of hospitalisation</w:t>
      </w:r>
      <w:r w:rsidRPr="007B34B1">
        <w:rPr>
          <w:rFonts w:eastAsia="Arial Unicode MS" w:cs="Tahoma"/>
          <w:kern w:val="22"/>
          <w:szCs w:val="18"/>
        </w:rPr>
        <w:t xml:space="preserve"> (%</w:t>
      </w:r>
      <w:proofErr w:type="gramStart"/>
      <w:r w:rsidRPr="007B34B1">
        <w:rPr>
          <w:rFonts w:eastAsia="Arial Unicode MS" w:cs="Tahoma"/>
          <w:kern w:val="22"/>
          <w:szCs w:val="18"/>
        </w:rPr>
        <w:t>);</w:t>
      </w:r>
      <w:proofErr w:type="gramEnd"/>
    </w:p>
    <w:p w14:paraId="65D5FAB3" w14:textId="77777777" w:rsidR="00AC0043" w:rsidRPr="007B34B1" w:rsidRDefault="00AC0043" w:rsidP="000617B1">
      <w:pPr>
        <w:numPr>
          <w:ilvl w:val="0"/>
          <w:numId w:val="19"/>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5CFF908C" w14:textId="77777777" w:rsidR="00AC0043" w:rsidRPr="007B34B1" w:rsidRDefault="00AC0043" w:rsidP="000617B1">
      <w:pPr>
        <w:numPr>
          <w:ilvl w:val="0"/>
          <w:numId w:val="19"/>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Case fatality calculated as proportion of deaths among confirmed cases with known disease 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53593DCC" w14:textId="77777777" w:rsidR="00AC0043" w:rsidRPr="007B34B1" w:rsidRDefault="00AC0043" w:rsidP="000617B1">
      <w:pPr>
        <w:numPr>
          <w:ilvl w:val="0"/>
          <w:numId w:val="19"/>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21A4AD61" w14:textId="77777777" w:rsidR="00AC0043" w:rsidRPr="00FB3E6B" w:rsidRDefault="00AC0043" w:rsidP="000617B1">
      <w:pPr>
        <w:numPr>
          <w:ilvl w:val="0"/>
          <w:numId w:val="19"/>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459C15CA" w14:textId="77777777" w:rsidR="00AC0043" w:rsidRDefault="00AC0043" w:rsidP="00AC0043">
      <w:pPr>
        <w:kinsoku w:val="0"/>
        <w:autoSpaceDE w:val="0"/>
        <w:autoSpaceDN w:val="0"/>
        <w:adjustRightInd w:val="0"/>
        <w:spacing w:line="200" w:lineRule="atLeast"/>
        <w:rPr>
          <w:rFonts w:eastAsia="Arial Unicode MS"/>
          <w:b/>
          <w:bCs/>
          <w:kern w:val="22"/>
          <w:szCs w:val="18"/>
        </w:rPr>
      </w:pPr>
    </w:p>
    <w:p w14:paraId="0FFCBF07"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6E391E72"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2051F061"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027F818C"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70999632"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4F24012A"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334D828C" w14:textId="77777777"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3F9609FA" w14:textId="77777777" w:rsidR="00AC0043" w:rsidRPr="00206DFA"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Transmission mode.</w:t>
      </w:r>
    </w:p>
    <w:p w14:paraId="7A09A2D8" w14:textId="77777777" w:rsidR="00AC0043" w:rsidRPr="00E8283A" w:rsidRDefault="00AC0043" w:rsidP="00AC0043">
      <w:pPr>
        <w:kinsoku w:val="0"/>
        <w:autoSpaceDE w:val="0"/>
        <w:autoSpaceDN w:val="0"/>
        <w:adjustRightInd w:val="0"/>
        <w:spacing w:line="200" w:lineRule="atLeast"/>
        <w:rPr>
          <w:rFonts w:eastAsia="Arial Unicode MS" w:cs="Tahoma"/>
          <w:color w:val="000000"/>
          <w:kern w:val="22"/>
          <w:szCs w:val="18"/>
        </w:rPr>
      </w:pPr>
    </w:p>
    <w:p w14:paraId="5EB92F4E" w14:textId="77777777" w:rsidR="00AC0043" w:rsidRDefault="00AC0043" w:rsidP="00AC004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lastRenderedPageBreak/>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AC0043" w14:paraId="6A1F6165"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0158A07A" w14:textId="77777777" w:rsidR="00AC0043" w:rsidRDefault="00AC0043" w:rsidP="00AC004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40111354" w14:textId="77777777" w:rsidR="00AC0043" w:rsidRDefault="00AC0043" w:rsidP="00AC0043">
            <w:pPr>
              <w:pStyle w:val="EC-Para"/>
              <w:rPr>
                <w:lang w:eastAsia="en-US"/>
              </w:rPr>
            </w:pPr>
            <w:r>
              <w:rPr>
                <w:lang w:eastAsia="en-US"/>
              </w:rPr>
              <w:t>Comment</w:t>
            </w:r>
          </w:p>
        </w:tc>
      </w:tr>
      <w:tr w:rsidR="00AC0043" w14:paraId="4B114CD2"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50E849DD" w14:textId="77777777" w:rsidR="00AC0043" w:rsidRDefault="00AC0043" w:rsidP="00AC004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A668BE2" w14:textId="77777777" w:rsidR="00AC0043" w:rsidRDefault="00AC0043" w:rsidP="00AC004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AC0043" w14:paraId="06647B8F"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71BCE788" w14:textId="77777777" w:rsidR="00AC0043" w:rsidRDefault="00AC0043" w:rsidP="00AC004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70B450A" w14:textId="77777777" w:rsidR="00AC0043" w:rsidRDefault="00AC0043" w:rsidP="00AC004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57E4D837" w14:textId="77777777" w:rsidR="00AC0043" w:rsidRDefault="00AC0043" w:rsidP="00AC0043">
      <w:pPr>
        <w:pStyle w:val="EC-Para"/>
        <w:rPr>
          <w:lang w:eastAsia="en-US"/>
        </w:rPr>
      </w:pPr>
    </w:p>
    <w:p w14:paraId="0147A9D3" w14:textId="27A83C43" w:rsidR="00AC0043" w:rsidRPr="0072746F" w:rsidRDefault="00803E5A" w:rsidP="00C42D4A">
      <w:pPr>
        <w:pStyle w:val="EC-Title-6"/>
      </w:pPr>
      <w:r>
        <w:t xml:space="preserve">Data </w:t>
      </w:r>
      <w:r w:rsidRPr="00C42D4A">
        <w:t>quality</w:t>
      </w:r>
    </w:p>
    <w:p w14:paraId="396272C9" w14:textId="5034DA84" w:rsidR="0097253D" w:rsidRDefault="0097253D" w:rsidP="0097253D">
      <w:pPr>
        <w:autoSpaceDE w:val="0"/>
        <w:autoSpaceDN w:val="0"/>
        <w:adjustRightInd w:val="0"/>
        <w:jc w:val="both"/>
        <w:rPr>
          <w:rFonts w:eastAsia="Arial Unicode MS" w:cs="Tahoma"/>
          <w:kern w:val="22"/>
          <w:szCs w:val="18"/>
        </w:rPr>
      </w:pPr>
      <w:bookmarkStart w:id="48" w:name="_Toc437442023"/>
      <w:r w:rsidRPr="009E3B9F">
        <w:rPr>
          <w:rFonts w:eastAsia="Arial Unicode MS" w:cs="Tahoma"/>
          <w:kern w:val="22"/>
          <w:szCs w:val="18"/>
        </w:rPr>
        <w:t xml:space="preserve">EU/EEA countries reporting data on </w:t>
      </w:r>
      <w:r w:rsidR="00774EB2">
        <w:rPr>
          <w:rFonts w:eastAsia="Arial Unicode MS" w:cs="Tahoma"/>
          <w:kern w:val="22"/>
          <w:szCs w:val="18"/>
        </w:rPr>
        <w:t>leptospirosis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262ED6AA" w14:textId="16C6559A"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Pr="00E95571">
        <w:rPr>
          <w:rFonts w:eastAsia="Arial Unicode MS" w:cs="Tahoma"/>
          <w:kern w:val="22"/>
          <w:szCs w:val="18"/>
        </w:rPr>
        <w:t xml:space="preserve">confirmed </w:t>
      </w:r>
      <w:r w:rsidR="00774EB2">
        <w:rPr>
          <w:rFonts w:eastAsia="Arial Unicode MS" w:cs="Tahoma"/>
          <w:kern w:val="22"/>
          <w:szCs w:val="18"/>
        </w:rPr>
        <w:t>leptospirosis cases</w:t>
      </w:r>
      <w:r>
        <w:rPr>
          <w:rFonts w:eastAsia="Arial Unicode MS" w:cs="Tahoma"/>
          <w:kern w:val="22"/>
          <w:szCs w:val="18"/>
        </w:rPr>
        <w:t xml:space="preserve"> are:</w:t>
      </w:r>
    </w:p>
    <w:p w14:paraId="6DEDF4AC" w14:textId="4970EE0E"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5CD05E2C" w14:textId="631084FA"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40B9A935" w14:textId="3B0179FB"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2D9D2D52" w14:textId="6F0902A3"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01E07F2E" w14:textId="47B3FD29"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1C7BB9C4" w14:textId="330337BB"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774EB2">
        <w:rPr>
          <w:rFonts w:eastAsia="Arial Unicode MS" w:cs="Tahoma"/>
          <w:kern w:val="22"/>
          <w:szCs w:val="18"/>
        </w:rPr>
        <w:t>transmission mode</w:t>
      </w:r>
      <w:r>
        <w:rPr>
          <w:rFonts w:eastAsia="Arial Unicode MS" w:cs="Tahoma"/>
          <w:kern w:val="22"/>
          <w:szCs w:val="18"/>
        </w:rPr>
        <w:t xml:space="preserve"> (%)</w:t>
      </w:r>
      <w:r w:rsidR="00C42D4A">
        <w:rPr>
          <w:rFonts w:eastAsia="Arial Unicode MS" w:cs="Tahoma"/>
          <w:kern w:val="22"/>
          <w:szCs w:val="18"/>
        </w:rPr>
        <w:t>.</w:t>
      </w:r>
    </w:p>
    <w:p w14:paraId="73611514" w14:textId="77777777" w:rsidR="003102E4" w:rsidRDefault="003102E4" w:rsidP="003102E4">
      <w:pPr>
        <w:pStyle w:val="ListParagraph"/>
        <w:autoSpaceDE w:val="0"/>
        <w:autoSpaceDN w:val="0"/>
        <w:adjustRightInd w:val="0"/>
        <w:jc w:val="both"/>
        <w:rPr>
          <w:rFonts w:eastAsia="Arial Unicode MS" w:cs="Tahoma"/>
          <w:kern w:val="22"/>
          <w:szCs w:val="18"/>
        </w:rPr>
      </w:pPr>
    </w:p>
    <w:p w14:paraId="37FCD3D6" w14:textId="77777777" w:rsidR="00AC0043" w:rsidRDefault="00AC0043" w:rsidP="00AC0043">
      <w:pPr>
        <w:pStyle w:val="EC-Title-6"/>
        <w:outlineLvl w:val="1"/>
        <w:rPr>
          <w:rFonts w:cs="Tahoma"/>
        </w:rPr>
      </w:pPr>
      <w:r w:rsidRPr="00C82DDE">
        <w:rPr>
          <w:rFonts w:cs="Tahoma"/>
        </w:rPr>
        <w:t>Interpretation</w:t>
      </w:r>
      <w:bookmarkEnd w:id="48"/>
      <w:r w:rsidRPr="00C82DDE">
        <w:rPr>
          <w:rFonts w:cs="Tahoma"/>
        </w:rPr>
        <w:t xml:space="preserve"> </w:t>
      </w:r>
    </w:p>
    <w:p w14:paraId="79579AF8" w14:textId="77777777" w:rsidR="00AC0043" w:rsidRDefault="00AC0043" w:rsidP="00AC0043">
      <w:pPr>
        <w:pStyle w:val="EC-Para"/>
        <w:jc w:val="both"/>
        <w:rPr>
          <w:rFonts w:cs="Tahoma"/>
        </w:rPr>
      </w:pPr>
      <w:r w:rsidRPr="00D45E3C">
        <w:rPr>
          <w:rFonts w:eastAsiaTheme="minorHAnsi" w:cs="Tahoma"/>
          <w:lang w:eastAsia="en-US"/>
        </w:rPr>
        <w:t xml:space="preserve">The results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 and so does</w:t>
      </w:r>
      <w:r w:rsidRPr="00D45E3C">
        <w:rPr>
          <w:rFonts w:cs="Tahoma"/>
        </w:rPr>
        <w:t xml:space="preserve"> t</w:t>
      </w:r>
      <w:r>
        <w:rPr>
          <w:rFonts w:cs="Tahoma"/>
        </w:rPr>
        <w:t xml:space="preserve">he </w:t>
      </w:r>
      <w:proofErr w:type="gramStart"/>
      <w:r>
        <w:rPr>
          <w:rFonts w:cs="Tahoma"/>
        </w:rPr>
        <w:t>amount</w:t>
      </w:r>
      <w:proofErr w:type="gramEnd"/>
      <w:r>
        <w:rPr>
          <w:rFonts w:cs="Tahoma"/>
        </w:rPr>
        <w:t xml:space="preserve"> of samples tested</w:t>
      </w:r>
      <w:r w:rsidRPr="00D45E3C">
        <w:rPr>
          <w:rFonts w:cs="Tahoma"/>
        </w:rPr>
        <w:t xml:space="preserve">. </w:t>
      </w:r>
    </w:p>
    <w:p w14:paraId="4E0FFACA" w14:textId="0F3EDA7F" w:rsidR="00C96C10" w:rsidRDefault="00DA5F71" w:rsidP="00FA66D7">
      <w:pPr>
        <w:pStyle w:val="EC-Para"/>
        <w:jc w:val="both"/>
      </w:pPr>
      <w:r w:rsidRPr="00DA5F71">
        <w:t>The notification of leptospirosis is mandatory in 2</w:t>
      </w:r>
      <w:r w:rsidR="004612F3">
        <w:t>6</w:t>
      </w:r>
      <w:r w:rsidRPr="00DA5F71">
        <w:t xml:space="preserve"> EU</w:t>
      </w:r>
      <w:r w:rsidR="004612F3">
        <w:t>/EEA countries</w:t>
      </w:r>
      <w:r w:rsidRPr="00DA5F71">
        <w:t xml:space="preserve">. In </w:t>
      </w:r>
      <w:r w:rsidR="00D00912">
        <w:t>t</w:t>
      </w:r>
      <w:r w:rsidR="00DB78E5">
        <w:t>wo</w:t>
      </w:r>
      <w:r w:rsidRPr="00DA5F71">
        <w:t xml:space="preserve"> </w:t>
      </w:r>
      <w:r w:rsidR="004612F3">
        <w:t>countries</w:t>
      </w:r>
      <w:r w:rsidRPr="00DA5F71">
        <w:t>, the notification is voluntary (France) or organised differently (</w:t>
      </w:r>
      <w:r w:rsidR="001442AF">
        <w:t>Belgium</w:t>
      </w:r>
      <w:r w:rsidRPr="00DA5F71">
        <w:t xml:space="preserve">). </w:t>
      </w:r>
      <w:r w:rsidR="00E92831">
        <w:t xml:space="preserve">There is no surveillance system for leptospirosis in </w:t>
      </w:r>
      <w:r w:rsidR="00333241">
        <w:t xml:space="preserve">Liechtenstein and </w:t>
      </w:r>
      <w:r w:rsidR="00E92831">
        <w:t xml:space="preserve">Norway. </w:t>
      </w:r>
      <w:r w:rsidRPr="00DA5F71">
        <w:t>The surveillance systems for leptospirosis have full national coverage</w:t>
      </w:r>
      <w:r w:rsidR="00FE5E71">
        <w:t xml:space="preserve"> in all reporting countries</w:t>
      </w:r>
      <w:r w:rsidRPr="00DA5F71">
        <w:t xml:space="preserve"> except in Spain.</w:t>
      </w:r>
      <w:r w:rsidR="00B810E3" w:rsidRPr="00B810E3">
        <w:rPr>
          <w:rFonts w:cs="Tahoma"/>
        </w:rPr>
        <w:t xml:space="preserve"> </w:t>
      </w:r>
      <w:r w:rsidR="00C15DD7">
        <w:rPr>
          <w:rFonts w:eastAsiaTheme="minorHAnsi" w:cs="Tahoma"/>
          <w:lang w:eastAsia="en-US"/>
        </w:rPr>
        <w:t xml:space="preserve">No notification rate is calculated for Spain, as no estimated population coverage is provided. </w:t>
      </w:r>
      <w:r w:rsidR="002932C8" w:rsidRPr="002932C8">
        <w:rPr>
          <w:rFonts w:cs="Tahoma"/>
        </w:rPr>
        <w:t>For 20</w:t>
      </w:r>
      <w:r w:rsidR="007421E3">
        <w:rPr>
          <w:rFonts w:cs="Tahoma"/>
        </w:rPr>
        <w:t>20</w:t>
      </w:r>
      <w:r w:rsidR="00252064">
        <w:rPr>
          <w:rFonts w:cs="Tahoma"/>
        </w:rPr>
        <w:t xml:space="preserve"> and </w:t>
      </w:r>
      <w:r w:rsidR="00DB78E5">
        <w:rPr>
          <w:rFonts w:cs="Tahoma"/>
        </w:rPr>
        <w:t>2021</w:t>
      </w:r>
      <w:r w:rsidR="002932C8" w:rsidRPr="002932C8">
        <w:rPr>
          <w:rFonts w:cs="Tahoma"/>
        </w:rPr>
        <w:t>, Spain has not received data from all regions</w:t>
      </w:r>
      <w:r w:rsidR="0099035C">
        <w:rPr>
          <w:rFonts w:cs="Tahoma"/>
        </w:rPr>
        <w:t xml:space="preserve"> and t</w:t>
      </w:r>
      <w:r w:rsidR="0063102B">
        <w:rPr>
          <w:rFonts w:cs="Tahoma"/>
        </w:rPr>
        <w:t xml:space="preserve">he case numbers for </w:t>
      </w:r>
      <w:r w:rsidR="0099035C">
        <w:rPr>
          <w:rFonts w:cs="Tahoma"/>
        </w:rPr>
        <w:t>th</w:t>
      </w:r>
      <w:r w:rsidR="00333241">
        <w:rPr>
          <w:rFonts w:cs="Tahoma"/>
        </w:rPr>
        <w:t>ese</w:t>
      </w:r>
      <w:r w:rsidR="0099035C">
        <w:rPr>
          <w:rFonts w:cs="Tahoma"/>
        </w:rPr>
        <w:t xml:space="preserve"> year</w:t>
      </w:r>
      <w:r w:rsidR="00333241">
        <w:rPr>
          <w:rFonts w:cs="Tahoma"/>
        </w:rPr>
        <w:t>s</w:t>
      </w:r>
      <w:r w:rsidR="0063102B">
        <w:rPr>
          <w:rFonts w:cs="Tahoma"/>
        </w:rPr>
        <w:t xml:space="preserve"> are therefore </w:t>
      </w:r>
      <w:r w:rsidR="00F12DF2">
        <w:rPr>
          <w:rFonts w:cs="Tahoma"/>
        </w:rPr>
        <w:t>lower than could be expected</w:t>
      </w:r>
      <w:r w:rsidR="0063102B">
        <w:rPr>
          <w:rFonts w:cs="Tahoma"/>
        </w:rPr>
        <w:t>.</w:t>
      </w:r>
      <w:r w:rsidR="002932C8" w:rsidRPr="002932C8">
        <w:rPr>
          <w:rFonts w:cs="Tahoma"/>
        </w:rPr>
        <w:t xml:space="preserve"> </w:t>
      </w:r>
      <w:r w:rsidR="00B810E3">
        <w:rPr>
          <w:rFonts w:cs="Tahoma"/>
        </w:rPr>
        <w:t>In Belgium, full national coverage was established in 2015 and rates before this date are not displayed.</w:t>
      </w:r>
      <w:r w:rsidRPr="00DA5F71">
        <w:t xml:space="preserve"> All reporting countries </w:t>
      </w:r>
      <w:r w:rsidRPr="00DA5F71">
        <w:rPr>
          <w:lang w:eastAsia="en-US"/>
        </w:rPr>
        <w:t>provide case-based data except Belgium</w:t>
      </w:r>
      <w:r w:rsidR="00436F9C">
        <w:rPr>
          <w:lang w:eastAsia="en-US"/>
        </w:rPr>
        <w:t xml:space="preserve"> and</w:t>
      </w:r>
      <w:r w:rsidRPr="00DA5F71">
        <w:rPr>
          <w:lang w:eastAsia="en-US"/>
        </w:rPr>
        <w:t xml:space="preserve"> Bulgaria </w:t>
      </w:r>
      <w:r w:rsidRPr="00DA5F71">
        <w:t xml:space="preserve">which report aggregate data. </w:t>
      </w:r>
      <w:r w:rsidR="00C96C10">
        <w:t>Aggregated</w:t>
      </w:r>
      <w:r w:rsidR="00C96C10" w:rsidRPr="004C1587">
        <w:t xml:space="preserve"> reporting format w</w:t>
      </w:r>
      <w:r w:rsidR="00C96C10">
        <w:t>as</w:t>
      </w:r>
      <w:r w:rsidR="00C96C10" w:rsidRPr="004C1587">
        <w:t xml:space="preserve"> included to calculate numbers of cases</w:t>
      </w:r>
      <w:r w:rsidR="00C96C10">
        <w:t xml:space="preserve"> and </w:t>
      </w:r>
      <w:r w:rsidR="00C96C10" w:rsidRPr="004C1587">
        <w:t xml:space="preserve">notification rates, </w:t>
      </w:r>
      <w:r w:rsidR="00C96C10">
        <w:t xml:space="preserve">as well as </w:t>
      </w:r>
      <w:r w:rsidR="00C96C10" w:rsidRPr="004C1587">
        <w:t xml:space="preserve">disease trends, </w:t>
      </w:r>
      <w:r w:rsidR="00C96C10">
        <w:t>a</w:t>
      </w:r>
      <w:r w:rsidR="00C96C10" w:rsidRPr="004C1587">
        <w:t>ge and gender distributions</w:t>
      </w:r>
      <w:r w:rsidR="00C96C10">
        <w:t xml:space="preserve"> when this data was available</w:t>
      </w:r>
      <w:r w:rsidR="00C96C10" w:rsidRPr="004C1587">
        <w:t>.</w:t>
      </w:r>
    </w:p>
    <w:p w14:paraId="60B22897" w14:textId="3E513FF9" w:rsidR="00FA66D7" w:rsidRPr="00B3152F" w:rsidRDefault="00FA66D7" w:rsidP="00FA66D7">
      <w:pPr>
        <w:pStyle w:val="EC-Para"/>
        <w:jc w:val="both"/>
        <w:rPr>
          <w:rFonts w:eastAsiaTheme="minorHAnsi" w:cs="Tahoma"/>
          <w:lang w:eastAsia="en-US"/>
        </w:rPr>
      </w:pPr>
      <w:r w:rsidRPr="001C4E99">
        <w:t xml:space="preserve">The COVID-19 pandemic significantly impacted on the </w:t>
      </w:r>
      <w:r w:rsidR="000C6A79">
        <w:t>leptospirosis</w:t>
      </w:r>
      <w:r>
        <w:t xml:space="preserve"> </w:t>
      </w:r>
      <w:r w:rsidRPr="001C4E99">
        <w:t xml:space="preserve">surveillance </w:t>
      </w:r>
      <w:r>
        <w:t xml:space="preserve">data </w:t>
      </w:r>
      <w:r w:rsidRPr="001C4E99">
        <w:t xml:space="preserve">in 2020. </w:t>
      </w:r>
      <w:r w:rsidR="006D3E6E">
        <w:t xml:space="preserve">Decrease of cases </w:t>
      </w:r>
      <w:r w:rsidR="001332B2" w:rsidRPr="05AB7663">
        <w:t>may be associated with changes in population behaviours</w:t>
      </w:r>
      <w:r w:rsidR="001332B2">
        <w:t xml:space="preserve"> (e.g., less travel)</w:t>
      </w:r>
      <w:r w:rsidR="006D3E6E">
        <w:t xml:space="preserve">, </w:t>
      </w:r>
      <w:r w:rsidR="006D3E6E" w:rsidRPr="001C4E99">
        <w:t xml:space="preserve">people avoiding </w:t>
      </w:r>
      <w:proofErr w:type="gramStart"/>
      <w:r w:rsidR="006D3E6E" w:rsidRPr="001C4E99">
        <w:t>to seek</w:t>
      </w:r>
      <w:proofErr w:type="gramEnd"/>
      <w:r w:rsidR="006D3E6E" w:rsidRPr="001C4E99">
        <w:t xml:space="preserve"> medical care for mild symptoms due to risk of exposure to COVID-19 in health care facilities, limited laboratory </w:t>
      </w:r>
      <w:r w:rsidR="006D3E6E" w:rsidRPr="001C4E99">
        <w:t>capacity due to reallocation of resources to SARS-CoV-2</w:t>
      </w:r>
      <w:r w:rsidR="001332B2" w:rsidRPr="05AB7663">
        <w:t xml:space="preserve"> </w:t>
      </w:r>
      <w:r w:rsidR="001332B2">
        <w:t xml:space="preserve">and/or with more limited or impaired </w:t>
      </w:r>
      <w:r w:rsidR="001332B2" w:rsidRPr="05AB7663">
        <w:t>surveillance activities resulting from the COVID-19 pandemic.</w:t>
      </w:r>
      <w:r w:rsidR="006D3E6E" w:rsidRPr="00B3152F">
        <w:rPr>
          <w:rFonts w:eastAsiaTheme="minorHAnsi" w:cs="Tahoma"/>
          <w:lang w:eastAsia="en-US"/>
        </w:rPr>
        <w:t xml:space="preserve"> </w:t>
      </w:r>
    </w:p>
    <w:p w14:paraId="47C7F8C4" w14:textId="69C149A4" w:rsidR="00AC0043" w:rsidRDefault="00AC0043" w:rsidP="00AC0043">
      <w:pPr>
        <w:pStyle w:val="EC-Para"/>
        <w:jc w:val="both"/>
        <w:rPr>
          <w:rFonts w:cs="Tahoma"/>
          <w:lang w:eastAsia="en-US"/>
        </w:rPr>
      </w:pPr>
      <w:r w:rsidRPr="00EA31E5">
        <w:rPr>
          <w:rFonts w:cs="Tahoma"/>
          <w:lang w:eastAsia="en-US"/>
        </w:rPr>
        <w:t>The completeness of some variable</w:t>
      </w:r>
      <w:r>
        <w:rPr>
          <w:rFonts w:cs="Tahoma"/>
          <w:lang w:eastAsia="en-US"/>
        </w:rPr>
        <w:t xml:space="preserve">s such as </w:t>
      </w:r>
      <w:r w:rsidRPr="00EA31E5">
        <w:rPr>
          <w:rFonts w:cs="Tahoma"/>
          <w:lang w:eastAsia="en-US"/>
        </w:rPr>
        <w:t xml:space="preserve">outcome or </w:t>
      </w:r>
      <w:r>
        <w:rPr>
          <w:rFonts w:cs="Tahoma"/>
          <w:lang w:eastAsia="en-US"/>
        </w:rPr>
        <w:t>travel history</w:t>
      </w:r>
      <w:r w:rsidRPr="00EA31E5">
        <w:rPr>
          <w:rFonts w:cs="Tahoma"/>
          <w:lang w:eastAsia="en-US"/>
        </w:rPr>
        <w:t xml:space="preserve"> var</w:t>
      </w:r>
      <w:r>
        <w:rPr>
          <w:rFonts w:cs="Tahoma"/>
          <w:lang w:eastAsia="en-US"/>
        </w:rPr>
        <w:t>ies</w:t>
      </w:r>
      <w:r w:rsidRPr="00EA31E5">
        <w:rPr>
          <w:rFonts w:cs="Tahoma"/>
          <w:lang w:eastAsia="en-US"/>
        </w:rPr>
        <w:t xml:space="preserve"> between countries and years; some countries </w:t>
      </w:r>
      <w:proofErr w:type="gramStart"/>
      <w:r w:rsidRPr="00EA31E5">
        <w:rPr>
          <w:rFonts w:cs="Tahoma"/>
          <w:lang w:eastAsia="en-US"/>
        </w:rPr>
        <w:t>are able to</w:t>
      </w:r>
      <w:proofErr w:type="gramEnd"/>
      <w:r w:rsidRPr="00EA31E5">
        <w:rPr>
          <w:rFonts w:cs="Tahoma"/>
          <w:lang w:eastAsia="en-US"/>
        </w:rPr>
        <w:t xml:space="preserve"> collect and integrate this type of information from different sou</w:t>
      </w:r>
      <w:r w:rsidR="00B3152F">
        <w:rPr>
          <w:rFonts w:cs="Tahoma"/>
          <w:lang w:eastAsia="en-US"/>
        </w:rPr>
        <w:t xml:space="preserve">rces, other countries are not. </w:t>
      </w:r>
    </w:p>
    <w:p w14:paraId="585F7EA6" w14:textId="77777777" w:rsidR="005A7E7E" w:rsidRPr="00FD0462" w:rsidRDefault="005A7E7E" w:rsidP="00AC0043">
      <w:pPr>
        <w:pStyle w:val="EC-Para"/>
        <w:jc w:val="both"/>
        <w:rPr>
          <w:rFonts w:cs="Tahoma"/>
          <w:lang w:eastAsia="en-US"/>
        </w:rPr>
      </w:pPr>
    </w:p>
    <w:p w14:paraId="5D9F56F6" w14:textId="77777777" w:rsidR="00AC0043" w:rsidRPr="00453542" w:rsidRDefault="00AC0043" w:rsidP="00AC0043">
      <w:pPr>
        <w:pStyle w:val="EC-Title-6"/>
        <w:outlineLvl w:val="1"/>
        <w:rPr>
          <w:rFonts w:cs="Tahoma"/>
        </w:rPr>
      </w:pPr>
      <w:bookmarkStart w:id="49" w:name="_Toc437442024"/>
      <w:r w:rsidRPr="00453542">
        <w:rPr>
          <w:rFonts w:cs="Tahoma"/>
        </w:rPr>
        <w:t>Reports published by ECDC on leptospirosis</w:t>
      </w:r>
      <w:bookmarkEnd w:id="49"/>
      <w:r w:rsidRPr="00453542">
        <w:rPr>
          <w:rFonts w:cs="Tahoma"/>
        </w:rPr>
        <w:t xml:space="preserve"> </w:t>
      </w:r>
    </w:p>
    <w:p w14:paraId="44D7FA74" w14:textId="77777777" w:rsidR="00AC0043" w:rsidRDefault="00AC0043" w:rsidP="00AC0043">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70C796A6" w14:textId="77777777" w:rsidR="003031AC" w:rsidRDefault="003031AC" w:rsidP="009578FE">
      <w:pPr>
        <w:pStyle w:val="EC-Para"/>
        <w:spacing w:after="0"/>
        <w:rPr>
          <w:rFonts w:eastAsiaTheme="minorHAnsi" w:cs="Tahoma"/>
          <w:b/>
          <w:lang w:eastAsia="en-US"/>
        </w:rPr>
      </w:pPr>
    </w:p>
    <w:p w14:paraId="6E129C7F" w14:textId="5D4A4A0E" w:rsidR="001442AF" w:rsidRPr="009D4D86" w:rsidRDefault="00A51BAC" w:rsidP="009578FE">
      <w:pPr>
        <w:pStyle w:val="EC-Para"/>
        <w:spacing w:after="0"/>
        <w:rPr>
          <w:rFonts w:eastAsiaTheme="minorHAnsi" w:cs="Tahoma"/>
          <w:b/>
          <w:lang w:eastAsia="en-US"/>
        </w:rPr>
      </w:pPr>
      <w:r w:rsidRPr="009D4D86">
        <w:rPr>
          <w:rFonts w:eastAsiaTheme="minorHAnsi" w:cs="Tahoma"/>
          <w:b/>
          <w:lang w:eastAsia="en-US"/>
        </w:rPr>
        <w:t xml:space="preserve">Annual epidemiological report </w:t>
      </w:r>
      <w:r w:rsidR="002B5FE5" w:rsidRPr="009D4D86">
        <w:rPr>
          <w:rFonts w:eastAsiaTheme="minorHAnsi" w:cs="Tahoma"/>
          <w:b/>
          <w:lang w:eastAsia="en-US"/>
        </w:rPr>
        <w:t>for 20</w:t>
      </w:r>
      <w:r w:rsidR="00392BEA" w:rsidRPr="009D4D86">
        <w:rPr>
          <w:rFonts w:eastAsiaTheme="minorHAnsi" w:cs="Tahoma"/>
          <w:b/>
          <w:lang w:eastAsia="en-US"/>
        </w:rPr>
        <w:t>2</w:t>
      </w:r>
      <w:r w:rsidR="009C548C">
        <w:rPr>
          <w:rFonts w:eastAsiaTheme="minorHAnsi" w:cs="Tahoma"/>
          <w:b/>
          <w:lang w:eastAsia="en-US"/>
        </w:rPr>
        <w:t>2</w:t>
      </w:r>
      <w:r w:rsidRPr="009D4D86">
        <w:rPr>
          <w:rFonts w:eastAsiaTheme="minorHAnsi" w:cs="Tahoma"/>
          <w:b/>
          <w:lang w:eastAsia="en-US"/>
        </w:rPr>
        <w:t xml:space="preserve"> – </w:t>
      </w:r>
      <w:r w:rsidR="002B5FE5" w:rsidRPr="009D4D86">
        <w:rPr>
          <w:rFonts w:eastAsiaTheme="minorHAnsi" w:cs="Tahoma"/>
          <w:b/>
          <w:lang w:eastAsia="en-US"/>
        </w:rPr>
        <w:t>Leptospirosis</w:t>
      </w:r>
      <w:r w:rsidRPr="009D4D86">
        <w:rPr>
          <w:rFonts w:eastAsiaTheme="minorHAnsi" w:cs="Tahoma"/>
          <w:b/>
          <w:lang w:eastAsia="en-US"/>
        </w:rPr>
        <w:t>:</w:t>
      </w:r>
      <w:r w:rsidR="001442AF" w:rsidRPr="009D4D86">
        <w:rPr>
          <w:rFonts w:eastAsiaTheme="minorHAnsi" w:cs="Tahoma"/>
          <w:b/>
          <w:lang w:eastAsia="en-US"/>
        </w:rPr>
        <w:t xml:space="preserve"> </w:t>
      </w:r>
    </w:p>
    <w:p w14:paraId="511EB41A" w14:textId="77777777" w:rsidR="004F2CE6" w:rsidRDefault="00000000" w:rsidP="004F2CE6">
      <w:pPr>
        <w:spacing w:after="200" w:line="276" w:lineRule="auto"/>
        <w:rPr>
          <w:rStyle w:val="Hyperlink"/>
          <w:rFonts w:eastAsia="Arial Unicode MS" w:cs="Times New Roman"/>
          <w:kern w:val="22"/>
          <w:sz w:val="18"/>
          <w:szCs w:val="18"/>
          <w:lang w:eastAsia="ko-KR"/>
        </w:rPr>
      </w:pPr>
      <w:hyperlink r:id="rId46" w:history="1">
        <w:r w:rsidR="004F2CE6" w:rsidRPr="00741474">
          <w:rPr>
            <w:rStyle w:val="Hyperlink"/>
            <w:rFonts w:eastAsia="Arial Unicode MS" w:cs="Times New Roman"/>
            <w:kern w:val="22"/>
            <w:sz w:val="18"/>
            <w:szCs w:val="18"/>
            <w:lang w:eastAsia="ko-KR"/>
          </w:rPr>
          <w:t>https://www.ecdc.europa.eu/sites/default/files/documents/LEPT_AER_2022_Report.pdf</w:t>
        </w:r>
      </w:hyperlink>
    </w:p>
    <w:p w14:paraId="51D63758" w14:textId="5A679D28" w:rsidR="00AC0043" w:rsidRDefault="004F2CE6" w:rsidP="00AC0043">
      <w:pPr>
        <w:spacing w:after="200" w:line="276" w:lineRule="auto"/>
        <w:rPr>
          <w:b/>
          <w:bCs/>
          <w:color w:val="69AE23"/>
          <w:sz w:val="26"/>
          <w:szCs w:val="26"/>
        </w:rPr>
      </w:pPr>
      <w:proofErr w:type="spellStart"/>
      <w:r w:rsidRPr="009378D6">
        <w:rPr>
          <w:rStyle w:val="Hyperlink"/>
          <w:b/>
          <w:bCs/>
          <w:color w:val="auto"/>
          <w:sz w:val="18"/>
          <w:szCs w:val="18"/>
        </w:rPr>
        <w:t>Beauté</w:t>
      </w:r>
      <w:proofErr w:type="spellEnd"/>
      <w:r w:rsidRPr="009378D6">
        <w:rPr>
          <w:rStyle w:val="Hyperlink"/>
          <w:b/>
          <w:bCs/>
          <w:color w:val="auto"/>
          <w:sz w:val="18"/>
          <w:szCs w:val="18"/>
        </w:rPr>
        <w:t xml:space="preserve"> J, Innocenti F, Aristos </w:t>
      </w:r>
      <w:proofErr w:type="spellStart"/>
      <w:r w:rsidRPr="009378D6">
        <w:rPr>
          <w:rStyle w:val="Hyperlink"/>
          <w:b/>
          <w:bCs/>
          <w:color w:val="auto"/>
          <w:sz w:val="18"/>
          <w:szCs w:val="18"/>
        </w:rPr>
        <w:t>Aristodimou</w:t>
      </w:r>
      <w:proofErr w:type="spellEnd"/>
      <w:r w:rsidRPr="009378D6">
        <w:rPr>
          <w:rStyle w:val="Hyperlink"/>
          <w:b/>
          <w:bCs/>
          <w:color w:val="auto"/>
          <w:sz w:val="18"/>
          <w:szCs w:val="18"/>
        </w:rPr>
        <w:t xml:space="preserve"> A, Michaela Špačková M, Eves C</w:t>
      </w:r>
      <w:r>
        <w:rPr>
          <w:rStyle w:val="Hyperlink"/>
          <w:b/>
          <w:bCs/>
          <w:color w:val="auto"/>
          <w:sz w:val="18"/>
          <w:szCs w:val="18"/>
        </w:rPr>
        <w:t>,</w:t>
      </w:r>
      <w:r w:rsidRPr="009378D6">
        <w:rPr>
          <w:rStyle w:val="Hyperlink"/>
          <w:b/>
          <w:bCs/>
          <w:color w:val="auto"/>
          <w:sz w:val="18"/>
          <w:szCs w:val="18"/>
        </w:rPr>
        <w:t xml:space="preserve"> et al. </w:t>
      </w:r>
      <w:r w:rsidRPr="00F57438">
        <w:rPr>
          <w:b/>
          <w:bCs/>
          <w:szCs w:val="18"/>
        </w:rPr>
        <w:t>Epidemiology of</w:t>
      </w:r>
      <w:r>
        <w:rPr>
          <w:b/>
          <w:bCs/>
          <w:szCs w:val="18"/>
        </w:rPr>
        <w:t xml:space="preserve"> </w:t>
      </w:r>
      <w:r w:rsidRPr="00F57438">
        <w:rPr>
          <w:b/>
          <w:bCs/>
          <w:szCs w:val="18"/>
        </w:rPr>
        <w:t>reported cases of leptospirosis in the EU/EEA, 2010 to 2021</w:t>
      </w:r>
      <w:r>
        <w:rPr>
          <w:b/>
          <w:bCs/>
          <w:szCs w:val="18"/>
        </w:rPr>
        <w:t>. Eurosurveillance 2024. Vol</w:t>
      </w:r>
      <w:r w:rsidRPr="001C3D0F">
        <w:rPr>
          <w:b/>
          <w:bCs/>
          <w:szCs w:val="18"/>
        </w:rPr>
        <w:t xml:space="preserve"> 2</w:t>
      </w:r>
      <w:r>
        <w:rPr>
          <w:b/>
          <w:bCs/>
          <w:szCs w:val="18"/>
        </w:rPr>
        <w:t xml:space="preserve">9. </w:t>
      </w:r>
      <w:hyperlink r:id="rId47" w:history="1">
        <w:r w:rsidRPr="0032208D">
          <w:rPr>
            <w:rStyle w:val="Hyperlink"/>
            <w:sz w:val="18"/>
            <w:szCs w:val="18"/>
          </w:rPr>
          <w:t>https://www.eurosurveillance.org/content/10.2807/1560-7917.ES.2024.29.7.2300266</w:t>
        </w:r>
      </w:hyperlink>
      <w:r w:rsidR="00AC0043">
        <w:br w:type="page"/>
      </w:r>
    </w:p>
    <w:p w14:paraId="2216021D" w14:textId="3A3F14FF" w:rsidR="00AC0043" w:rsidRDefault="00AC0043" w:rsidP="009F5B73">
      <w:pPr>
        <w:pStyle w:val="EC-Title-6"/>
        <w:outlineLvl w:val="1"/>
      </w:pPr>
      <w:r>
        <w:lastRenderedPageBreak/>
        <w:t xml:space="preserve">Annex 1. Surveillance systems overview, </w:t>
      </w:r>
      <w:r w:rsidR="00A32FE1">
        <w:t>202</w:t>
      </w:r>
      <w:r w:rsidR="009C548C">
        <w:t>3</w:t>
      </w:r>
    </w:p>
    <w:tbl>
      <w:tblPr>
        <w:tblW w:w="10222" w:type="dxa"/>
        <w:tblInd w:w="-607" w:type="dxa"/>
        <w:tblLook w:val="04A0" w:firstRow="1" w:lastRow="0" w:firstColumn="1" w:lastColumn="0" w:noHBand="0" w:noVBand="1"/>
      </w:tblPr>
      <w:tblGrid>
        <w:gridCol w:w="1056"/>
        <w:gridCol w:w="3152"/>
        <w:gridCol w:w="570"/>
        <w:gridCol w:w="570"/>
        <w:gridCol w:w="570"/>
        <w:gridCol w:w="570"/>
        <w:gridCol w:w="570"/>
        <w:gridCol w:w="570"/>
        <w:gridCol w:w="570"/>
        <w:gridCol w:w="570"/>
        <w:gridCol w:w="1454"/>
      </w:tblGrid>
      <w:tr w:rsidR="00AB1BA4" w:rsidRPr="00D00912" w14:paraId="3DD851B8" w14:textId="77777777" w:rsidTr="007D59F7">
        <w:trPr>
          <w:trHeight w:val="284"/>
        </w:trPr>
        <w:tc>
          <w:tcPr>
            <w:tcW w:w="1056"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3EA4D95A" w14:textId="77777777" w:rsidR="00D00912" w:rsidRPr="00E45C40" w:rsidRDefault="00D00912" w:rsidP="00D00912">
            <w:pPr>
              <w:rPr>
                <w:rFonts w:eastAsia="Times New Roman" w:cs="Tahoma"/>
                <w:b/>
                <w:bCs/>
                <w:color w:val="FFFFFF"/>
                <w:sz w:val="14"/>
                <w:szCs w:val="14"/>
                <w:lang w:eastAsia="en-GB"/>
              </w:rPr>
            </w:pPr>
            <w:r w:rsidRPr="00E45C40">
              <w:rPr>
                <w:rFonts w:eastAsia="Times New Roman" w:cs="Tahoma"/>
                <w:b/>
                <w:bCs/>
                <w:color w:val="FFFFFF"/>
                <w:sz w:val="14"/>
                <w:szCs w:val="14"/>
                <w:lang w:eastAsia="en-GB"/>
              </w:rPr>
              <w:t>Country</w:t>
            </w:r>
          </w:p>
        </w:tc>
        <w:tc>
          <w:tcPr>
            <w:tcW w:w="3152"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53322B1" w14:textId="77777777" w:rsidR="00D00912" w:rsidRPr="00E45C40" w:rsidRDefault="00D00912" w:rsidP="00D00912">
            <w:pPr>
              <w:rPr>
                <w:rFonts w:eastAsia="Times New Roman" w:cs="Tahoma"/>
                <w:b/>
                <w:bCs/>
                <w:color w:val="FFFFFF"/>
                <w:sz w:val="14"/>
                <w:szCs w:val="14"/>
                <w:lang w:eastAsia="en-GB"/>
              </w:rPr>
            </w:pPr>
            <w:r w:rsidRPr="00E45C40">
              <w:rPr>
                <w:rFonts w:eastAsia="Times New Roman" w:cs="Tahoma"/>
                <w:b/>
                <w:bCs/>
                <w:color w:val="FFFFFF"/>
                <w:sz w:val="14"/>
                <w:szCs w:val="14"/>
                <w:lang w:eastAsia="en-GB"/>
              </w:rPr>
              <w:t>Data source</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25C6C7B4" w14:textId="77777777" w:rsidR="00D00912" w:rsidRPr="00E45C40" w:rsidRDefault="00D00912" w:rsidP="00D00912">
            <w:pPr>
              <w:jc w:val="center"/>
              <w:rPr>
                <w:rFonts w:eastAsia="Times New Roman" w:cs="Tahoma"/>
                <w:b/>
                <w:bCs/>
                <w:color w:val="FFFFFF"/>
                <w:sz w:val="14"/>
                <w:szCs w:val="14"/>
                <w:lang w:eastAsia="en-GB"/>
              </w:rPr>
            </w:pPr>
            <w:r w:rsidRPr="00E45C40">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55E81157" w14:textId="77777777" w:rsidR="00D00912" w:rsidRPr="00E45C40" w:rsidRDefault="00D00912" w:rsidP="00D00912">
            <w:pPr>
              <w:jc w:val="center"/>
              <w:rPr>
                <w:rFonts w:eastAsia="Times New Roman" w:cs="Tahoma"/>
                <w:b/>
                <w:bCs/>
                <w:color w:val="FFFFFF"/>
                <w:sz w:val="14"/>
                <w:szCs w:val="14"/>
                <w:lang w:eastAsia="en-GB"/>
              </w:rPr>
            </w:pPr>
            <w:r w:rsidRPr="00E45C40">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2EE255A" w14:textId="77777777" w:rsidR="00D00912" w:rsidRPr="00E45C40" w:rsidRDefault="00D00912" w:rsidP="00D00912">
            <w:pPr>
              <w:jc w:val="center"/>
              <w:rPr>
                <w:rFonts w:eastAsia="Times New Roman" w:cs="Tahoma"/>
                <w:b/>
                <w:bCs/>
                <w:color w:val="FFFFFF"/>
                <w:sz w:val="14"/>
                <w:szCs w:val="14"/>
                <w:lang w:eastAsia="en-GB"/>
              </w:rPr>
            </w:pPr>
            <w:r w:rsidRPr="00E45C40">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51BB301" w14:textId="77777777" w:rsidR="00D00912" w:rsidRPr="00E45C40" w:rsidRDefault="00D00912" w:rsidP="00D00912">
            <w:pPr>
              <w:jc w:val="center"/>
              <w:rPr>
                <w:rFonts w:eastAsia="Times New Roman" w:cs="Tahoma"/>
                <w:b/>
                <w:bCs/>
                <w:color w:val="FFFFFF"/>
                <w:sz w:val="14"/>
                <w:szCs w:val="14"/>
                <w:lang w:eastAsia="en-GB"/>
              </w:rPr>
            </w:pPr>
            <w:r w:rsidRPr="00E45C40">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52AF07E0" w14:textId="77777777" w:rsidR="00D00912" w:rsidRPr="00E45C40" w:rsidRDefault="00D00912" w:rsidP="00D00912">
            <w:pPr>
              <w:jc w:val="center"/>
              <w:rPr>
                <w:rFonts w:eastAsia="Times New Roman" w:cs="Tahoma"/>
                <w:b/>
                <w:bCs/>
                <w:color w:val="FFFFFF"/>
                <w:sz w:val="14"/>
                <w:szCs w:val="14"/>
                <w:lang w:eastAsia="en-GB"/>
              </w:rPr>
            </w:pPr>
            <w:r w:rsidRPr="00E45C40">
              <w:rPr>
                <w:rFonts w:eastAsia="Times New Roman" w:cs="Tahoma"/>
                <w:b/>
                <w:bCs/>
                <w:color w:val="FFFFFF"/>
                <w:sz w:val="14"/>
                <w:szCs w:val="14"/>
                <w:lang w:eastAsia="en-GB"/>
              </w:rPr>
              <w:t>Data reported by</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1FCE0667" w14:textId="77777777" w:rsidR="00D00912" w:rsidRPr="00E45C40" w:rsidRDefault="00D00912" w:rsidP="00D00912">
            <w:pPr>
              <w:rPr>
                <w:rFonts w:eastAsia="Times New Roman" w:cs="Tahoma"/>
                <w:b/>
                <w:bCs/>
                <w:color w:val="FFFFFF"/>
                <w:sz w:val="14"/>
                <w:szCs w:val="14"/>
                <w:lang w:eastAsia="en-GB"/>
              </w:rPr>
            </w:pPr>
            <w:r w:rsidRPr="00E45C40">
              <w:rPr>
                <w:rFonts w:eastAsia="Times New Roman" w:cs="Tahoma"/>
                <w:b/>
                <w:bCs/>
                <w:color w:val="FFFFFF"/>
                <w:sz w:val="14"/>
                <w:szCs w:val="14"/>
                <w:lang w:eastAsia="en-GB"/>
              </w:rPr>
              <w:t>Case definition used</w:t>
            </w:r>
          </w:p>
        </w:tc>
      </w:tr>
      <w:tr w:rsidR="00AB1BA4" w:rsidRPr="00D00912" w14:paraId="36E4B170" w14:textId="77777777" w:rsidTr="007D59F7">
        <w:trPr>
          <w:trHeight w:val="2718"/>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2EC3D171" w14:textId="77777777" w:rsidR="00D00912" w:rsidRPr="00E45C40" w:rsidRDefault="00D00912" w:rsidP="00D00912">
            <w:pPr>
              <w:rPr>
                <w:rFonts w:eastAsia="Times New Roman" w:cs="Tahoma"/>
                <w:b/>
                <w:bCs/>
                <w:color w:val="FFFFFF"/>
                <w:sz w:val="14"/>
                <w:szCs w:val="14"/>
                <w:lang w:eastAsia="en-GB"/>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14:paraId="2946AE79" w14:textId="77777777" w:rsidR="00D00912" w:rsidRPr="00E45C40" w:rsidRDefault="00D00912" w:rsidP="00D00912">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17A02A4E" w14:textId="77777777" w:rsidR="00D00912" w:rsidRPr="00E45C40" w:rsidRDefault="00D00912" w:rsidP="00D00912">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7683BDB6" w14:textId="77777777" w:rsidR="00D00912" w:rsidRPr="00E45C40" w:rsidRDefault="00D00912" w:rsidP="00D00912">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711E4FB" w14:textId="77777777" w:rsidR="00D00912" w:rsidRPr="00E45C40" w:rsidRDefault="00D00912" w:rsidP="00D00912">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448A4062" w14:textId="77777777" w:rsidR="00D00912" w:rsidRPr="00E45C40" w:rsidRDefault="00D00912" w:rsidP="00D00912">
            <w:pPr>
              <w:rPr>
                <w:rFonts w:eastAsia="Times New Roman" w:cs="Tahoma"/>
                <w:b/>
                <w:bCs/>
                <w:color w:val="FFFFFF"/>
                <w:sz w:val="14"/>
                <w:szCs w:val="14"/>
                <w:lang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06D4C938" w14:textId="77777777" w:rsidR="00D00912" w:rsidRPr="00E45C40" w:rsidRDefault="00D00912" w:rsidP="00D00912">
            <w:pPr>
              <w:jc w:val="center"/>
              <w:rPr>
                <w:rFonts w:eastAsia="Times New Roman" w:cs="Tahoma"/>
                <w:b/>
                <w:bCs/>
                <w:color w:val="FFFFFF"/>
                <w:sz w:val="14"/>
                <w:szCs w:val="14"/>
                <w:lang w:eastAsia="en-GB"/>
              </w:rPr>
            </w:pPr>
            <w:r w:rsidRPr="00E45C40">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2C38261D" w14:textId="77777777" w:rsidR="00D00912" w:rsidRPr="00E45C40" w:rsidRDefault="00D00912" w:rsidP="00D00912">
            <w:pPr>
              <w:jc w:val="center"/>
              <w:rPr>
                <w:rFonts w:eastAsia="Times New Roman" w:cs="Tahoma"/>
                <w:b/>
                <w:bCs/>
                <w:color w:val="FFFFFF"/>
                <w:sz w:val="14"/>
                <w:szCs w:val="14"/>
                <w:lang w:eastAsia="en-GB"/>
              </w:rPr>
            </w:pPr>
            <w:r w:rsidRPr="00E45C40">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011AE5EE" w14:textId="77777777" w:rsidR="00D00912" w:rsidRPr="00E45C40" w:rsidRDefault="00D00912" w:rsidP="00D00912">
            <w:pPr>
              <w:jc w:val="center"/>
              <w:rPr>
                <w:rFonts w:eastAsia="Times New Roman" w:cs="Tahoma"/>
                <w:b/>
                <w:bCs/>
                <w:color w:val="FFFFFF"/>
                <w:sz w:val="14"/>
                <w:szCs w:val="14"/>
                <w:lang w:eastAsia="en-GB"/>
              </w:rPr>
            </w:pPr>
            <w:r w:rsidRPr="00E45C40">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7FF38232" w14:textId="77777777" w:rsidR="00D00912" w:rsidRPr="00E45C40" w:rsidRDefault="00D00912" w:rsidP="00D00912">
            <w:pPr>
              <w:jc w:val="center"/>
              <w:rPr>
                <w:rFonts w:eastAsia="Times New Roman" w:cs="Tahoma"/>
                <w:b/>
                <w:bCs/>
                <w:color w:val="FFFFFF"/>
                <w:sz w:val="14"/>
                <w:szCs w:val="14"/>
                <w:lang w:eastAsia="en-GB"/>
              </w:rPr>
            </w:pPr>
            <w:r w:rsidRPr="00E45C40">
              <w:rPr>
                <w:rFonts w:eastAsia="Times New Roman" w:cs="Tahoma"/>
                <w:b/>
                <w:bCs/>
                <w:color w:val="FFFFFF"/>
                <w:sz w:val="14"/>
                <w:szCs w:val="14"/>
                <w:lang w:eastAsia="en-GB"/>
              </w:rPr>
              <w:t>Others</w:t>
            </w:r>
          </w:p>
        </w:tc>
        <w:tc>
          <w:tcPr>
            <w:tcW w:w="1454" w:type="dxa"/>
            <w:vMerge/>
            <w:tcBorders>
              <w:top w:val="single" w:sz="4" w:space="0" w:color="auto"/>
              <w:left w:val="single" w:sz="4" w:space="0" w:color="auto"/>
              <w:bottom w:val="single" w:sz="4" w:space="0" w:color="auto"/>
              <w:right w:val="single" w:sz="4" w:space="0" w:color="auto"/>
            </w:tcBorders>
            <w:vAlign w:val="center"/>
            <w:hideMark/>
          </w:tcPr>
          <w:p w14:paraId="3BD6B4D9" w14:textId="77777777" w:rsidR="00D00912" w:rsidRPr="00E45C40" w:rsidRDefault="00D00912" w:rsidP="00D00912">
            <w:pPr>
              <w:rPr>
                <w:rFonts w:eastAsia="Times New Roman" w:cs="Tahoma"/>
                <w:b/>
                <w:bCs/>
                <w:color w:val="FFFFFF"/>
                <w:sz w:val="14"/>
                <w:szCs w:val="14"/>
                <w:lang w:eastAsia="en-GB"/>
              </w:rPr>
            </w:pPr>
          </w:p>
        </w:tc>
      </w:tr>
      <w:tr w:rsidR="00AB1BA4" w:rsidRPr="00D00912" w14:paraId="7F454A53" w14:textId="77777777" w:rsidTr="007D59F7">
        <w:trPr>
          <w:trHeight w:val="228"/>
        </w:trPr>
        <w:tc>
          <w:tcPr>
            <w:tcW w:w="1056" w:type="dxa"/>
            <w:tcBorders>
              <w:top w:val="single" w:sz="4" w:space="0" w:color="auto"/>
              <w:left w:val="single" w:sz="4" w:space="0" w:color="auto"/>
              <w:bottom w:val="nil"/>
              <w:right w:val="single" w:sz="4" w:space="0" w:color="auto"/>
            </w:tcBorders>
            <w:shd w:val="clear" w:color="000000" w:fill="D9D9D9"/>
            <w:noWrap/>
            <w:vAlign w:val="bottom"/>
            <w:hideMark/>
          </w:tcPr>
          <w:p w14:paraId="7E77EFE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Austria</w:t>
            </w:r>
          </w:p>
        </w:tc>
        <w:tc>
          <w:tcPr>
            <w:tcW w:w="3152" w:type="dxa"/>
            <w:tcBorders>
              <w:top w:val="single" w:sz="4" w:space="0" w:color="auto"/>
              <w:left w:val="single" w:sz="4" w:space="0" w:color="auto"/>
              <w:bottom w:val="nil"/>
              <w:right w:val="single" w:sz="4" w:space="0" w:color="auto"/>
            </w:tcBorders>
            <w:shd w:val="clear" w:color="000000" w:fill="D9D9D9"/>
            <w:noWrap/>
            <w:vAlign w:val="bottom"/>
            <w:hideMark/>
          </w:tcPr>
          <w:p w14:paraId="5A3B3F1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AT-</w:t>
            </w:r>
            <w:proofErr w:type="spellStart"/>
            <w:r w:rsidRPr="00E45C40">
              <w:rPr>
                <w:rFonts w:eastAsia="Times New Roman" w:cs="Tahoma"/>
                <w:sz w:val="14"/>
                <w:szCs w:val="14"/>
                <w:lang w:eastAsia="en-GB"/>
              </w:rPr>
              <w:t>Epidemiegesetz</w:t>
            </w:r>
            <w:proofErr w:type="spellEnd"/>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2DEF5A6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526BD21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0D68CBA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085977B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6B52B49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5EE6200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3D668D9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2253DCA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1454" w:type="dxa"/>
            <w:tcBorders>
              <w:top w:val="single" w:sz="4" w:space="0" w:color="auto"/>
              <w:left w:val="nil"/>
              <w:bottom w:val="nil"/>
              <w:right w:val="single" w:sz="4" w:space="0" w:color="auto"/>
            </w:tcBorders>
            <w:shd w:val="clear" w:color="000000" w:fill="D9D9D9"/>
            <w:noWrap/>
            <w:vAlign w:val="bottom"/>
            <w:hideMark/>
          </w:tcPr>
          <w:p w14:paraId="064424D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EU-2008</w:t>
            </w:r>
          </w:p>
        </w:tc>
      </w:tr>
      <w:tr w:rsidR="00D00912" w:rsidRPr="00D00912" w14:paraId="6EE8C5B9"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204161A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Belgium</w:t>
            </w:r>
          </w:p>
        </w:tc>
        <w:tc>
          <w:tcPr>
            <w:tcW w:w="3152" w:type="dxa"/>
            <w:tcBorders>
              <w:top w:val="nil"/>
              <w:left w:val="nil"/>
              <w:bottom w:val="nil"/>
              <w:right w:val="single" w:sz="4" w:space="0" w:color="auto"/>
            </w:tcBorders>
            <w:shd w:val="clear" w:color="auto" w:fill="auto"/>
            <w:noWrap/>
            <w:vAlign w:val="bottom"/>
            <w:hideMark/>
          </w:tcPr>
          <w:p w14:paraId="074BA46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BE-REFLAB</w:t>
            </w:r>
          </w:p>
        </w:tc>
        <w:tc>
          <w:tcPr>
            <w:tcW w:w="570" w:type="dxa"/>
            <w:tcBorders>
              <w:top w:val="nil"/>
              <w:left w:val="nil"/>
              <w:bottom w:val="nil"/>
              <w:right w:val="single" w:sz="4" w:space="0" w:color="auto"/>
            </w:tcBorders>
            <w:shd w:val="clear" w:color="auto" w:fill="auto"/>
            <w:noWrap/>
            <w:vAlign w:val="bottom"/>
            <w:hideMark/>
          </w:tcPr>
          <w:p w14:paraId="7BEFA6E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O</w:t>
            </w:r>
          </w:p>
        </w:tc>
        <w:tc>
          <w:tcPr>
            <w:tcW w:w="570" w:type="dxa"/>
            <w:tcBorders>
              <w:top w:val="nil"/>
              <w:left w:val="nil"/>
              <w:bottom w:val="nil"/>
              <w:right w:val="single" w:sz="4" w:space="0" w:color="auto"/>
            </w:tcBorders>
            <w:shd w:val="clear" w:color="auto" w:fill="auto"/>
            <w:noWrap/>
            <w:vAlign w:val="bottom"/>
            <w:hideMark/>
          </w:tcPr>
          <w:p w14:paraId="33E242A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A23178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7F4B0F6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7D9ACF6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714E09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6F9DAA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2A45F68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auto" w:fill="auto"/>
            <w:noWrap/>
            <w:vAlign w:val="bottom"/>
            <w:hideMark/>
          </w:tcPr>
          <w:p w14:paraId="5910A72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r w:rsidR="00AB1BA4" w:rsidRPr="00D00912" w14:paraId="1E9CBFB1"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72F64C8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Bulgaria</w:t>
            </w:r>
          </w:p>
        </w:tc>
        <w:tc>
          <w:tcPr>
            <w:tcW w:w="3152" w:type="dxa"/>
            <w:tcBorders>
              <w:top w:val="nil"/>
              <w:left w:val="single" w:sz="4" w:space="0" w:color="auto"/>
              <w:bottom w:val="nil"/>
              <w:right w:val="single" w:sz="4" w:space="0" w:color="auto"/>
            </w:tcBorders>
            <w:shd w:val="clear" w:color="000000" w:fill="D9D9D9"/>
            <w:noWrap/>
            <w:vAlign w:val="bottom"/>
            <w:hideMark/>
          </w:tcPr>
          <w:p w14:paraId="6DE1EC4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BG-NATIONAL_SURVEILLANCE</w:t>
            </w:r>
          </w:p>
        </w:tc>
        <w:tc>
          <w:tcPr>
            <w:tcW w:w="570" w:type="dxa"/>
            <w:tcBorders>
              <w:top w:val="nil"/>
              <w:left w:val="single" w:sz="4" w:space="0" w:color="auto"/>
              <w:bottom w:val="nil"/>
              <w:right w:val="single" w:sz="4" w:space="0" w:color="auto"/>
            </w:tcBorders>
            <w:shd w:val="clear" w:color="000000" w:fill="D9D9D9"/>
            <w:noWrap/>
            <w:vAlign w:val="bottom"/>
            <w:hideMark/>
          </w:tcPr>
          <w:p w14:paraId="0F31F33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A4BC72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182475B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9C4D70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A</w:t>
            </w:r>
          </w:p>
        </w:tc>
        <w:tc>
          <w:tcPr>
            <w:tcW w:w="570" w:type="dxa"/>
            <w:tcBorders>
              <w:top w:val="nil"/>
              <w:left w:val="single" w:sz="4" w:space="0" w:color="auto"/>
              <w:bottom w:val="nil"/>
              <w:right w:val="single" w:sz="4" w:space="0" w:color="auto"/>
            </w:tcBorders>
            <w:shd w:val="clear" w:color="000000" w:fill="D9D9D9"/>
            <w:noWrap/>
            <w:vAlign w:val="bottom"/>
            <w:hideMark/>
          </w:tcPr>
          <w:p w14:paraId="1F7B0B4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E6D734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7ECFAC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95DB22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1454" w:type="dxa"/>
            <w:tcBorders>
              <w:top w:val="nil"/>
              <w:left w:val="nil"/>
              <w:bottom w:val="nil"/>
              <w:right w:val="single" w:sz="4" w:space="0" w:color="auto"/>
            </w:tcBorders>
            <w:shd w:val="clear" w:color="000000" w:fill="D9D9D9"/>
            <w:noWrap/>
            <w:vAlign w:val="bottom"/>
            <w:hideMark/>
          </w:tcPr>
          <w:p w14:paraId="5A87964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r w:rsidR="00D00912" w:rsidRPr="00D00912" w14:paraId="3B0D650E"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7E72AEF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Croatia</w:t>
            </w:r>
          </w:p>
        </w:tc>
        <w:tc>
          <w:tcPr>
            <w:tcW w:w="3152" w:type="dxa"/>
            <w:tcBorders>
              <w:top w:val="nil"/>
              <w:left w:val="nil"/>
              <w:bottom w:val="nil"/>
              <w:right w:val="single" w:sz="4" w:space="0" w:color="auto"/>
            </w:tcBorders>
            <w:shd w:val="clear" w:color="auto" w:fill="auto"/>
            <w:noWrap/>
            <w:vAlign w:val="bottom"/>
            <w:hideMark/>
          </w:tcPr>
          <w:p w14:paraId="10AFD08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HR-CNIPH</w:t>
            </w:r>
          </w:p>
        </w:tc>
        <w:tc>
          <w:tcPr>
            <w:tcW w:w="570" w:type="dxa"/>
            <w:tcBorders>
              <w:top w:val="nil"/>
              <w:left w:val="nil"/>
              <w:bottom w:val="nil"/>
              <w:right w:val="single" w:sz="4" w:space="0" w:color="auto"/>
            </w:tcBorders>
            <w:shd w:val="clear" w:color="auto" w:fill="auto"/>
            <w:noWrap/>
            <w:vAlign w:val="bottom"/>
            <w:hideMark/>
          </w:tcPr>
          <w:p w14:paraId="43E013A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65DC4A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64D36B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B390FB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071C449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27FDA0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DDC067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CF1382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1454" w:type="dxa"/>
            <w:tcBorders>
              <w:top w:val="nil"/>
              <w:left w:val="nil"/>
              <w:bottom w:val="nil"/>
              <w:right w:val="single" w:sz="4" w:space="0" w:color="auto"/>
            </w:tcBorders>
            <w:shd w:val="clear" w:color="auto" w:fill="auto"/>
            <w:noWrap/>
            <w:vAlign w:val="bottom"/>
            <w:hideMark/>
          </w:tcPr>
          <w:p w14:paraId="2D052FF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EU-2012</w:t>
            </w:r>
          </w:p>
        </w:tc>
      </w:tr>
      <w:tr w:rsidR="00AB1BA4" w:rsidRPr="00D00912" w14:paraId="6F8EFB1F"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0BEA938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Cyprus</w:t>
            </w:r>
          </w:p>
        </w:tc>
        <w:tc>
          <w:tcPr>
            <w:tcW w:w="3152" w:type="dxa"/>
            <w:tcBorders>
              <w:top w:val="nil"/>
              <w:left w:val="single" w:sz="4" w:space="0" w:color="auto"/>
              <w:bottom w:val="nil"/>
              <w:right w:val="single" w:sz="4" w:space="0" w:color="auto"/>
            </w:tcBorders>
            <w:shd w:val="clear" w:color="000000" w:fill="D9D9D9"/>
            <w:noWrap/>
            <w:vAlign w:val="bottom"/>
            <w:hideMark/>
          </w:tcPr>
          <w:p w14:paraId="412A091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CY-NOTIFIED_DISEASES</w:t>
            </w:r>
          </w:p>
        </w:tc>
        <w:tc>
          <w:tcPr>
            <w:tcW w:w="570" w:type="dxa"/>
            <w:tcBorders>
              <w:top w:val="nil"/>
              <w:left w:val="single" w:sz="4" w:space="0" w:color="auto"/>
              <w:bottom w:val="nil"/>
              <w:right w:val="single" w:sz="4" w:space="0" w:color="auto"/>
            </w:tcBorders>
            <w:shd w:val="clear" w:color="000000" w:fill="D9D9D9"/>
            <w:noWrap/>
            <w:vAlign w:val="bottom"/>
            <w:hideMark/>
          </w:tcPr>
          <w:p w14:paraId="04ABA4E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47E1FAD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4360406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5E9286E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364E389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1DCD4A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FD83EC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65EC2B4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304559B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EU-2008</w:t>
            </w:r>
          </w:p>
        </w:tc>
      </w:tr>
      <w:tr w:rsidR="00D00912" w:rsidRPr="00D00912" w14:paraId="37FFAEF6"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5B44BEF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Czechia</w:t>
            </w:r>
          </w:p>
        </w:tc>
        <w:tc>
          <w:tcPr>
            <w:tcW w:w="3152" w:type="dxa"/>
            <w:tcBorders>
              <w:top w:val="nil"/>
              <w:left w:val="nil"/>
              <w:bottom w:val="nil"/>
              <w:right w:val="single" w:sz="4" w:space="0" w:color="auto"/>
            </w:tcBorders>
            <w:shd w:val="clear" w:color="auto" w:fill="auto"/>
            <w:noWrap/>
            <w:vAlign w:val="bottom"/>
            <w:hideMark/>
          </w:tcPr>
          <w:p w14:paraId="775EB00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CZ-ISIN</w:t>
            </w:r>
          </w:p>
        </w:tc>
        <w:tc>
          <w:tcPr>
            <w:tcW w:w="570" w:type="dxa"/>
            <w:tcBorders>
              <w:top w:val="nil"/>
              <w:left w:val="nil"/>
              <w:bottom w:val="nil"/>
              <w:right w:val="single" w:sz="4" w:space="0" w:color="auto"/>
            </w:tcBorders>
            <w:shd w:val="clear" w:color="auto" w:fill="auto"/>
            <w:noWrap/>
            <w:vAlign w:val="bottom"/>
            <w:hideMark/>
          </w:tcPr>
          <w:p w14:paraId="069382B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4096FE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915F1B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39E5DCC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254ABF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55525F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E9EB11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8FCFEA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auto" w:fill="auto"/>
            <w:noWrap/>
            <w:vAlign w:val="bottom"/>
            <w:hideMark/>
          </w:tcPr>
          <w:p w14:paraId="7CC1F5C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EU-2008</w:t>
            </w:r>
          </w:p>
        </w:tc>
      </w:tr>
      <w:tr w:rsidR="00AB1BA4" w:rsidRPr="00D00912" w14:paraId="5A786420"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66E7E60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Denmark</w:t>
            </w:r>
          </w:p>
        </w:tc>
        <w:tc>
          <w:tcPr>
            <w:tcW w:w="3152" w:type="dxa"/>
            <w:tcBorders>
              <w:top w:val="nil"/>
              <w:left w:val="single" w:sz="4" w:space="0" w:color="auto"/>
              <w:bottom w:val="nil"/>
              <w:right w:val="single" w:sz="4" w:space="0" w:color="auto"/>
            </w:tcBorders>
            <w:shd w:val="clear" w:color="000000" w:fill="D9D9D9"/>
            <w:noWrap/>
            <w:vAlign w:val="bottom"/>
            <w:hideMark/>
          </w:tcPr>
          <w:p w14:paraId="696FE85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DK-MIS</w:t>
            </w:r>
          </w:p>
        </w:tc>
        <w:tc>
          <w:tcPr>
            <w:tcW w:w="570" w:type="dxa"/>
            <w:tcBorders>
              <w:top w:val="nil"/>
              <w:left w:val="single" w:sz="4" w:space="0" w:color="auto"/>
              <w:bottom w:val="nil"/>
              <w:right w:val="single" w:sz="4" w:space="0" w:color="auto"/>
            </w:tcBorders>
            <w:shd w:val="clear" w:color="000000" w:fill="D9D9D9"/>
            <w:noWrap/>
            <w:vAlign w:val="bottom"/>
            <w:hideMark/>
          </w:tcPr>
          <w:p w14:paraId="053136F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4C17322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30EC868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7CF2640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79F5339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4EC9253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5A55E1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04183BA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30B63E1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Other</w:t>
            </w:r>
          </w:p>
        </w:tc>
      </w:tr>
      <w:tr w:rsidR="00D00912" w:rsidRPr="00D00912" w14:paraId="0A04F125"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57A5F7D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Estonia</w:t>
            </w:r>
          </w:p>
        </w:tc>
        <w:tc>
          <w:tcPr>
            <w:tcW w:w="3152" w:type="dxa"/>
            <w:tcBorders>
              <w:top w:val="nil"/>
              <w:left w:val="nil"/>
              <w:bottom w:val="nil"/>
              <w:right w:val="single" w:sz="4" w:space="0" w:color="auto"/>
            </w:tcBorders>
            <w:shd w:val="clear" w:color="auto" w:fill="auto"/>
            <w:noWrap/>
            <w:vAlign w:val="bottom"/>
            <w:hideMark/>
          </w:tcPr>
          <w:p w14:paraId="1520DEC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EE-NAKIS</w:t>
            </w:r>
          </w:p>
        </w:tc>
        <w:tc>
          <w:tcPr>
            <w:tcW w:w="570" w:type="dxa"/>
            <w:tcBorders>
              <w:top w:val="nil"/>
              <w:left w:val="nil"/>
              <w:bottom w:val="nil"/>
              <w:right w:val="single" w:sz="4" w:space="0" w:color="auto"/>
            </w:tcBorders>
            <w:shd w:val="clear" w:color="auto" w:fill="auto"/>
            <w:noWrap/>
            <w:vAlign w:val="bottom"/>
            <w:hideMark/>
          </w:tcPr>
          <w:p w14:paraId="290E2CB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FD62E7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6C157B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724F8C3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0C3917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9B080F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34F30A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00A831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auto" w:fill="auto"/>
            <w:noWrap/>
            <w:vAlign w:val="bottom"/>
            <w:hideMark/>
          </w:tcPr>
          <w:p w14:paraId="1E53A59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r w:rsidR="00AB1BA4" w:rsidRPr="00D00912" w14:paraId="20206EE5"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7AA3D70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Finland</w:t>
            </w:r>
          </w:p>
        </w:tc>
        <w:tc>
          <w:tcPr>
            <w:tcW w:w="3152" w:type="dxa"/>
            <w:tcBorders>
              <w:top w:val="nil"/>
              <w:left w:val="single" w:sz="4" w:space="0" w:color="auto"/>
              <w:bottom w:val="nil"/>
              <w:right w:val="single" w:sz="4" w:space="0" w:color="auto"/>
            </w:tcBorders>
            <w:shd w:val="clear" w:color="000000" w:fill="D9D9D9"/>
            <w:noWrap/>
            <w:vAlign w:val="bottom"/>
            <w:hideMark/>
          </w:tcPr>
          <w:p w14:paraId="7A7C34E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FI-NIDR</w:t>
            </w:r>
          </w:p>
        </w:tc>
        <w:tc>
          <w:tcPr>
            <w:tcW w:w="570" w:type="dxa"/>
            <w:tcBorders>
              <w:top w:val="nil"/>
              <w:left w:val="single" w:sz="4" w:space="0" w:color="auto"/>
              <w:bottom w:val="nil"/>
              <w:right w:val="single" w:sz="4" w:space="0" w:color="auto"/>
            </w:tcBorders>
            <w:shd w:val="clear" w:color="000000" w:fill="D9D9D9"/>
            <w:noWrap/>
            <w:vAlign w:val="bottom"/>
            <w:hideMark/>
          </w:tcPr>
          <w:p w14:paraId="0A065F5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184ED0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53858CD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5780A0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924F7F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A4AC27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113E88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23CBBEC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5A62ECB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EU-2012</w:t>
            </w:r>
          </w:p>
        </w:tc>
      </w:tr>
      <w:tr w:rsidR="00D00912" w:rsidRPr="00D00912" w14:paraId="44404445"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174AFA1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France</w:t>
            </w:r>
          </w:p>
        </w:tc>
        <w:tc>
          <w:tcPr>
            <w:tcW w:w="3152" w:type="dxa"/>
            <w:tcBorders>
              <w:top w:val="nil"/>
              <w:left w:val="nil"/>
              <w:bottom w:val="nil"/>
              <w:right w:val="single" w:sz="4" w:space="0" w:color="auto"/>
            </w:tcBorders>
            <w:shd w:val="clear" w:color="auto" w:fill="auto"/>
            <w:noWrap/>
            <w:vAlign w:val="bottom"/>
            <w:hideMark/>
          </w:tcPr>
          <w:p w14:paraId="326844D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FR-NATIONAL_REFERENCE_CENTRES</w:t>
            </w:r>
          </w:p>
        </w:tc>
        <w:tc>
          <w:tcPr>
            <w:tcW w:w="570" w:type="dxa"/>
            <w:tcBorders>
              <w:top w:val="nil"/>
              <w:left w:val="nil"/>
              <w:bottom w:val="nil"/>
              <w:right w:val="single" w:sz="4" w:space="0" w:color="auto"/>
            </w:tcBorders>
            <w:shd w:val="clear" w:color="auto" w:fill="auto"/>
            <w:noWrap/>
            <w:vAlign w:val="bottom"/>
            <w:hideMark/>
          </w:tcPr>
          <w:p w14:paraId="65254D0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6308375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D3F065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5E3821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040171B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6741B0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6F3E839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4C4ADE5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auto" w:fill="auto"/>
            <w:noWrap/>
            <w:vAlign w:val="bottom"/>
            <w:hideMark/>
          </w:tcPr>
          <w:p w14:paraId="6F41A41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Other</w:t>
            </w:r>
          </w:p>
        </w:tc>
      </w:tr>
      <w:tr w:rsidR="00AB1BA4" w:rsidRPr="00D00912" w14:paraId="0BBF587D"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7087DD1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Germany</w:t>
            </w:r>
          </w:p>
        </w:tc>
        <w:tc>
          <w:tcPr>
            <w:tcW w:w="3152" w:type="dxa"/>
            <w:tcBorders>
              <w:top w:val="nil"/>
              <w:left w:val="single" w:sz="4" w:space="0" w:color="auto"/>
              <w:bottom w:val="nil"/>
              <w:right w:val="single" w:sz="4" w:space="0" w:color="auto"/>
            </w:tcBorders>
            <w:shd w:val="clear" w:color="000000" w:fill="D9D9D9"/>
            <w:noWrap/>
            <w:vAlign w:val="bottom"/>
            <w:hideMark/>
          </w:tcPr>
          <w:p w14:paraId="273A776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DE-SURVNET@RKI-7.1</w:t>
            </w:r>
          </w:p>
        </w:tc>
        <w:tc>
          <w:tcPr>
            <w:tcW w:w="570" w:type="dxa"/>
            <w:tcBorders>
              <w:top w:val="nil"/>
              <w:left w:val="single" w:sz="4" w:space="0" w:color="auto"/>
              <w:bottom w:val="nil"/>
              <w:right w:val="single" w:sz="4" w:space="0" w:color="auto"/>
            </w:tcBorders>
            <w:shd w:val="clear" w:color="000000" w:fill="D9D9D9"/>
            <w:noWrap/>
            <w:vAlign w:val="bottom"/>
            <w:hideMark/>
          </w:tcPr>
          <w:p w14:paraId="09038A8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67E71EC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2894DD8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7202B1E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6C70819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327D25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19BC7F9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6F786C1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79D8C30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Other</w:t>
            </w:r>
          </w:p>
        </w:tc>
      </w:tr>
      <w:tr w:rsidR="00D00912" w:rsidRPr="00D00912" w14:paraId="69B28AAA"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46B25EA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Greece</w:t>
            </w:r>
          </w:p>
        </w:tc>
        <w:tc>
          <w:tcPr>
            <w:tcW w:w="3152" w:type="dxa"/>
            <w:tcBorders>
              <w:top w:val="nil"/>
              <w:left w:val="nil"/>
              <w:bottom w:val="nil"/>
              <w:right w:val="single" w:sz="4" w:space="0" w:color="auto"/>
            </w:tcBorders>
            <w:shd w:val="clear" w:color="auto" w:fill="auto"/>
            <w:noWrap/>
            <w:vAlign w:val="bottom"/>
            <w:hideMark/>
          </w:tcPr>
          <w:p w14:paraId="43E5B25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EL-NOTIFIABLE_DISEASES</w:t>
            </w:r>
          </w:p>
        </w:tc>
        <w:tc>
          <w:tcPr>
            <w:tcW w:w="570" w:type="dxa"/>
            <w:tcBorders>
              <w:top w:val="nil"/>
              <w:left w:val="nil"/>
              <w:bottom w:val="nil"/>
              <w:right w:val="single" w:sz="4" w:space="0" w:color="auto"/>
            </w:tcBorders>
            <w:shd w:val="clear" w:color="auto" w:fill="auto"/>
            <w:noWrap/>
            <w:vAlign w:val="bottom"/>
            <w:hideMark/>
          </w:tcPr>
          <w:p w14:paraId="5DF86C2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E591FB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C23186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96D297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BDBF36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0165D7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50D439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8E63CF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w:t>
            </w:r>
          </w:p>
        </w:tc>
        <w:tc>
          <w:tcPr>
            <w:tcW w:w="1454" w:type="dxa"/>
            <w:tcBorders>
              <w:top w:val="nil"/>
              <w:left w:val="nil"/>
              <w:bottom w:val="nil"/>
              <w:right w:val="single" w:sz="4" w:space="0" w:color="auto"/>
            </w:tcBorders>
            <w:shd w:val="clear" w:color="auto" w:fill="auto"/>
            <w:noWrap/>
            <w:vAlign w:val="bottom"/>
            <w:hideMark/>
          </w:tcPr>
          <w:p w14:paraId="13BD8C0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r w:rsidR="00AB1BA4" w:rsidRPr="00D00912" w14:paraId="1F53DC2A"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017E819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Hungary</w:t>
            </w:r>
          </w:p>
        </w:tc>
        <w:tc>
          <w:tcPr>
            <w:tcW w:w="3152" w:type="dxa"/>
            <w:tcBorders>
              <w:top w:val="nil"/>
              <w:left w:val="single" w:sz="4" w:space="0" w:color="auto"/>
              <w:bottom w:val="nil"/>
              <w:right w:val="single" w:sz="4" w:space="0" w:color="auto"/>
            </w:tcBorders>
            <w:shd w:val="clear" w:color="000000" w:fill="D9D9D9"/>
            <w:noWrap/>
            <w:vAlign w:val="bottom"/>
            <w:hideMark/>
          </w:tcPr>
          <w:p w14:paraId="6D3E2B8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HU-EFRIR</w:t>
            </w:r>
          </w:p>
        </w:tc>
        <w:tc>
          <w:tcPr>
            <w:tcW w:w="570" w:type="dxa"/>
            <w:tcBorders>
              <w:top w:val="nil"/>
              <w:left w:val="single" w:sz="4" w:space="0" w:color="auto"/>
              <w:bottom w:val="nil"/>
              <w:right w:val="single" w:sz="4" w:space="0" w:color="auto"/>
            </w:tcBorders>
            <w:shd w:val="clear" w:color="000000" w:fill="D9D9D9"/>
            <w:noWrap/>
            <w:vAlign w:val="bottom"/>
            <w:hideMark/>
          </w:tcPr>
          <w:p w14:paraId="051A058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52523BA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37C7069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69551DB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01627C5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A4883D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AF6F3C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EF3C7D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2946E1D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EU-2012</w:t>
            </w:r>
          </w:p>
        </w:tc>
      </w:tr>
      <w:tr w:rsidR="00D00912" w:rsidRPr="00D00912" w14:paraId="01310FCE"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6F31FAE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Iceland</w:t>
            </w:r>
          </w:p>
        </w:tc>
        <w:tc>
          <w:tcPr>
            <w:tcW w:w="3152" w:type="dxa"/>
            <w:tcBorders>
              <w:top w:val="nil"/>
              <w:left w:val="nil"/>
              <w:bottom w:val="nil"/>
              <w:right w:val="single" w:sz="4" w:space="0" w:color="auto"/>
            </w:tcBorders>
            <w:shd w:val="clear" w:color="auto" w:fill="auto"/>
            <w:noWrap/>
            <w:vAlign w:val="bottom"/>
            <w:hideMark/>
          </w:tcPr>
          <w:p w14:paraId="6B73E40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IS-SUBJECT_TO_REGISTRATION</w:t>
            </w:r>
          </w:p>
        </w:tc>
        <w:tc>
          <w:tcPr>
            <w:tcW w:w="570" w:type="dxa"/>
            <w:tcBorders>
              <w:top w:val="nil"/>
              <w:left w:val="nil"/>
              <w:bottom w:val="nil"/>
              <w:right w:val="single" w:sz="4" w:space="0" w:color="auto"/>
            </w:tcBorders>
            <w:shd w:val="clear" w:color="auto" w:fill="auto"/>
            <w:noWrap/>
            <w:vAlign w:val="bottom"/>
            <w:hideMark/>
          </w:tcPr>
          <w:p w14:paraId="57FFFF0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2E71CE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74C018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9E3D32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427D4E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71FB76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6CBAC3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w:t>
            </w:r>
          </w:p>
        </w:tc>
        <w:tc>
          <w:tcPr>
            <w:tcW w:w="570" w:type="dxa"/>
            <w:tcBorders>
              <w:top w:val="nil"/>
              <w:left w:val="nil"/>
              <w:bottom w:val="nil"/>
              <w:right w:val="single" w:sz="4" w:space="0" w:color="auto"/>
            </w:tcBorders>
            <w:shd w:val="clear" w:color="auto" w:fill="auto"/>
            <w:noWrap/>
            <w:vAlign w:val="bottom"/>
            <w:hideMark/>
          </w:tcPr>
          <w:p w14:paraId="6E9A332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w:t>
            </w:r>
          </w:p>
        </w:tc>
        <w:tc>
          <w:tcPr>
            <w:tcW w:w="1454" w:type="dxa"/>
            <w:tcBorders>
              <w:top w:val="nil"/>
              <w:left w:val="nil"/>
              <w:bottom w:val="nil"/>
              <w:right w:val="single" w:sz="4" w:space="0" w:color="auto"/>
            </w:tcBorders>
            <w:shd w:val="clear" w:color="auto" w:fill="auto"/>
            <w:noWrap/>
            <w:vAlign w:val="bottom"/>
            <w:hideMark/>
          </w:tcPr>
          <w:p w14:paraId="2CA997CB" w14:textId="69DE690C"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w:t>
            </w:r>
            <w:r w:rsidR="003A12EB" w:rsidRPr="00E45C40">
              <w:rPr>
                <w:rFonts w:eastAsia="Times New Roman" w:cs="Tahoma"/>
                <w:sz w:val="14"/>
                <w:szCs w:val="14"/>
                <w:lang w:eastAsia="en-GB"/>
              </w:rPr>
              <w:t>8</w:t>
            </w:r>
          </w:p>
        </w:tc>
      </w:tr>
      <w:tr w:rsidR="00AB1BA4" w:rsidRPr="00D00912" w14:paraId="5D17B53C"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5238092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Ireland</w:t>
            </w:r>
          </w:p>
        </w:tc>
        <w:tc>
          <w:tcPr>
            <w:tcW w:w="3152" w:type="dxa"/>
            <w:tcBorders>
              <w:top w:val="nil"/>
              <w:left w:val="single" w:sz="4" w:space="0" w:color="auto"/>
              <w:bottom w:val="nil"/>
              <w:right w:val="single" w:sz="4" w:space="0" w:color="auto"/>
            </w:tcBorders>
            <w:shd w:val="clear" w:color="000000" w:fill="D9D9D9"/>
            <w:noWrap/>
            <w:vAlign w:val="bottom"/>
            <w:hideMark/>
          </w:tcPr>
          <w:p w14:paraId="4AC3392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IE-CIDR</w:t>
            </w:r>
          </w:p>
        </w:tc>
        <w:tc>
          <w:tcPr>
            <w:tcW w:w="570" w:type="dxa"/>
            <w:tcBorders>
              <w:top w:val="nil"/>
              <w:left w:val="single" w:sz="4" w:space="0" w:color="auto"/>
              <w:bottom w:val="nil"/>
              <w:right w:val="single" w:sz="4" w:space="0" w:color="auto"/>
            </w:tcBorders>
            <w:shd w:val="clear" w:color="000000" w:fill="D9D9D9"/>
            <w:noWrap/>
            <w:vAlign w:val="bottom"/>
            <w:hideMark/>
          </w:tcPr>
          <w:p w14:paraId="3E73EC9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0479CB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5654061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707AE35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356F9AC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591A3F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F4C85F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5BB130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74D6521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EU-2008</w:t>
            </w:r>
          </w:p>
        </w:tc>
      </w:tr>
      <w:tr w:rsidR="00D00912" w:rsidRPr="00D00912" w14:paraId="411FBA1C"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7190B54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Italy</w:t>
            </w:r>
          </w:p>
        </w:tc>
        <w:tc>
          <w:tcPr>
            <w:tcW w:w="3152" w:type="dxa"/>
            <w:tcBorders>
              <w:top w:val="nil"/>
              <w:left w:val="nil"/>
              <w:bottom w:val="nil"/>
              <w:right w:val="single" w:sz="4" w:space="0" w:color="auto"/>
            </w:tcBorders>
            <w:shd w:val="clear" w:color="auto" w:fill="auto"/>
            <w:noWrap/>
            <w:vAlign w:val="bottom"/>
            <w:hideMark/>
          </w:tcPr>
          <w:p w14:paraId="5786857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IT-NRS</w:t>
            </w:r>
          </w:p>
        </w:tc>
        <w:tc>
          <w:tcPr>
            <w:tcW w:w="570" w:type="dxa"/>
            <w:tcBorders>
              <w:top w:val="nil"/>
              <w:left w:val="nil"/>
              <w:bottom w:val="nil"/>
              <w:right w:val="single" w:sz="4" w:space="0" w:color="auto"/>
            </w:tcBorders>
            <w:shd w:val="clear" w:color="auto" w:fill="auto"/>
            <w:noWrap/>
            <w:vAlign w:val="bottom"/>
            <w:hideMark/>
          </w:tcPr>
          <w:p w14:paraId="5EBBBE1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3783C3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6ABDFB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5AB2CE2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189C1B2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7CB086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30E31B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295C1D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auto" w:fill="auto"/>
            <w:noWrap/>
            <w:vAlign w:val="bottom"/>
            <w:hideMark/>
          </w:tcPr>
          <w:p w14:paraId="563B6F0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Other</w:t>
            </w:r>
          </w:p>
        </w:tc>
      </w:tr>
      <w:tr w:rsidR="00AB1BA4" w:rsidRPr="00D00912" w14:paraId="30FB0758"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7933981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Latvia</w:t>
            </w:r>
          </w:p>
        </w:tc>
        <w:tc>
          <w:tcPr>
            <w:tcW w:w="3152" w:type="dxa"/>
            <w:tcBorders>
              <w:top w:val="nil"/>
              <w:left w:val="single" w:sz="4" w:space="0" w:color="auto"/>
              <w:bottom w:val="nil"/>
              <w:right w:val="single" w:sz="4" w:space="0" w:color="auto"/>
            </w:tcBorders>
            <w:shd w:val="clear" w:color="000000" w:fill="D9D9D9"/>
            <w:noWrap/>
            <w:vAlign w:val="bottom"/>
            <w:hideMark/>
          </w:tcPr>
          <w:p w14:paraId="4B5E94F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LV-BSN</w:t>
            </w:r>
          </w:p>
        </w:tc>
        <w:tc>
          <w:tcPr>
            <w:tcW w:w="570" w:type="dxa"/>
            <w:tcBorders>
              <w:top w:val="nil"/>
              <w:left w:val="single" w:sz="4" w:space="0" w:color="auto"/>
              <w:bottom w:val="nil"/>
              <w:right w:val="single" w:sz="4" w:space="0" w:color="auto"/>
            </w:tcBorders>
            <w:shd w:val="clear" w:color="000000" w:fill="D9D9D9"/>
            <w:noWrap/>
            <w:vAlign w:val="bottom"/>
            <w:hideMark/>
          </w:tcPr>
          <w:p w14:paraId="068626F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6390C98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448F77E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EF71C6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790871B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3FEF6A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748829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3C6974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64A5354F" w14:textId="21155A8C"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w:t>
            </w:r>
            <w:r w:rsidR="00D30C9C">
              <w:rPr>
                <w:rFonts w:eastAsia="Times New Roman" w:cs="Tahoma"/>
                <w:sz w:val="14"/>
                <w:szCs w:val="14"/>
                <w:lang w:eastAsia="en-GB"/>
              </w:rPr>
              <w:t>8</w:t>
            </w:r>
          </w:p>
        </w:tc>
      </w:tr>
      <w:tr w:rsidR="00D00912" w:rsidRPr="00D00912" w14:paraId="44367341"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2955872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Lithuania</w:t>
            </w:r>
          </w:p>
        </w:tc>
        <w:tc>
          <w:tcPr>
            <w:tcW w:w="3152" w:type="dxa"/>
            <w:tcBorders>
              <w:top w:val="nil"/>
              <w:left w:val="nil"/>
              <w:bottom w:val="nil"/>
              <w:right w:val="single" w:sz="4" w:space="0" w:color="auto"/>
            </w:tcBorders>
            <w:shd w:val="clear" w:color="auto" w:fill="auto"/>
            <w:noWrap/>
            <w:vAlign w:val="bottom"/>
            <w:hideMark/>
          </w:tcPr>
          <w:p w14:paraId="512F726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LT-COMMUNICABLE_DISEASES</w:t>
            </w:r>
          </w:p>
        </w:tc>
        <w:tc>
          <w:tcPr>
            <w:tcW w:w="570" w:type="dxa"/>
            <w:tcBorders>
              <w:top w:val="nil"/>
              <w:left w:val="nil"/>
              <w:bottom w:val="nil"/>
              <w:right w:val="single" w:sz="4" w:space="0" w:color="auto"/>
            </w:tcBorders>
            <w:shd w:val="clear" w:color="auto" w:fill="auto"/>
            <w:noWrap/>
            <w:vAlign w:val="bottom"/>
            <w:hideMark/>
          </w:tcPr>
          <w:p w14:paraId="2444EE4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376D6B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118F78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5DD2BA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00E1245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83C5ED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F0F6F9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2E39DBF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auto" w:fill="auto"/>
            <w:noWrap/>
            <w:vAlign w:val="bottom"/>
            <w:hideMark/>
          </w:tcPr>
          <w:p w14:paraId="7CB844D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r w:rsidR="00AB1BA4" w:rsidRPr="00D00912" w14:paraId="77009A08"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77F05B7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Luxembourg</w:t>
            </w:r>
          </w:p>
        </w:tc>
        <w:tc>
          <w:tcPr>
            <w:tcW w:w="3152" w:type="dxa"/>
            <w:tcBorders>
              <w:top w:val="nil"/>
              <w:left w:val="single" w:sz="4" w:space="0" w:color="auto"/>
              <w:bottom w:val="nil"/>
              <w:right w:val="single" w:sz="4" w:space="0" w:color="auto"/>
            </w:tcBorders>
            <w:shd w:val="clear" w:color="000000" w:fill="D9D9D9"/>
            <w:noWrap/>
            <w:vAlign w:val="bottom"/>
            <w:hideMark/>
          </w:tcPr>
          <w:p w14:paraId="5AF15EF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LU-SYSTEM1</w:t>
            </w:r>
          </w:p>
        </w:tc>
        <w:tc>
          <w:tcPr>
            <w:tcW w:w="570" w:type="dxa"/>
            <w:tcBorders>
              <w:top w:val="nil"/>
              <w:left w:val="single" w:sz="4" w:space="0" w:color="auto"/>
              <w:bottom w:val="nil"/>
              <w:right w:val="single" w:sz="4" w:space="0" w:color="auto"/>
            </w:tcBorders>
            <w:shd w:val="clear" w:color="000000" w:fill="D9D9D9"/>
            <w:noWrap/>
            <w:vAlign w:val="bottom"/>
            <w:hideMark/>
          </w:tcPr>
          <w:p w14:paraId="78D5CE7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D5EEB7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D7D449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9BC824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5FDEFE10" w14:textId="2BA15657" w:rsidR="00D00912" w:rsidRPr="00E45C40" w:rsidRDefault="00687BA0"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8C599F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FB0264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43B9E05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4CE136D0" w14:textId="31A89363"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w:t>
            </w:r>
            <w:r w:rsidR="00687BA0" w:rsidRPr="00E45C40">
              <w:rPr>
                <w:rFonts w:eastAsia="Times New Roman" w:cs="Tahoma"/>
                <w:sz w:val="14"/>
                <w:szCs w:val="14"/>
                <w:lang w:eastAsia="en-GB"/>
              </w:rPr>
              <w:t>18</w:t>
            </w:r>
          </w:p>
        </w:tc>
      </w:tr>
      <w:tr w:rsidR="00D00912" w:rsidRPr="00D00912" w14:paraId="1703CAF8"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6D22284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Malta</w:t>
            </w:r>
          </w:p>
        </w:tc>
        <w:tc>
          <w:tcPr>
            <w:tcW w:w="3152" w:type="dxa"/>
            <w:tcBorders>
              <w:top w:val="nil"/>
              <w:left w:val="nil"/>
              <w:bottom w:val="nil"/>
              <w:right w:val="single" w:sz="4" w:space="0" w:color="auto"/>
            </w:tcBorders>
            <w:shd w:val="clear" w:color="auto" w:fill="auto"/>
            <w:noWrap/>
            <w:vAlign w:val="bottom"/>
            <w:hideMark/>
          </w:tcPr>
          <w:p w14:paraId="526F2F7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MT-DISEASE_SURVEILLANCE</w:t>
            </w:r>
          </w:p>
        </w:tc>
        <w:tc>
          <w:tcPr>
            <w:tcW w:w="570" w:type="dxa"/>
            <w:tcBorders>
              <w:top w:val="nil"/>
              <w:left w:val="nil"/>
              <w:bottom w:val="nil"/>
              <w:right w:val="single" w:sz="4" w:space="0" w:color="auto"/>
            </w:tcBorders>
            <w:shd w:val="clear" w:color="auto" w:fill="auto"/>
            <w:noWrap/>
            <w:vAlign w:val="bottom"/>
            <w:hideMark/>
          </w:tcPr>
          <w:p w14:paraId="0E7D9B3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3B8476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F98EE2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8F5019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2A4A08B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53E3E8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FF1DB9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C83321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1454" w:type="dxa"/>
            <w:tcBorders>
              <w:top w:val="nil"/>
              <w:left w:val="nil"/>
              <w:bottom w:val="nil"/>
              <w:right w:val="single" w:sz="4" w:space="0" w:color="auto"/>
            </w:tcBorders>
            <w:shd w:val="clear" w:color="auto" w:fill="auto"/>
            <w:noWrap/>
            <w:vAlign w:val="bottom"/>
            <w:hideMark/>
          </w:tcPr>
          <w:p w14:paraId="402643C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r w:rsidR="00AB1BA4" w:rsidRPr="00D00912" w14:paraId="70E12933"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078E481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Netherlands</w:t>
            </w:r>
          </w:p>
        </w:tc>
        <w:tc>
          <w:tcPr>
            <w:tcW w:w="3152" w:type="dxa"/>
            <w:tcBorders>
              <w:top w:val="nil"/>
              <w:left w:val="single" w:sz="4" w:space="0" w:color="auto"/>
              <w:bottom w:val="nil"/>
              <w:right w:val="single" w:sz="4" w:space="0" w:color="auto"/>
            </w:tcBorders>
            <w:shd w:val="clear" w:color="000000" w:fill="D9D9D9"/>
            <w:noWrap/>
            <w:vAlign w:val="bottom"/>
            <w:hideMark/>
          </w:tcPr>
          <w:p w14:paraId="787146F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NL-OSIRIS</w:t>
            </w:r>
          </w:p>
        </w:tc>
        <w:tc>
          <w:tcPr>
            <w:tcW w:w="570" w:type="dxa"/>
            <w:tcBorders>
              <w:top w:val="nil"/>
              <w:left w:val="single" w:sz="4" w:space="0" w:color="auto"/>
              <w:bottom w:val="nil"/>
              <w:right w:val="single" w:sz="4" w:space="0" w:color="auto"/>
            </w:tcBorders>
            <w:shd w:val="clear" w:color="000000" w:fill="D9D9D9"/>
            <w:noWrap/>
            <w:vAlign w:val="bottom"/>
            <w:hideMark/>
          </w:tcPr>
          <w:p w14:paraId="2CBC680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52F040A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65ECBAD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5C83C6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DC1BF5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CD54AF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DAA871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320DDD7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58F60315" w14:textId="2AB34DBB"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w:t>
            </w:r>
            <w:r w:rsidR="00A7745F">
              <w:rPr>
                <w:rFonts w:eastAsia="Times New Roman" w:cs="Tahoma"/>
                <w:sz w:val="14"/>
                <w:szCs w:val="14"/>
                <w:lang w:eastAsia="en-GB"/>
              </w:rPr>
              <w:t>1</w:t>
            </w:r>
            <w:r w:rsidRPr="00E45C40">
              <w:rPr>
                <w:rFonts w:eastAsia="Times New Roman" w:cs="Tahoma"/>
                <w:sz w:val="14"/>
                <w:szCs w:val="14"/>
                <w:lang w:eastAsia="en-GB"/>
              </w:rPr>
              <w:t>8</w:t>
            </w:r>
          </w:p>
        </w:tc>
      </w:tr>
      <w:tr w:rsidR="00D00912" w:rsidRPr="00D00912" w14:paraId="0DC16A94"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08F66AF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Poland</w:t>
            </w:r>
          </w:p>
        </w:tc>
        <w:tc>
          <w:tcPr>
            <w:tcW w:w="3152" w:type="dxa"/>
            <w:tcBorders>
              <w:top w:val="nil"/>
              <w:left w:val="nil"/>
              <w:bottom w:val="nil"/>
              <w:right w:val="single" w:sz="4" w:space="0" w:color="auto"/>
            </w:tcBorders>
            <w:shd w:val="clear" w:color="auto" w:fill="auto"/>
            <w:noWrap/>
            <w:vAlign w:val="bottom"/>
            <w:hideMark/>
          </w:tcPr>
          <w:p w14:paraId="707131C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PL-NATIONAL_SURVEILLANCE</w:t>
            </w:r>
          </w:p>
        </w:tc>
        <w:tc>
          <w:tcPr>
            <w:tcW w:w="570" w:type="dxa"/>
            <w:tcBorders>
              <w:top w:val="nil"/>
              <w:left w:val="nil"/>
              <w:bottom w:val="nil"/>
              <w:right w:val="single" w:sz="4" w:space="0" w:color="auto"/>
            </w:tcBorders>
            <w:shd w:val="clear" w:color="auto" w:fill="auto"/>
            <w:noWrap/>
            <w:vAlign w:val="bottom"/>
            <w:hideMark/>
          </w:tcPr>
          <w:p w14:paraId="418EBEA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C34411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BB0F87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F38345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A3D8C6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6413E1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FF7C1F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ED7D5E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auto" w:fill="auto"/>
            <w:noWrap/>
            <w:vAlign w:val="bottom"/>
            <w:hideMark/>
          </w:tcPr>
          <w:p w14:paraId="2935BDD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r w:rsidR="00AB1BA4" w:rsidRPr="00D00912" w14:paraId="5CF4DA4D"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5022787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Portugal</w:t>
            </w:r>
          </w:p>
        </w:tc>
        <w:tc>
          <w:tcPr>
            <w:tcW w:w="3152" w:type="dxa"/>
            <w:tcBorders>
              <w:top w:val="nil"/>
              <w:left w:val="single" w:sz="4" w:space="0" w:color="auto"/>
              <w:bottom w:val="nil"/>
              <w:right w:val="single" w:sz="4" w:space="0" w:color="auto"/>
            </w:tcBorders>
            <w:shd w:val="clear" w:color="000000" w:fill="D9D9D9"/>
            <w:noWrap/>
            <w:vAlign w:val="bottom"/>
            <w:hideMark/>
          </w:tcPr>
          <w:p w14:paraId="55738E9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PT-LEPTOSPIROSIS</w:t>
            </w:r>
          </w:p>
        </w:tc>
        <w:tc>
          <w:tcPr>
            <w:tcW w:w="570" w:type="dxa"/>
            <w:tcBorders>
              <w:top w:val="nil"/>
              <w:left w:val="single" w:sz="4" w:space="0" w:color="auto"/>
              <w:bottom w:val="nil"/>
              <w:right w:val="single" w:sz="4" w:space="0" w:color="auto"/>
            </w:tcBorders>
            <w:shd w:val="clear" w:color="000000" w:fill="D9D9D9"/>
            <w:noWrap/>
            <w:vAlign w:val="bottom"/>
            <w:hideMark/>
          </w:tcPr>
          <w:p w14:paraId="4D324D9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1DD8453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0CE35BBF" w14:textId="3CF79E61" w:rsidR="00D00912" w:rsidRPr="00E45C40" w:rsidRDefault="004749DC" w:rsidP="004F2490">
            <w:pPr>
              <w:spacing w:before="120" w:after="0"/>
              <w:rPr>
                <w:rFonts w:eastAsia="Times New Roman" w:cs="Tahoma"/>
                <w:sz w:val="14"/>
                <w:szCs w:val="14"/>
                <w:lang w:eastAsia="en-GB"/>
              </w:rPr>
            </w:pPr>
            <w:r>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094353E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76F7850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10B69CB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8A7874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5DFD845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61CBA7E5" w14:textId="0CB52270"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w:t>
            </w:r>
            <w:r w:rsidR="00E02C3B" w:rsidRPr="00E45C40">
              <w:rPr>
                <w:rFonts w:eastAsia="Times New Roman" w:cs="Tahoma"/>
                <w:sz w:val="14"/>
                <w:szCs w:val="14"/>
                <w:lang w:eastAsia="en-GB"/>
              </w:rPr>
              <w:t>8</w:t>
            </w:r>
          </w:p>
        </w:tc>
      </w:tr>
      <w:tr w:rsidR="00D00912" w:rsidRPr="00D00912" w14:paraId="702AFC61"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38679B3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Romania</w:t>
            </w:r>
          </w:p>
        </w:tc>
        <w:tc>
          <w:tcPr>
            <w:tcW w:w="3152" w:type="dxa"/>
            <w:tcBorders>
              <w:top w:val="nil"/>
              <w:left w:val="nil"/>
              <w:bottom w:val="nil"/>
              <w:right w:val="single" w:sz="4" w:space="0" w:color="auto"/>
            </w:tcBorders>
            <w:shd w:val="clear" w:color="auto" w:fill="auto"/>
            <w:noWrap/>
            <w:vAlign w:val="bottom"/>
            <w:hideMark/>
          </w:tcPr>
          <w:p w14:paraId="79BA14E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RO-</w:t>
            </w:r>
            <w:proofErr w:type="spellStart"/>
            <w:r w:rsidRPr="00E45C40">
              <w:rPr>
                <w:rFonts w:eastAsia="Times New Roman" w:cs="Tahoma"/>
                <w:sz w:val="14"/>
                <w:szCs w:val="14"/>
                <w:lang w:eastAsia="en-GB"/>
              </w:rPr>
              <w:t>RNSSy</w:t>
            </w:r>
            <w:proofErr w:type="spellEnd"/>
          </w:p>
        </w:tc>
        <w:tc>
          <w:tcPr>
            <w:tcW w:w="570" w:type="dxa"/>
            <w:tcBorders>
              <w:top w:val="nil"/>
              <w:left w:val="nil"/>
              <w:bottom w:val="nil"/>
              <w:right w:val="single" w:sz="4" w:space="0" w:color="auto"/>
            </w:tcBorders>
            <w:shd w:val="clear" w:color="auto" w:fill="auto"/>
            <w:noWrap/>
            <w:vAlign w:val="bottom"/>
            <w:hideMark/>
          </w:tcPr>
          <w:p w14:paraId="72C1855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524375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96BC00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15B2819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C226EC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5000718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C0F381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EE8404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auto" w:fill="auto"/>
            <w:noWrap/>
            <w:vAlign w:val="bottom"/>
            <w:hideMark/>
          </w:tcPr>
          <w:p w14:paraId="1EF6767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r w:rsidR="00AB1BA4" w:rsidRPr="00D00912" w14:paraId="290EAF36"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3C2116F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Slovakia</w:t>
            </w:r>
          </w:p>
        </w:tc>
        <w:tc>
          <w:tcPr>
            <w:tcW w:w="3152" w:type="dxa"/>
            <w:tcBorders>
              <w:top w:val="nil"/>
              <w:left w:val="single" w:sz="4" w:space="0" w:color="auto"/>
              <w:bottom w:val="nil"/>
              <w:right w:val="single" w:sz="4" w:space="0" w:color="auto"/>
            </w:tcBorders>
            <w:shd w:val="clear" w:color="000000" w:fill="D9D9D9"/>
            <w:noWrap/>
            <w:vAlign w:val="bottom"/>
            <w:hideMark/>
          </w:tcPr>
          <w:p w14:paraId="5C79DF3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SK-EPIS</w:t>
            </w:r>
          </w:p>
        </w:tc>
        <w:tc>
          <w:tcPr>
            <w:tcW w:w="570" w:type="dxa"/>
            <w:tcBorders>
              <w:top w:val="nil"/>
              <w:left w:val="single" w:sz="4" w:space="0" w:color="auto"/>
              <w:bottom w:val="nil"/>
              <w:right w:val="single" w:sz="4" w:space="0" w:color="auto"/>
            </w:tcBorders>
            <w:shd w:val="clear" w:color="000000" w:fill="D9D9D9"/>
            <w:noWrap/>
            <w:vAlign w:val="bottom"/>
            <w:hideMark/>
          </w:tcPr>
          <w:p w14:paraId="4A74F54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3F29CC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0D746A8A"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A</w:t>
            </w:r>
          </w:p>
        </w:tc>
        <w:tc>
          <w:tcPr>
            <w:tcW w:w="570" w:type="dxa"/>
            <w:tcBorders>
              <w:top w:val="nil"/>
              <w:left w:val="single" w:sz="4" w:space="0" w:color="auto"/>
              <w:bottom w:val="nil"/>
              <w:right w:val="single" w:sz="4" w:space="0" w:color="auto"/>
            </w:tcBorders>
            <w:shd w:val="clear" w:color="000000" w:fill="D9D9D9"/>
            <w:noWrap/>
            <w:vAlign w:val="bottom"/>
            <w:hideMark/>
          </w:tcPr>
          <w:p w14:paraId="4627DC1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0234364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813114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E8B395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E24DB29"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26F8923B" w14:textId="3EAAEF69"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w:t>
            </w:r>
            <w:r w:rsidR="00603AEA" w:rsidRPr="00E45C40">
              <w:rPr>
                <w:rFonts w:eastAsia="Times New Roman" w:cs="Tahoma"/>
                <w:sz w:val="14"/>
                <w:szCs w:val="14"/>
                <w:lang w:eastAsia="en-GB"/>
              </w:rPr>
              <w:t>8</w:t>
            </w:r>
          </w:p>
        </w:tc>
      </w:tr>
      <w:tr w:rsidR="00D00912" w:rsidRPr="00D00912" w14:paraId="4204BF4C" w14:textId="77777777" w:rsidTr="007D59F7">
        <w:trPr>
          <w:trHeight w:val="228"/>
        </w:trPr>
        <w:tc>
          <w:tcPr>
            <w:tcW w:w="1056" w:type="dxa"/>
            <w:tcBorders>
              <w:top w:val="nil"/>
              <w:left w:val="single" w:sz="4" w:space="0" w:color="auto"/>
              <w:bottom w:val="nil"/>
              <w:right w:val="single" w:sz="4" w:space="0" w:color="auto"/>
            </w:tcBorders>
            <w:shd w:val="clear" w:color="auto" w:fill="auto"/>
            <w:noWrap/>
            <w:vAlign w:val="bottom"/>
            <w:hideMark/>
          </w:tcPr>
          <w:p w14:paraId="336472E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Slovenia</w:t>
            </w:r>
          </w:p>
        </w:tc>
        <w:tc>
          <w:tcPr>
            <w:tcW w:w="3152" w:type="dxa"/>
            <w:tcBorders>
              <w:top w:val="nil"/>
              <w:left w:val="nil"/>
              <w:bottom w:val="nil"/>
              <w:right w:val="single" w:sz="4" w:space="0" w:color="auto"/>
            </w:tcBorders>
            <w:shd w:val="clear" w:color="auto" w:fill="auto"/>
            <w:noWrap/>
            <w:vAlign w:val="bottom"/>
            <w:hideMark/>
          </w:tcPr>
          <w:p w14:paraId="2F99AC7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SI-SURVIVAL</w:t>
            </w:r>
          </w:p>
        </w:tc>
        <w:tc>
          <w:tcPr>
            <w:tcW w:w="570" w:type="dxa"/>
            <w:tcBorders>
              <w:top w:val="nil"/>
              <w:left w:val="nil"/>
              <w:bottom w:val="nil"/>
              <w:right w:val="single" w:sz="4" w:space="0" w:color="auto"/>
            </w:tcBorders>
            <w:shd w:val="clear" w:color="auto" w:fill="auto"/>
            <w:noWrap/>
            <w:vAlign w:val="bottom"/>
            <w:hideMark/>
          </w:tcPr>
          <w:p w14:paraId="3579235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34CEA7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8CAA8E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51BD593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8147A8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4AD8E4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138B9C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83AC0C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auto" w:fill="auto"/>
            <w:noWrap/>
            <w:vAlign w:val="bottom"/>
            <w:hideMark/>
          </w:tcPr>
          <w:p w14:paraId="410398AB"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EU-2008</w:t>
            </w:r>
          </w:p>
        </w:tc>
      </w:tr>
      <w:tr w:rsidR="00AB1BA4" w:rsidRPr="00D00912" w14:paraId="5F1A4094" w14:textId="77777777" w:rsidTr="007D59F7">
        <w:trPr>
          <w:trHeight w:val="228"/>
        </w:trPr>
        <w:tc>
          <w:tcPr>
            <w:tcW w:w="1056" w:type="dxa"/>
            <w:tcBorders>
              <w:top w:val="nil"/>
              <w:left w:val="single" w:sz="4" w:space="0" w:color="auto"/>
              <w:bottom w:val="nil"/>
              <w:right w:val="single" w:sz="4" w:space="0" w:color="auto"/>
            </w:tcBorders>
            <w:shd w:val="clear" w:color="000000" w:fill="D9D9D9"/>
            <w:noWrap/>
            <w:vAlign w:val="bottom"/>
            <w:hideMark/>
          </w:tcPr>
          <w:p w14:paraId="4B2BA50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Spain</w:t>
            </w:r>
          </w:p>
        </w:tc>
        <w:tc>
          <w:tcPr>
            <w:tcW w:w="3152" w:type="dxa"/>
            <w:tcBorders>
              <w:top w:val="nil"/>
              <w:left w:val="single" w:sz="4" w:space="0" w:color="auto"/>
              <w:bottom w:val="nil"/>
              <w:right w:val="single" w:sz="4" w:space="0" w:color="auto"/>
            </w:tcBorders>
            <w:shd w:val="clear" w:color="000000" w:fill="D9D9D9"/>
            <w:noWrap/>
            <w:vAlign w:val="bottom"/>
            <w:hideMark/>
          </w:tcPr>
          <w:p w14:paraId="6466858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ES-STATUTORY_DISEASES</w:t>
            </w:r>
          </w:p>
        </w:tc>
        <w:tc>
          <w:tcPr>
            <w:tcW w:w="570" w:type="dxa"/>
            <w:tcBorders>
              <w:top w:val="nil"/>
              <w:left w:val="single" w:sz="4" w:space="0" w:color="auto"/>
              <w:bottom w:val="nil"/>
              <w:right w:val="single" w:sz="4" w:space="0" w:color="auto"/>
            </w:tcBorders>
            <w:shd w:val="clear" w:color="000000" w:fill="D9D9D9"/>
            <w:noWrap/>
            <w:vAlign w:val="bottom"/>
            <w:hideMark/>
          </w:tcPr>
          <w:p w14:paraId="4C1EA97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4F59523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30B3E318"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001BE4C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4923ECE6"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244082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6F984CE"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D689500"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nil"/>
              <w:right w:val="single" w:sz="4" w:space="0" w:color="auto"/>
            </w:tcBorders>
            <w:shd w:val="clear" w:color="000000" w:fill="D9D9D9"/>
            <w:noWrap/>
            <w:vAlign w:val="bottom"/>
            <w:hideMark/>
          </w:tcPr>
          <w:p w14:paraId="2028FA6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r w:rsidR="00D00912" w:rsidRPr="00D00912" w14:paraId="6C25EB44" w14:textId="77777777" w:rsidTr="007D59F7">
        <w:trPr>
          <w:trHeight w:val="228"/>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14:paraId="0D2C4E17"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Sweden</w:t>
            </w:r>
          </w:p>
        </w:tc>
        <w:tc>
          <w:tcPr>
            <w:tcW w:w="3152" w:type="dxa"/>
            <w:tcBorders>
              <w:top w:val="nil"/>
              <w:left w:val="single" w:sz="4" w:space="0" w:color="auto"/>
              <w:bottom w:val="single" w:sz="4" w:space="0" w:color="auto"/>
              <w:right w:val="single" w:sz="4" w:space="0" w:color="auto"/>
            </w:tcBorders>
            <w:shd w:val="clear" w:color="auto" w:fill="auto"/>
            <w:noWrap/>
            <w:vAlign w:val="bottom"/>
            <w:hideMark/>
          </w:tcPr>
          <w:p w14:paraId="77BC7BC1"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SE-SMINET</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14E48C2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Cp</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1EE29E4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Co</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76DF9E6D"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P</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7BCDAD1C"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C</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1C771292"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1F102735"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49BCF09F"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7067F1D4"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N</w:t>
            </w:r>
          </w:p>
        </w:tc>
        <w:tc>
          <w:tcPr>
            <w:tcW w:w="1454" w:type="dxa"/>
            <w:tcBorders>
              <w:top w:val="nil"/>
              <w:left w:val="nil"/>
              <w:bottom w:val="single" w:sz="4" w:space="0" w:color="auto"/>
              <w:right w:val="single" w:sz="4" w:space="0" w:color="auto"/>
            </w:tcBorders>
            <w:shd w:val="clear" w:color="auto" w:fill="auto"/>
            <w:noWrap/>
            <w:vAlign w:val="bottom"/>
            <w:hideMark/>
          </w:tcPr>
          <w:p w14:paraId="5EB54BB3" w14:textId="77777777" w:rsidR="00D00912" w:rsidRPr="00E45C40" w:rsidRDefault="00D00912" w:rsidP="004F2490">
            <w:pPr>
              <w:spacing w:before="120" w:after="0"/>
              <w:rPr>
                <w:rFonts w:eastAsia="Times New Roman" w:cs="Tahoma"/>
                <w:sz w:val="14"/>
                <w:szCs w:val="14"/>
                <w:lang w:eastAsia="en-GB"/>
              </w:rPr>
            </w:pPr>
            <w:r w:rsidRPr="00E45C40">
              <w:rPr>
                <w:rFonts w:eastAsia="Times New Roman" w:cs="Tahoma"/>
                <w:sz w:val="14"/>
                <w:szCs w:val="14"/>
                <w:lang w:eastAsia="en-GB"/>
              </w:rPr>
              <w:t>EU-2018</w:t>
            </w:r>
          </w:p>
        </w:tc>
      </w:tr>
    </w:tbl>
    <w:p w14:paraId="190C3586" w14:textId="77777777" w:rsidR="00AC0043" w:rsidRDefault="00AC0043" w:rsidP="00AC0043">
      <w:pPr>
        <w:pStyle w:val="EC-Para"/>
        <w:rPr>
          <w:lang w:eastAsia="en-US"/>
        </w:rPr>
      </w:pPr>
    </w:p>
    <w:p w14:paraId="1D8E9E06" w14:textId="68837BED" w:rsidR="00AC0043" w:rsidRDefault="00AC0043">
      <w:pPr>
        <w:spacing w:after="200" w:line="276" w:lineRule="auto"/>
        <w:rPr>
          <w:rFonts w:eastAsia="Arial Unicode MS"/>
          <w:kern w:val="22"/>
          <w:szCs w:val="18"/>
        </w:rPr>
      </w:pPr>
      <w:r>
        <w:br w:type="page"/>
      </w:r>
    </w:p>
    <w:p w14:paraId="499399AB" w14:textId="77777777" w:rsidR="00AC0043" w:rsidRDefault="00AC0043" w:rsidP="009F5B73">
      <w:pPr>
        <w:pStyle w:val="EC-Title-5"/>
        <w:outlineLvl w:val="0"/>
        <w:rPr>
          <w:i/>
        </w:rPr>
      </w:pPr>
      <w:bookmarkStart w:id="50" w:name="_Toc437442025"/>
      <w:bookmarkStart w:id="51" w:name="_Toc127531826"/>
      <w:r>
        <w:lastRenderedPageBreak/>
        <w:t>Listeriosis</w:t>
      </w:r>
      <w:bookmarkEnd w:id="50"/>
      <w:bookmarkEnd w:id="51"/>
    </w:p>
    <w:p w14:paraId="37EF8174" w14:textId="7A6957DF" w:rsidR="00EE1F3C" w:rsidRPr="00A32FE1" w:rsidRDefault="00CB3144" w:rsidP="00EE1F3C">
      <w:pPr>
        <w:pStyle w:val="EC-Para"/>
        <w:jc w:val="right"/>
        <w:rPr>
          <w:b/>
          <w:lang w:eastAsia="en-US"/>
        </w:rPr>
      </w:pPr>
      <w:r>
        <w:rPr>
          <w:b/>
          <w:lang w:eastAsia="en-US"/>
        </w:rPr>
        <w:t>Last updated: 13 August 2024</w:t>
      </w:r>
    </w:p>
    <w:p w14:paraId="7A460A11" w14:textId="6831A81B"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49A1DCB8" w14:textId="77777777" w:rsidR="00AD1FF8" w:rsidRDefault="00AD1FF8" w:rsidP="00D77D35">
      <w:pPr>
        <w:pStyle w:val="EC-Para"/>
        <w:jc w:val="right"/>
        <w:rPr>
          <w:b/>
          <w:lang w:eastAsia="en-US"/>
        </w:rPr>
      </w:pPr>
    </w:p>
    <w:p w14:paraId="10CBF29F" w14:textId="77777777" w:rsidR="00AC0043" w:rsidRPr="00C36C2A" w:rsidRDefault="00AC0043" w:rsidP="00AC0043">
      <w:pPr>
        <w:autoSpaceDE w:val="0"/>
        <w:autoSpaceDN w:val="0"/>
        <w:adjustRightInd w:val="0"/>
        <w:spacing w:after="120"/>
        <w:jc w:val="both"/>
        <w:rPr>
          <w:rFonts w:cs="Tahoma"/>
          <w:szCs w:val="18"/>
        </w:rPr>
      </w:pPr>
      <w:r w:rsidRPr="006A26E8">
        <w:rPr>
          <w:rFonts w:cs="Tahoma"/>
          <w:szCs w:val="18"/>
        </w:rPr>
        <w:t xml:space="preserve">Listeriosis </w:t>
      </w:r>
      <w:r w:rsidRPr="006A26E8">
        <w:rPr>
          <w:rFonts w:cs="Tahoma"/>
          <w:szCs w:val="18"/>
          <w:lang w:val="en"/>
        </w:rPr>
        <w:t xml:space="preserve">is </w:t>
      </w:r>
      <w:r w:rsidRPr="006A26E8">
        <w:rPr>
          <w:rFonts w:cs="Tahoma"/>
          <w:szCs w:val="18"/>
          <w:shd w:val="clear" w:color="auto" w:fill="FFFFFF"/>
        </w:rPr>
        <w:t>a</w:t>
      </w:r>
      <w:r>
        <w:rPr>
          <w:rFonts w:cs="Tahoma"/>
          <w:szCs w:val="18"/>
          <w:shd w:val="clear" w:color="auto" w:fill="FFFFFF"/>
        </w:rPr>
        <w:t>n</w:t>
      </w:r>
      <w:r w:rsidRPr="006A26E8">
        <w:rPr>
          <w:rFonts w:cs="Tahoma"/>
          <w:szCs w:val="18"/>
          <w:shd w:val="clear" w:color="auto" w:fill="FFFFFF"/>
        </w:rPr>
        <w:t xml:space="preserve"> </w:t>
      </w:r>
      <w:r>
        <w:rPr>
          <w:rFonts w:cs="Tahoma"/>
          <w:szCs w:val="18"/>
          <w:shd w:val="clear" w:color="auto" w:fill="FFFFFF"/>
        </w:rPr>
        <w:t>infection</w:t>
      </w:r>
      <w:r w:rsidRPr="006A26E8">
        <w:rPr>
          <w:rFonts w:cs="Tahoma"/>
          <w:szCs w:val="18"/>
          <w:shd w:val="clear" w:color="auto" w:fill="FFFFFF"/>
        </w:rPr>
        <w:t xml:space="preserve"> caused by</w:t>
      </w:r>
      <w:r>
        <w:rPr>
          <w:rFonts w:cs="Tahoma"/>
          <w:szCs w:val="18"/>
          <w:shd w:val="clear" w:color="auto" w:fill="FFFFFF"/>
        </w:rPr>
        <w:t xml:space="preserve"> the bacterium </w:t>
      </w:r>
      <w:r w:rsidRPr="006A26E8">
        <w:rPr>
          <w:rFonts w:cs="Tahoma"/>
          <w:i/>
          <w:szCs w:val="18"/>
          <w:shd w:val="clear" w:color="auto" w:fill="FFFFFF"/>
        </w:rPr>
        <w:t>Listeria monocytogenes</w:t>
      </w:r>
      <w:r w:rsidRPr="006A26E8">
        <w:rPr>
          <w:rStyle w:val="Emphasis"/>
          <w:rFonts w:cs="Tahoma"/>
          <w:szCs w:val="18"/>
          <w:lang w:val="en"/>
        </w:rPr>
        <w:t xml:space="preserve">. </w:t>
      </w:r>
      <w:r w:rsidRPr="006A26E8">
        <w:rPr>
          <w:rFonts w:eastAsiaTheme="minorHAnsi" w:cs="Tahoma"/>
          <w:szCs w:val="18"/>
        </w:rPr>
        <w:t>For a more detailed description of the disease and its epidemiology</w:t>
      </w:r>
      <w:r>
        <w:rPr>
          <w:rFonts w:eastAsiaTheme="minorHAnsi" w:cs="Tahoma"/>
          <w:szCs w:val="18"/>
        </w:rPr>
        <w:t>,</w:t>
      </w:r>
      <w:r w:rsidRPr="006A26E8">
        <w:rPr>
          <w:rFonts w:eastAsiaTheme="minorHAnsi" w:cs="Tahoma"/>
          <w:szCs w:val="18"/>
        </w:rPr>
        <w:t xml:space="preserve"> please </w:t>
      </w:r>
      <w:r w:rsidRPr="009D4D86">
        <w:rPr>
          <w:rFonts w:eastAsiaTheme="minorHAnsi" w:cs="Tahoma"/>
          <w:szCs w:val="18"/>
        </w:rPr>
        <w:t>click</w:t>
      </w:r>
      <w:r w:rsidRPr="009D4D86">
        <w:rPr>
          <w:rFonts w:cs="Tahoma"/>
          <w:szCs w:val="18"/>
        </w:rPr>
        <w:t xml:space="preserve"> </w:t>
      </w:r>
      <w:hyperlink r:id="rId48" w:history="1">
        <w:r w:rsidRPr="009D4D86">
          <w:rPr>
            <w:rStyle w:val="Hyperlink"/>
            <w:i/>
            <w:sz w:val="18"/>
            <w:szCs w:val="18"/>
          </w:rPr>
          <w:t>here</w:t>
        </w:r>
      </w:hyperlink>
      <w:r w:rsidRPr="009D4D86">
        <w:rPr>
          <w:rStyle w:val="Hyperlink"/>
          <w:i/>
          <w:sz w:val="18"/>
          <w:szCs w:val="18"/>
        </w:rPr>
        <w:t>.</w:t>
      </w:r>
    </w:p>
    <w:p w14:paraId="7B277B80" w14:textId="77777777" w:rsidR="00AC0043" w:rsidRDefault="00AC0043" w:rsidP="009F5B73">
      <w:pPr>
        <w:pStyle w:val="EC-Title-6"/>
        <w:outlineLvl w:val="1"/>
        <w:rPr>
          <w:rFonts w:cs="Tahoma"/>
        </w:rPr>
      </w:pPr>
      <w:r>
        <w:rPr>
          <w:rFonts w:cs="Tahoma"/>
        </w:rPr>
        <w:t>Data</w:t>
      </w:r>
    </w:p>
    <w:p w14:paraId="34B9D11E" w14:textId="5F418553" w:rsidR="00AC0043" w:rsidRDefault="00AC0043" w:rsidP="00AC0043">
      <w:pPr>
        <w:pStyle w:val="EC-Para"/>
        <w:jc w:val="both"/>
        <w:rPr>
          <w:rFonts w:cs="Tahoma"/>
        </w:rPr>
      </w:pPr>
      <w:r>
        <w:rPr>
          <w:rFonts w:cs="Tahoma"/>
        </w:rPr>
        <w:t xml:space="preserve">The Surveillance Atlas of Infectious Diseases displays data on listeriosis reported by the </w:t>
      </w:r>
      <w:r w:rsidR="00E75405">
        <w:rPr>
          <w:rFonts w:cs="Tahoma"/>
        </w:rPr>
        <w:t>EU/EEA countries</w:t>
      </w:r>
      <w:r>
        <w:rPr>
          <w:rFonts w:cs="Tahoma"/>
        </w:rPr>
        <w:t>. Cases should be reported according to the 201</w:t>
      </w:r>
      <w:r w:rsidR="00F53BCA">
        <w:rPr>
          <w:rFonts w:cs="Tahoma"/>
        </w:rPr>
        <w:t>8</w:t>
      </w:r>
      <w:r>
        <w:rPr>
          <w:rFonts w:cs="Tahoma"/>
        </w:rPr>
        <w:t xml:space="preserve"> EU case definition for listeriosis</w:t>
      </w:r>
      <w:r>
        <w:rPr>
          <w:rStyle w:val="FootnoteReference"/>
          <w:rFonts w:eastAsiaTheme="minorHAnsi" w:cs="Tahoma"/>
          <w:szCs w:val="20"/>
          <w:lang w:eastAsia="en-US"/>
        </w:rPr>
        <w:footnoteReference w:id="24"/>
      </w:r>
      <w:r>
        <w:rPr>
          <w:rFonts w:cs="Tahoma"/>
        </w:rPr>
        <w:t xml:space="preserve">: </w:t>
      </w:r>
    </w:p>
    <w:p w14:paraId="29A707A9" w14:textId="77777777" w:rsidR="0046665B" w:rsidRDefault="0046665B" w:rsidP="00AC0043">
      <w:pPr>
        <w:autoSpaceDE w:val="0"/>
        <w:autoSpaceDN w:val="0"/>
        <w:adjustRightInd w:val="0"/>
        <w:spacing w:before="60" w:after="60"/>
        <w:rPr>
          <w:rFonts w:eastAsiaTheme="minorHAnsi" w:cs="Tahoma"/>
          <w:b/>
          <w:bCs/>
          <w:color w:val="000000"/>
          <w:szCs w:val="18"/>
        </w:rPr>
      </w:pPr>
    </w:p>
    <w:p w14:paraId="579829DD" w14:textId="4CDF32A7" w:rsidR="00AC0043" w:rsidRPr="0039550C" w:rsidRDefault="00AC0043" w:rsidP="00AC0043">
      <w:pPr>
        <w:autoSpaceDE w:val="0"/>
        <w:autoSpaceDN w:val="0"/>
        <w:adjustRightInd w:val="0"/>
        <w:spacing w:before="60" w:after="60"/>
        <w:rPr>
          <w:rFonts w:eastAsiaTheme="minorHAnsi" w:cs="Tahoma"/>
          <w:color w:val="000000"/>
          <w:szCs w:val="18"/>
        </w:rPr>
      </w:pPr>
      <w:r>
        <w:rPr>
          <w:rFonts w:eastAsiaTheme="minorHAnsi" w:cs="Tahoma"/>
          <w:b/>
          <w:bCs/>
          <w:color w:val="000000"/>
          <w:szCs w:val="18"/>
        </w:rPr>
        <w:t xml:space="preserve">Clinical criteria </w:t>
      </w:r>
      <w:r w:rsidR="00F84960">
        <w:rPr>
          <w:rFonts w:eastAsiaTheme="minorHAnsi" w:cs="Tahoma"/>
          <w:b/>
          <w:bCs/>
          <w:color w:val="000000"/>
          <w:szCs w:val="18"/>
        </w:rPr>
        <w:br/>
      </w:r>
      <w:r w:rsidR="00F84960" w:rsidRPr="0039550C">
        <w:rPr>
          <w:szCs w:val="18"/>
        </w:rPr>
        <w:t>Any person with at least one of the following five:</w:t>
      </w:r>
    </w:p>
    <w:p w14:paraId="3512D26B" w14:textId="77777777" w:rsidR="00F84960" w:rsidRPr="0039550C" w:rsidRDefault="00F84960" w:rsidP="00AC0043">
      <w:pPr>
        <w:autoSpaceDE w:val="0"/>
        <w:autoSpaceDN w:val="0"/>
        <w:adjustRightInd w:val="0"/>
        <w:spacing w:before="60" w:after="60"/>
        <w:rPr>
          <w:szCs w:val="18"/>
        </w:rPr>
      </w:pPr>
      <w:r w:rsidRPr="0039550C">
        <w:rPr>
          <w:szCs w:val="18"/>
        </w:rPr>
        <w:t>— Fever</w:t>
      </w:r>
    </w:p>
    <w:p w14:paraId="7A4E52F4" w14:textId="1D98BEAB" w:rsidR="00F84960" w:rsidRPr="0039550C" w:rsidRDefault="00F84960" w:rsidP="00AC0043">
      <w:pPr>
        <w:autoSpaceDE w:val="0"/>
        <w:autoSpaceDN w:val="0"/>
        <w:adjustRightInd w:val="0"/>
        <w:spacing w:before="60" w:after="60"/>
        <w:rPr>
          <w:szCs w:val="18"/>
        </w:rPr>
      </w:pPr>
      <w:r w:rsidRPr="0039550C">
        <w:rPr>
          <w:szCs w:val="18"/>
        </w:rPr>
        <w:t xml:space="preserve">— Meningitis, meningoencephalitis, or encephalitis </w:t>
      </w:r>
    </w:p>
    <w:p w14:paraId="5EE1CA49" w14:textId="77777777" w:rsidR="00F84960" w:rsidRPr="0039550C" w:rsidRDefault="00F84960" w:rsidP="00AC0043">
      <w:pPr>
        <w:autoSpaceDE w:val="0"/>
        <w:autoSpaceDN w:val="0"/>
        <w:adjustRightInd w:val="0"/>
        <w:spacing w:before="60" w:after="60"/>
        <w:rPr>
          <w:szCs w:val="18"/>
        </w:rPr>
      </w:pPr>
      <w:r w:rsidRPr="0039550C">
        <w:rPr>
          <w:szCs w:val="18"/>
        </w:rPr>
        <w:t xml:space="preserve">— Influenza-like symptoms </w:t>
      </w:r>
    </w:p>
    <w:p w14:paraId="667D050B" w14:textId="77777777" w:rsidR="00F84960" w:rsidRPr="0039550C" w:rsidRDefault="00F84960" w:rsidP="00AC0043">
      <w:pPr>
        <w:autoSpaceDE w:val="0"/>
        <w:autoSpaceDN w:val="0"/>
        <w:adjustRightInd w:val="0"/>
        <w:spacing w:before="60" w:after="60"/>
        <w:rPr>
          <w:szCs w:val="18"/>
        </w:rPr>
      </w:pPr>
      <w:r w:rsidRPr="0039550C">
        <w:rPr>
          <w:szCs w:val="18"/>
        </w:rPr>
        <w:t xml:space="preserve">— Septicaemia </w:t>
      </w:r>
    </w:p>
    <w:p w14:paraId="47301156" w14:textId="171A495C" w:rsidR="00F84960" w:rsidRPr="0039550C" w:rsidRDefault="00F84960" w:rsidP="00AC0043">
      <w:pPr>
        <w:autoSpaceDE w:val="0"/>
        <w:autoSpaceDN w:val="0"/>
        <w:adjustRightInd w:val="0"/>
        <w:spacing w:before="60" w:after="60"/>
        <w:rPr>
          <w:szCs w:val="18"/>
        </w:rPr>
      </w:pPr>
      <w:r w:rsidRPr="0039550C">
        <w:rPr>
          <w:szCs w:val="18"/>
        </w:rPr>
        <w:t>— Localized infections such as arthritis, endocarditis, endophthalmitis, and abscesses</w:t>
      </w:r>
    </w:p>
    <w:p w14:paraId="6A15BB70" w14:textId="77777777" w:rsidR="0039550C" w:rsidRDefault="002A3235" w:rsidP="00AC0043">
      <w:pPr>
        <w:autoSpaceDE w:val="0"/>
        <w:autoSpaceDN w:val="0"/>
        <w:adjustRightInd w:val="0"/>
        <w:spacing w:before="60" w:after="60"/>
        <w:rPr>
          <w:szCs w:val="18"/>
        </w:rPr>
      </w:pPr>
      <w:r w:rsidRPr="0039550C">
        <w:rPr>
          <w:i/>
          <w:szCs w:val="18"/>
        </w:rPr>
        <w:t>Listeriosis in pregnancy</w:t>
      </w:r>
      <w:r w:rsidR="0039550C">
        <w:rPr>
          <w:szCs w:val="18"/>
        </w:rPr>
        <w:t>:</w:t>
      </w:r>
    </w:p>
    <w:p w14:paraId="6E7DF628" w14:textId="77777777" w:rsidR="0039550C" w:rsidRDefault="002A3235" w:rsidP="0039550C">
      <w:pPr>
        <w:autoSpaceDE w:val="0"/>
        <w:autoSpaceDN w:val="0"/>
        <w:adjustRightInd w:val="0"/>
        <w:spacing w:before="60" w:after="60"/>
        <w:ind w:left="142" w:hanging="142"/>
        <w:rPr>
          <w:szCs w:val="18"/>
        </w:rPr>
      </w:pPr>
      <w:r w:rsidRPr="0039550C">
        <w:rPr>
          <w:szCs w:val="18"/>
        </w:rPr>
        <w:t xml:space="preserve">— Pregnancy-related consequences of </w:t>
      </w:r>
      <w:r w:rsidRPr="0039550C">
        <w:rPr>
          <w:i/>
          <w:szCs w:val="18"/>
        </w:rPr>
        <w:t>Listeria</w:t>
      </w:r>
      <w:r w:rsidRPr="0039550C">
        <w:rPr>
          <w:szCs w:val="18"/>
        </w:rPr>
        <w:t xml:space="preserve"> infection defined as: miscarriage, stillbirth or premature birth during the pregnancy</w:t>
      </w:r>
    </w:p>
    <w:p w14:paraId="574744FD" w14:textId="77777777" w:rsidR="0039550C" w:rsidRDefault="002A3235" w:rsidP="00AC0043">
      <w:pPr>
        <w:autoSpaceDE w:val="0"/>
        <w:autoSpaceDN w:val="0"/>
        <w:adjustRightInd w:val="0"/>
        <w:spacing w:before="60" w:after="60"/>
        <w:rPr>
          <w:szCs w:val="18"/>
        </w:rPr>
      </w:pPr>
      <w:r w:rsidRPr="0039550C">
        <w:rPr>
          <w:szCs w:val="18"/>
        </w:rPr>
        <w:t>— Listeriosis of newborns defined as one of the following</w:t>
      </w:r>
    </w:p>
    <w:p w14:paraId="147276D0" w14:textId="77777777" w:rsidR="0039550C" w:rsidRDefault="002A3235" w:rsidP="0039550C">
      <w:pPr>
        <w:autoSpaceDE w:val="0"/>
        <w:autoSpaceDN w:val="0"/>
        <w:adjustRightInd w:val="0"/>
        <w:spacing w:before="60" w:after="60"/>
        <w:ind w:firstLine="284"/>
        <w:rPr>
          <w:szCs w:val="18"/>
        </w:rPr>
      </w:pPr>
      <w:r w:rsidRPr="0039550C">
        <w:rPr>
          <w:szCs w:val="18"/>
        </w:rPr>
        <w:t>— Stillbirth (</w:t>
      </w:r>
      <w:proofErr w:type="spellStart"/>
      <w:r w:rsidRPr="0039550C">
        <w:rPr>
          <w:szCs w:val="18"/>
        </w:rPr>
        <w:t>fetal</w:t>
      </w:r>
      <w:proofErr w:type="spellEnd"/>
      <w:r w:rsidRPr="0039550C">
        <w:rPr>
          <w:szCs w:val="18"/>
        </w:rPr>
        <w:t xml:space="preserve"> death after 20 weeks of gestation)</w:t>
      </w:r>
    </w:p>
    <w:p w14:paraId="58377CFA" w14:textId="5F066C38" w:rsidR="00F84960" w:rsidRPr="0039550C" w:rsidRDefault="002A3235" w:rsidP="0039550C">
      <w:pPr>
        <w:autoSpaceDE w:val="0"/>
        <w:autoSpaceDN w:val="0"/>
        <w:adjustRightInd w:val="0"/>
        <w:spacing w:before="60" w:after="60"/>
        <w:ind w:firstLine="284"/>
        <w:rPr>
          <w:szCs w:val="18"/>
        </w:rPr>
      </w:pPr>
      <w:r w:rsidRPr="0039550C">
        <w:rPr>
          <w:szCs w:val="18"/>
        </w:rPr>
        <w:t>— Premature birth (before 37 gestational weeks)</w:t>
      </w:r>
    </w:p>
    <w:p w14:paraId="55169D47" w14:textId="77777777" w:rsidR="0039550C" w:rsidRDefault="002A3235" w:rsidP="00AC0043">
      <w:pPr>
        <w:autoSpaceDE w:val="0"/>
        <w:autoSpaceDN w:val="0"/>
        <w:adjustRightInd w:val="0"/>
        <w:spacing w:before="60" w:after="60"/>
        <w:rPr>
          <w:szCs w:val="18"/>
        </w:rPr>
      </w:pPr>
      <w:r w:rsidRPr="0039550C">
        <w:rPr>
          <w:szCs w:val="18"/>
        </w:rPr>
        <w:t xml:space="preserve">OR </w:t>
      </w:r>
      <w:r w:rsidRPr="0039550C">
        <w:rPr>
          <w:szCs w:val="18"/>
        </w:rPr>
        <w:br/>
        <w:t>At least one of the following five in the first month of life (neonatal listeriosis):</w:t>
      </w:r>
    </w:p>
    <w:p w14:paraId="5EB93490" w14:textId="77777777" w:rsidR="0039550C" w:rsidRDefault="002A3235" w:rsidP="00AC0043">
      <w:pPr>
        <w:autoSpaceDE w:val="0"/>
        <w:autoSpaceDN w:val="0"/>
        <w:adjustRightInd w:val="0"/>
        <w:spacing w:before="60" w:after="60"/>
        <w:rPr>
          <w:szCs w:val="18"/>
        </w:rPr>
      </w:pPr>
      <w:r w:rsidRPr="0039550C">
        <w:rPr>
          <w:szCs w:val="18"/>
        </w:rPr>
        <w:t>— Meningitis or meningoencephalitis</w:t>
      </w:r>
    </w:p>
    <w:p w14:paraId="4B51E537" w14:textId="77777777" w:rsidR="0039550C" w:rsidRDefault="002A3235" w:rsidP="00AC0043">
      <w:pPr>
        <w:autoSpaceDE w:val="0"/>
        <w:autoSpaceDN w:val="0"/>
        <w:adjustRightInd w:val="0"/>
        <w:spacing w:before="60" w:after="60"/>
        <w:rPr>
          <w:szCs w:val="18"/>
        </w:rPr>
      </w:pPr>
      <w:r w:rsidRPr="0039550C">
        <w:rPr>
          <w:szCs w:val="18"/>
        </w:rPr>
        <w:t xml:space="preserve">— Septicaemia </w:t>
      </w:r>
    </w:p>
    <w:p w14:paraId="65E72C87" w14:textId="77777777" w:rsidR="0039550C" w:rsidRDefault="002A3235" w:rsidP="00AC0043">
      <w:pPr>
        <w:autoSpaceDE w:val="0"/>
        <w:autoSpaceDN w:val="0"/>
        <w:adjustRightInd w:val="0"/>
        <w:spacing w:before="60" w:after="60"/>
        <w:rPr>
          <w:szCs w:val="18"/>
        </w:rPr>
      </w:pPr>
      <w:r w:rsidRPr="0039550C">
        <w:rPr>
          <w:szCs w:val="18"/>
        </w:rPr>
        <w:t xml:space="preserve">— Dyspnoea </w:t>
      </w:r>
    </w:p>
    <w:p w14:paraId="1246EF46" w14:textId="77777777" w:rsidR="0039550C" w:rsidRDefault="002A3235" w:rsidP="00AC0043">
      <w:pPr>
        <w:autoSpaceDE w:val="0"/>
        <w:autoSpaceDN w:val="0"/>
        <w:adjustRightInd w:val="0"/>
        <w:spacing w:before="60" w:after="60"/>
        <w:rPr>
          <w:szCs w:val="18"/>
        </w:rPr>
      </w:pPr>
      <w:r w:rsidRPr="0039550C">
        <w:rPr>
          <w:szCs w:val="18"/>
        </w:rPr>
        <w:t xml:space="preserve">— Granulomatosis </w:t>
      </w:r>
      <w:proofErr w:type="spellStart"/>
      <w:r w:rsidRPr="0039550C">
        <w:rPr>
          <w:szCs w:val="18"/>
        </w:rPr>
        <w:t>infantiseptica</w:t>
      </w:r>
      <w:proofErr w:type="spellEnd"/>
    </w:p>
    <w:p w14:paraId="0FB189EB" w14:textId="65FF6808" w:rsidR="00F84960" w:rsidRPr="0039550C" w:rsidRDefault="002A3235" w:rsidP="00AC0043">
      <w:pPr>
        <w:autoSpaceDE w:val="0"/>
        <w:autoSpaceDN w:val="0"/>
        <w:adjustRightInd w:val="0"/>
        <w:spacing w:before="60" w:after="60"/>
        <w:rPr>
          <w:szCs w:val="18"/>
        </w:rPr>
      </w:pPr>
      <w:r w:rsidRPr="0039550C">
        <w:rPr>
          <w:szCs w:val="18"/>
        </w:rPr>
        <w:t>— Lesions on skin, mucosal membranes or conjunctivae</w:t>
      </w:r>
    </w:p>
    <w:p w14:paraId="3E50CEF2" w14:textId="77777777" w:rsidR="00AC0043" w:rsidRPr="0039550C" w:rsidRDefault="00AC0043" w:rsidP="00AC0043">
      <w:pPr>
        <w:autoSpaceDE w:val="0"/>
        <w:autoSpaceDN w:val="0"/>
        <w:adjustRightInd w:val="0"/>
        <w:spacing w:before="60" w:after="60"/>
        <w:rPr>
          <w:rFonts w:eastAsiaTheme="minorHAnsi" w:cs="Tahoma"/>
          <w:color w:val="000000"/>
          <w:szCs w:val="18"/>
        </w:rPr>
      </w:pPr>
      <w:r w:rsidRPr="0039550C">
        <w:rPr>
          <w:rFonts w:eastAsiaTheme="minorHAnsi" w:cs="Tahoma"/>
          <w:b/>
          <w:bCs/>
          <w:color w:val="000000"/>
          <w:szCs w:val="18"/>
        </w:rPr>
        <w:t xml:space="preserve">Laboratory criteria </w:t>
      </w:r>
    </w:p>
    <w:p w14:paraId="3D1FF2DB" w14:textId="77777777" w:rsidR="00AC0043" w:rsidRPr="0039550C" w:rsidRDefault="00AC0043" w:rsidP="00AC0043">
      <w:pPr>
        <w:autoSpaceDE w:val="0"/>
        <w:autoSpaceDN w:val="0"/>
        <w:adjustRightInd w:val="0"/>
        <w:spacing w:before="60" w:after="60"/>
        <w:rPr>
          <w:rFonts w:eastAsiaTheme="minorHAnsi" w:cs="Tahoma"/>
          <w:color w:val="000000"/>
          <w:szCs w:val="18"/>
        </w:rPr>
      </w:pPr>
      <w:r w:rsidRPr="0039550C">
        <w:rPr>
          <w:rFonts w:eastAsiaTheme="minorHAnsi" w:cs="Tahoma"/>
          <w:color w:val="000000"/>
          <w:szCs w:val="18"/>
        </w:rPr>
        <w:t xml:space="preserve">At least one of the following two: </w:t>
      </w:r>
    </w:p>
    <w:p w14:paraId="0EE2F02E" w14:textId="77777777" w:rsidR="002A3235" w:rsidRPr="0039550C" w:rsidRDefault="002A3235" w:rsidP="00AC0043">
      <w:pPr>
        <w:autoSpaceDE w:val="0"/>
        <w:autoSpaceDN w:val="0"/>
        <w:adjustRightInd w:val="0"/>
        <w:spacing w:before="60" w:after="60"/>
        <w:rPr>
          <w:szCs w:val="18"/>
        </w:rPr>
      </w:pPr>
      <w:r w:rsidRPr="0039550C">
        <w:rPr>
          <w:szCs w:val="18"/>
        </w:rPr>
        <w:t xml:space="preserve">— Isolation of </w:t>
      </w:r>
      <w:r w:rsidRPr="0039550C">
        <w:rPr>
          <w:i/>
          <w:szCs w:val="18"/>
        </w:rPr>
        <w:t>Listeria monocytogenes</w:t>
      </w:r>
      <w:r w:rsidRPr="0039550C">
        <w:rPr>
          <w:szCs w:val="18"/>
        </w:rPr>
        <w:t xml:space="preserve"> or detection of nucleic acid of </w:t>
      </w:r>
      <w:r w:rsidRPr="0039550C">
        <w:rPr>
          <w:i/>
          <w:szCs w:val="18"/>
        </w:rPr>
        <w:t>Listeria monocytogenes</w:t>
      </w:r>
      <w:r w:rsidRPr="0039550C">
        <w:rPr>
          <w:szCs w:val="18"/>
        </w:rPr>
        <w:t xml:space="preserve"> from a normally sterile site </w:t>
      </w:r>
      <w:r w:rsidRPr="0039550C">
        <w:rPr>
          <w:szCs w:val="18"/>
        </w:rPr>
        <w:br/>
        <w:t xml:space="preserve">— In a pregnancy-associated case also: Isolation of </w:t>
      </w:r>
      <w:r w:rsidRPr="0039550C">
        <w:rPr>
          <w:i/>
          <w:szCs w:val="18"/>
        </w:rPr>
        <w:t>Listeria monocytogenes</w:t>
      </w:r>
      <w:r w:rsidRPr="0039550C">
        <w:rPr>
          <w:szCs w:val="18"/>
        </w:rPr>
        <w:t xml:space="preserve"> or detection of nucleic acid from </w:t>
      </w:r>
      <w:r w:rsidRPr="0039550C">
        <w:rPr>
          <w:i/>
          <w:szCs w:val="18"/>
        </w:rPr>
        <w:t>Listeria monocytogenes</w:t>
      </w:r>
      <w:r w:rsidRPr="0039550C">
        <w:rPr>
          <w:szCs w:val="18"/>
        </w:rPr>
        <w:t xml:space="preserve"> in a normally non-sterile site (for example, placental tissue, amniotic fluid, meconium, vaginal swab) or from a foetus, stillborn, newborn or the mother</w:t>
      </w:r>
    </w:p>
    <w:p w14:paraId="4ABB03F0" w14:textId="6E73CCB8" w:rsidR="00AC0043" w:rsidRPr="0039550C" w:rsidRDefault="002A3235" w:rsidP="003102E4">
      <w:pPr>
        <w:autoSpaceDE w:val="0"/>
        <w:autoSpaceDN w:val="0"/>
        <w:adjustRightInd w:val="0"/>
        <w:spacing w:before="60" w:after="60"/>
        <w:rPr>
          <w:rFonts w:eastAsiaTheme="minorHAnsi" w:cs="Tahoma"/>
          <w:color w:val="000000"/>
          <w:szCs w:val="18"/>
        </w:rPr>
      </w:pPr>
      <w:r w:rsidRPr="0039550C">
        <w:t xml:space="preserve"> </w:t>
      </w:r>
      <w:r w:rsidR="00AC0043" w:rsidRPr="0039550C">
        <w:rPr>
          <w:rFonts w:eastAsiaTheme="minorHAnsi" w:cs="Tahoma"/>
          <w:b/>
          <w:bCs/>
          <w:color w:val="000000"/>
          <w:szCs w:val="18"/>
        </w:rPr>
        <w:t xml:space="preserve">Epidemiological criteria </w:t>
      </w:r>
    </w:p>
    <w:p w14:paraId="22ACE10A" w14:textId="43E96AE0" w:rsidR="008740F7" w:rsidRPr="0039550C" w:rsidRDefault="008740F7" w:rsidP="003102E4">
      <w:pPr>
        <w:pStyle w:val="CM4"/>
        <w:spacing w:before="60" w:after="60" w:line="259" w:lineRule="auto"/>
        <w:rPr>
          <w:rFonts w:ascii="Tahoma" w:hAnsi="Tahoma" w:cs="Tahoma"/>
          <w:sz w:val="18"/>
          <w:szCs w:val="18"/>
        </w:rPr>
      </w:pPr>
      <w:r w:rsidRPr="0039550C">
        <w:rPr>
          <w:rFonts w:ascii="Tahoma" w:hAnsi="Tahoma" w:cs="Tahoma"/>
          <w:sz w:val="18"/>
          <w:szCs w:val="18"/>
        </w:rPr>
        <w:t>At least one of the following four epidemiological links:</w:t>
      </w:r>
      <w:r w:rsidRPr="0039550C">
        <w:rPr>
          <w:rFonts w:ascii="Tahoma" w:hAnsi="Tahoma" w:cs="Tahoma"/>
          <w:sz w:val="18"/>
          <w:szCs w:val="18"/>
        </w:rPr>
        <w:br/>
        <w:t xml:space="preserve">— Exposure to a common source </w:t>
      </w:r>
      <w:r w:rsidRPr="0039550C">
        <w:rPr>
          <w:rFonts w:ascii="Tahoma" w:hAnsi="Tahoma" w:cs="Tahoma"/>
          <w:sz w:val="18"/>
          <w:szCs w:val="18"/>
        </w:rPr>
        <w:br/>
        <w:t>— Human to human transmission (vertical transmission)</w:t>
      </w:r>
      <w:r w:rsidRPr="0039550C">
        <w:rPr>
          <w:rFonts w:ascii="Tahoma" w:hAnsi="Tahoma" w:cs="Tahoma"/>
          <w:sz w:val="18"/>
          <w:szCs w:val="18"/>
        </w:rPr>
        <w:br/>
        <w:t xml:space="preserve">— Exposure to contaminated food </w:t>
      </w:r>
      <w:r w:rsidRPr="0039550C">
        <w:rPr>
          <w:rFonts w:ascii="Tahoma" w:hAnsi="Tahoma" w:cs="Tahoma"/>
          <w:sz w:val="18"/>
          <w:szCs w:val="18"/>
        </w:rPr>
        <w:br/>
        <w:t xml:space="preserve">— Animal to human transmission </w:t>
      </w:r>
    </w:p>
    <w:p w14:paraId="2229014D" w14:textId="77777777" w:rsidR="004B3B0C" w:rsidRDefault="004B3B0C" w:rsidP="00AC0043">
      <w:pPr>
        <w:pStyle w:val="CM4"/>
        <w:spacing w:before="60" w:after="60"/>
        <w:rPr>
          <w:rFonts w:ascii="Tahoma" w:hAnsi="Tahoma" w:cs="Tahoma"/>
          <w:b/>
          <w:sz w:val="18"/>
          <w:szCs w:val="18"/>
        </w:rPr>
      </w:pPr>
    </w:p>
    <w:p w14:paraId="14305C49" w14:textId="47D71AB9" w:rsidR="00AC0043" w:rsidRPr="004B3B0C" w:rsidRDefault="00AC0043" w:rsidP="00AC0043">
      <w:pPr>
        <w:pStyle w:val="CM4"/>
        <w:spacing w:before="60" w:after="60"/>
        <w:rPr>
          <w:rFonts w:ascii="Tahoma" w:hAnsi="Tahoma" w:cs="Tahoma"/>
          <w:color w:val="000000"/>
          <w:sz w:val="18"/>
          <w:szCs w:val="18"/>
        </w:rPr>
      </w:pPr>
      <w:r w:rsidRPr="004B3B0C">
        <w:rPr>
          <w:rFonts w:ascii="Tahoma" w:hAnsi="Tahoma" w:cs="Tahoma"/>
          <w:b/>
          <w:sz w:val="18"/>
          <w:szCs w:val="18"/>
        </w:rPr>
        <w:t>Case classification</w:t>
      </w:r>
    </w:p>
    <w:p w14:paraId="4FDF425A" w14:textId="77777777" w:rsidR="004B3B0C" w:rsidRPr="004B3B0C" w:rsidRDefault="000407CD" w:rsidP="004B3B0C">
      <w:pPr>
        <w:autoSpaceDE w:val="0"/>
        <w:autoSpaceDN w:val="0"/>
        <w:adjustRightInd w:val="0"/>
        <w:spacing w:before="60" w:after="60"/>
        <w:ind w:left="142" w:hanging="142"/>
        <w:rPr>
          <w:rFonts w:cs="Tahoma"/>
          <w:szCs w:val="18"/>
        </w:rPr>
      </w:pPr>
      <w:r w:rsidRPr="004B3B0C">
        <w:rPr>
          <w:rFonts w:cs="Tahoma"/>
          <w:szCs w:val="18"/>
        </w:rPr>
        <w:lastRenderedPageBreak/>
        <w:t xml:space="preserve">A. Possible case: NA </w:t>
      </w:r>
    </w:p>
    <w:p w14:paraId="1718146D" w14:textId="60C06493" w:rsidR="004B3B0C" w:rsidRPr="004B3B0C" w:rsidRDefault="000407CD" w:rsidP="004B3B0C">
      <w:pPr>
        <w:autoSpaceDE w:val="0"/>
        <w:autoSpaceDN w:val="0"/>
        <w:adjustRightInd w:val="0"/>
        <w:spacing w:before="60" w:after="60"/>
        <w:ind w:left="142" w:hanging="142"/>
        <w:rPr>
          <w:rFonts w:cs="Tahoma"/>
          <w:szCs w:val="18"/>
        </w:rPr>
      </w:pPr>
      <w:r w:rsidRPr="004B3B0C">
        <w:rPr>
          <w:rFonts w:cs="Tahoma"/>
          <w:szCs w:val="18"/>
        </w:rPr>
        <w:t xml:space="preserve">B. Probable case: Any person meeting the clinical criteria with an epidemiological link </w:t>
      </w:r>
    </w:p>
    <w:p w14:paraId="00EF310D" w14:textId="00564FFB" w:rsidR="004B3B0C" w:rsidRPr="004B3B0C" w:rsidRDefault="000407CD" w:rsidP="004B3B0C">
      <w:pPr>
        <w:autoSpaceDE w:val="0"/>
        <w:autoSpaceDN w:val="0"/>
        <w:adjustRightInd w:val="0"/>
        <w:spacing w:before="60" w:after="60"/>
        <w:ind w:left="284" w:hanging="284"/>
        <w:rPr>
          <w:rFonts w:cs="Tahoma"/>
          <w:szCs w:val="18"/>
        </w:rPr>
      </w:pPr>
      <w:r w:rsidRPr="004B3B0C">
        <w:rPr>
          <w:rFonts w:cs="Tahoma"/>
          <w:szCs w:val="18"/>
        </w:rPr>
        <w:t xml:space="preserve">C. Confirmed case: Any person meeting the laboratory criteria for a normal sterile site </w:t>
      </w:r>
    </w:p>
    <w:p w14:paraId="26258408" w14:textId="77777777" w:rsidR="004B3B0C" w:rsidRPr="004B3B0C" w:rsidRDefault="000407CD" w:rsidP="004B3B0C">
      <w:pPr>
        <w:autoSpaceDE w:val="0"/>
        <w:autoSpaceDN w:val="0"/>
        <w:adjustRightInd w:val="0"/>
        <w:spacing w:before="60" w:after="60"/>
        <w:ind w:left="284"/>
        <w:rPr>
          <w:rFonts w:cs="Tahoma"/>
          <w:szCs w:val="18"/>
        </w:rPr>
      </w:pPr>
      <w:r w:rsidRPr="004B3B0C">
        <w:rPr>
          <w:rFonts w:cs="Tahoma"/>
          <w:szCs w:val="18"/>
        </w:rPr>
        <w:t xml:space="preserve">OR </w:t>
      </w:r>
    </w:p>
    <w:p w14:paraId="3F22EB25" w14:textId="77777777" w:rsidR="004B3B0C" w:rsidRPr="004B3B0C" w:rsidRDefault="000407CD" w:rsidP="004B3B0C">
      <w:pPr>
        <w:autoSpaceDE w:val="0"/>
        <w:autoSpaceDN w:val="0"/>
        <w:adjustRightInd w:val="0"/>
        <w:spacing w:before="60" w:after="60"/>
        <w:ind w:left="284"/>
        <w:rPr>
          <w:rFonts w:cs="Tahoma"/>
          <w:szCs w:val="18"/>
        </w:rPr>
      </w:pPr>
      <w:r w:rsidRPr="004B3B0C">
        <w:rPr>
          <w:rFonts w:cs="Tahoma"/>
          <w:szCs w:val="18"/>
        </w:rPr>
        <w:t xml:space="preserve">In a pregnancy-associated case (mother or newborn in the first month of life) meeting the laboratory criteria, only the mother is to be reported as a case. </w:t>
      </w:r>
    </w:p>
    <w:p w14:paraId="5CEF95D5" w14:textId="77777777" w:rsidR="004B3B0C" w:rsidRPr="004B3B0C" w:rsidRDefault="004B3B0C" w:rsidP="004B3B0C">
      <w:pPr>
        <w:autoSpaceDE w:val="0"/>
        <w:autoSpaceDN w:val="0"/>
        <w:adjustRightInd w:val="0"/>
        <w:spacing w:before="60" w:after="60"/>
        <w:ind w:left="142" w:hanging="142"/>
        <w:rPr>
          <w:rFonts w:cs="Tahoma"/>
          <w:szCs w:val="18"/>
        </w:rPr>
      </w:pPr>
    </w:p>
    <w:p w14:paraId="52292503" w14:textId="598287C1" w:rsidR="000407CD" w:rsidRPr="004B3B0C" w:rsidRDefault="000407CD" w:rsidP="00AC0043">
      <w:pPr>
        <w:pStyle w:val="Default"/>
        <w:rPr>
          <w:rFonts w:ascii="Tahoma" w:eastAsiaTheme="minorHAnsi" w:hAnsi="Tahoma" w:cs="Tahoma"/>
          <w:sz w:val="18"/>
          <w:szCs w:val="18"/>
          <w:lang w:eastAsia="en-US"/>
        </w:rPr>
      </w:pPr>
      <w:r w:rsidRPr="004B3B0C">
        <w:rPr>
          <w:rFonts w:ascii="Tahoma" w:hAnsi="Tahoma" w:cs="Tahoma"/>
          <w:sz w:val="18"/>
          <w:szCs w:val="18"/>
        </w:rPr>
        <w:t xml:space="preserve">Note: If the national surveillance system is not capturing clinical symptoms, all laboratory-confirmed individuals should be reported as confirmed cases. </w:t>
      </w:r>
    </w:p>
    <w:p w14:paraId="3D6B3CAF" w14:textId="77777777" w:rsidR="004B3B0C" w:rsidRDefault="004B3B0C" w:rsidP="005679DF">
      <w:pPr>
        <w:pStyle w:val="EC-Para"/>
        <w:spacing w:after="0" w:line="240" w:lineRule="auto"/>
        <w:jc w:val="both"/>
        <w:rPr>
          <w:rFonts w:cs="Tahoma"/>
        </w:rPr>
      </w:pPr>
    </w:p>
    <w:p w14:paraId="6D2A287A" w14:textId="3EEA4BD0" w:rsidR="005679DF" w:rsidRPr="004B3B0C" w:rsidRDefault="005679DF" w:rsidP="005679DF">
      <w:pPr>
        <w:pStyle w:val="EC-Para"/>
        <w:spacing w:after="0" w:line="240" w:lineRule="auto"/>
        <w:jc w:val="both"/>
        <w:rPr>
          <w:rFonts w:cs="Tahoma"/>
        </w:rPr>
      </w:pPr>
      <w:r w:rsidRPr="004B3B0C">
        <w:rPr>
          <w:rFonts w:cs="Tahoma"/>
        </w:rPr>
        <w:t>------------------------</w:t>
      </w:r>
    </w:p>
    <w:p w14:paraId="7B2F6596" w14:textId="4AA542F5" w:rsidR="004B3B0C" w:rsidRPr="004B3B0C" w:rsidRDefault="004B3B0C" w:rsidP="00AC0043">
      <w:pPr>
        <w:pStyle w:val="EC-Para"/>
        <w:spacing w:after="0" w:line="240" w:lineRule="auto"/>
        <w:jc w:val="both"/>
        <w:rPr>
          <w:rFonts w:cs="Tahoma"/>
          <w:lang w:eastAsia="en-US"/>
        </w:rPr>
      </w:pPr>
      <w:r>
        <w:rPr>
          <w:rFonts w:cs="Tahoma"/>
        </w:rPr>
        <w:t xml:space="preserve">(The EU case definitions 2018 have been simplified </w:t>
      </w:r>
      <w:r w:rsidR="00BA35CE">
        <w:rPr>
          <w:rFonts w:cs="Tahoma"/>
        </w:rPr>
        <w:t xml:space="preserve">in relation to pregnancy-associated listeriosis where now only the mother should be reported as a case. Compared to the 2008 and 2012 EU case definitions, genotypic methods are now allowed for laboratory confirmation of </w:t>
      </w:r>
      <w:proofErr w:type="gramStart"/>
      <w:r w:rsidR="00BA35CE">
        <w:rPr>
          <w:rFonts w:cs="Tahoma"/>
        </w:rPr>
        <w:t>listeriosis</w:t>
      </w:r>
      <w:proofErr w:type="gramEnd"/>
      <w:r w:rsidR="00BA35CE">
        <w:rPr>
          <w:rFonts w:cs="Tahoma"/>
        </w:rPr>
        <w:t xml:space="preserve"> and the note is also new.)</w:t>
      </w:r>
      <w:r>
        <w:rPr>
          <w:rFonts w:cs="Tahoma"/>
        </w:rPr>
        <w:t xml:space="preserve"> </w:t>
      </w:r>
    </w:p>
    <w:p w14:paraId="006A14C8" w14:textId="77777777" w:rsidR="00AC0043" w:rsidRPr="004B3B0C" w:rsidRDefault="00AC0043" w:rsidP="00AC0043">
      <w:pPr>
        <w:pStyle w:val="EC-Para"/>
        <w:spacing w:after="0" w:line="240" w:lineRule="auto"/>
        <w:jc w:val="both"/>
        <w:rPr>
          <w:rFonts w:cs="Tahoma"/>
          <w:lang w:eastAsia="en-US"/>
        </w:rPr>
      </w:pPr>
    </w:p>
    <w:p w14:paraId="00ABFE5F" w14:textId="77777777" w:rsidR="00AC0043" w:rsidRPr="004B3B0C" w:rsidRDefault="00AC0043" w:rsidP="00FF6DF0">
      <w:pPr>
        <w:pStyle w:val="EC-Title-6"/>
      </w:pPr>
      <w:r w:rsidRPr="004B3B0C">
        <w:t xml:space="preserve">Data collection and analysis </w:t>
      </w:r>
    </w:p>
    <w:p w14:paraId="614A4173" w14:textId="4A90F647" w:rsidR="00AC0043" w:rsidRDefault="00AC0043" w:rsidP="00AC004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w:t>
      </w:r>
      <w:r w:rsidR="00D24B36">
        <w:rPr>
          <w:rFonts w:cs="Tahoma"/>
        </w:rPr>
        <w:t xml:space="preserve">in </w:t>
      </w:r>
      <w:proofErr w:type="spellStart"/>
      <w:r w:rsidR="00D24B36">
        <w:rPr>
          <w:rFonts w:cs="Tahoma"/>
        </w:rPr>
        <w:t>TESSy</w:t>
      </w:r>
      <w:proofErr w:type="spellEnd"/>
      <w:r w:rsidR="00D24B36">
        <w:rPr>
          <w:rFonts w:cs="Tahoma"/>
        </w:rPr>
        <w:t xml:space="preserve"> </w:t>
      </w:r>
      <w:r>
        <w:rPr>
          <w:rFonts w:cs="Tahoma"/>
        </w:rPr>
        <w:t>at any time. Before analysis, data are validated with nominated data providers in</w:t>
      </w:r>
      <w:r w:rsidR="00A51BAC">
        <w:rPr>
          <w:rFonts w:cs="Tahoma"/>
        </w:rPr>
        <w:t xml:space="preserve"> EU/EEA countries</w:t>
      </w:r>
      <w:r>
        <w:rPr>
          <w:rFonts w:cs="Tahoma"/>
        </w:rPr>
        <w:t>. C</w:t>
      </w:r>
      <w:r>
        <w:t>ountry population denominators by age group for the calculation of notification rates were obtained from Eurostat</w:t>
      </w:r>
      <w:r>
        <w:rPr>
          <w:rStyle w:val="FootnoteReference"/>
        </w:rPr>
        <w:footnoteReference w:id="25"/>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78BDD44B" w14:textId="77777777" w:rsidR="00AC0043" w:rsidRDefault="00AC0043" w:rsidP="00AC0043">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258627FA" w14:textId="77777777" w:rsidR="00AC0043" w:rsidRDefault="00AC0043" w:rsidP="00AC0043">
      <w:pPr>
        <w:pStyle w:val="EC-Para"/>
        <w:jc w:val="both"/>
        <w:rPr>
          <w:rFonts w:cs="Tahoma"/>
        </w:rPr>
      </w:pPr>
      <w:r>
        <w:rPr>
          <w:rFonts w:cs="Tahoma"/>
        </w:rPr>
        <w:t>Surveillance systems across the EU/EEA countries are heterogeneous and a surveillance systems overview is displayed in Annex 1.</w:t>
      </w:r>
    </w:p>
    <w:p w14:paraId="3DEFB5CC" w14:textId="77777777" w:rsidR="00FF6DF0" w:rsidRDefault="00FF6DF0" w:rsidP="00AC0043">
      <w:pPr>
        <w:pStyle w:val="EC-Para"/>
        <w:jc w:val="both"/>
        <w:rPr>
          <w:rFonts w:cs="Tahoma"/>
        </w:rPr>
      </w:pPr>
    </w:p>
    <w:p w14:paraId="26B8567F" w14:textId="77777777" w:rsidR="00AC0043" w:rsidRPr="0072746F" w:rsidRDefault="00AC0043" w:rsidP="00FF6DF0">
      <w:pPr>
        <w:pStyle w:val="EC-Title-6"/>
      </w:pPr>
      <w:r w:rsidRPr="0072746F">
        <w:t xml:space="preserve">Surveillance Atlas </w:t>
      </w:r>
      <w:r w:rsidRPr="00FF6DF0">
        <w:t>indicators</w:t>
      </w:r>
    </w:p>
    <w:p w14:paraId="08DB1437" w14:textId="4CFB1B88" w:rsidR="00AC0043" w:rsidRDefault="00AC0043" w:rsidP="00AC0043">
      <w:pPr>
        <w:pStyle w:val="EC-Para"/>
        <w:rPr>
          <w:rFonts w:cs="Tahoma"/>
        </w:rPr>
      </w:pPr>
      <w:r w:rsidRPr="005E139C">
        <w:rPr>
          <w:rFonts w:cs="Tahoma"/>
        </w:rPr>
        <w:t>The Surveillan</w:t>
      </w:r>
      <w:r>
        <w:rPr>
          <w:rFonts w:cs="Tahoma"/>
        </w:rPr>
        <w:t xml:space="preserve">ce Atlas indicators for </w:t>
      </w:r>
      <w:r w:rsidR="00D20FD0">
        <w:rPr>
          <w:rFonts w:cs="Tahoma"/>
        </w:rPr>
        <w:t>confirmed l</w:t>
      </w:r>
      <w:r>
        <w:rPr>
          <w:rFonts w:cs="Tahoma"/>
        </w:rPr>
        <w:t>isteriosis</w:t>
      </w:r>
      <w:r w:rsidRPr="005E139C">
        <w:rPr>
          <w:rFonts w:cs="Tahoma"/>
        </w:rPr>
        <w:t xml:space="preserve"> </w:t>
      </w:r>
      <w:r w:rsidR="00535174">
        <w:rPr>
          <w:rFonts w:cs="Tahoma"/>
        </w:rPr>
        <w:t xml:space="preserve">cases </w:t>
      </w:r>
      <w:r w:rsidRPr="005E139C">
        <w:rPr>
          <w:rFonts w:cs="Tahoma"/>
        </w:rPr>
        <w:t>are:</w:t>
      </w:r>
    </w:p>
    <w:p w14:paraId="2CD34955" w14:textId="77777777" w:rsidR="00AC0043" w:rsidRPr="007B34B1" w:rsidRDefault="00AC0043" w:rsidP="000617B1">
      <w:pPr>
        <w:numPr>
          <w:ilvl w:val="0"/>
          <w:numId w:val="20"/>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40B0FBA6" w14:textId="77777777" w:rsidR="00AC0043" w:rsidRDefault="00AC0043" w:rsidP="000617B1">
      <w:pPr>
        <w:numPr>
          <w:ilvl w:val="0"/>
          <w:numId w:val="20"/>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60B2EADE" w14:textId="77777777" w:rsidR="00AC0043" w:rsidRDefault="00AC0043" w:rsidP="000617B1">
      <w:pPr>
        <w:numPr>
          <w:ilvl w:val="0"/>
          <w:numId w:val="20"/>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Age-standardised rate </w:t>
      </w:r>
      <w:r w:rsidRPr="007B34B1">
        <w:rPr>
          <w:rFonts w:eastAsia="Arial Unicode MS" w:cs="Tahoma"/>
          <w:kern w:val="22"/>
          <w:szCs w:val="18"/>
        </w:rPr>
        <w:t xml:space="preserve">per 100 000 </w:t>
      </w:r>
      <w:proofErr w:type="gramStart"/>
      <w:r w:rsidRPr="007B34B1">
        <w:rPr>
          <w:rFonts w:eastAsia="Arial Unicode MS" w:cs="Tahoma"/>
          <w:kern w:val="22"/>
          <w:szCs w:val="18"/>
        </w:rPr>
        <w:t>population;</w:t>
      </w:r>
      <w:proofErr w:type="gramEnd"/>
    </w:p>
    <w:p w14:paraId="4AE91F23" w14:textId="77777777" w:rsidR="00AC0043" w:rsidRPr="007B34B1" w:rsidRDefault="00AC0043" w:rsidP="000617B1">
      <w:pPr>
        <w:numPr>
          <w:ilvl w:val="0"/>
          <w:numId w:val="20"/>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6C5C6F68" w14:textId="77777777" w:rsidR="00AC0043" w:rsidRPr="00C31313" w:rsidRDefault="00AC0043" w:rsidP="000617B1">
      <w:pPr>
        <w:numPr>
          <w:ilvl w:val="0"/>
          <w:numId w:val="20"/>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 xml:space="preserve">cases </w:t>
      </w:r>
      <w:r w:rsidRPr="002F58C3">
        <w:rPr>
          <w:rFonts w:eastAsia="Arial Unicode MS" w:cs="Tahoma"/>
          <w:kern w:val="22"/>
          <w:szCs w:val="18"/>
        </w:rPr>
        <w:t>with known history of hospitalisation</w:t>
      </w:r>
      <w:r w:rsidRPr="007B34B1">
        <w:rPr>
          <w:rFonts w:eastAsia="Arial Unicode MS" w:cs="Tahoma"/>
          <w:kern w:val="22"/>
          <w:szCs w:val="18"/>
        </w:rPr>
        <w:t xml:space="preserve"> (%</w:t>
      </w:r>
      <w:proofErr w:type="gramStart"/>
      <w:r w:rsidRPr="007B34B1">
        <w:rPr>
          <w:rFonts w:eastAsia="Arial Unicode MS" w:cs="Tahoma"/>
          <w:kern w:val="22"/>
          <w:szCs w:val="18"/>
        </w:rPr>
        <w:t>);</w:t>
      </w:r>
      <w:proofErr w:type="gramEnd"/>
    </w:p>
    <w:p w14:paraId="312AE5FD" w14:textId="77777777" w:rsidR="00AC0043" w:rsidRPr="007B34B1" w:rsidRDefault="00AC0043" w:rsidP="000617B1">
      <w:pPr>
        <w:numPr>
          <w:ilvl w:val="0"/>
          <w:numId w:val="20"/>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55C5E277" w14:textId="77777777" w:rsidR="00AC0043" w:rsidRPr="007B34B1" w:rsidRDefault="00AC0043" w:rsidP="000617B1">
      <w:pPr>
        <w:numPr>
          <w:ilvl w:val="0"/>
          <w:numId w:val="20"/>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Case fatality calculated as proportion of deaths among confirmed cases with known disease</w:t>
      </w:r>
      <w:r w:rsidDel="00B93F0D">
        <w:rPr>
          <w:rFonts w:eastAsia="Arial Unicode MS" w:cs="Tahoma"/>
          <w:kern w:val="22"/>
          <w:szCs w:val="18"/>
        </w:rPr>
        <w:t xml:space="preserv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238DDAFB" w14:textId="77777777" w:rsidR="00AC0043" w:rsidRPr="007B34B1" w:rsidRDefault="00AC0043" w:rsidP="000617B1">
      <w:pPr>
        <w:numPr>
          <w:ilvl w:val="0"/>
          <w:numId w:val="20"/>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14168A4E" w14:textId="77777777" w:rsidR="00AC0043" w:rsidRDefault="00AC0043" w:rsidP="000617B1">
      <w:pPr>
        <w:numPr>
          <w:ilvl w:val="0"/>
          <w:numId w:val="20"/>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3FC491E0" w14:textId="77777777" w:rsidR="00AC0043" w:rsidRDefault="00AC0043" w:rsidP="00AC0043">
      <w:pPr>
        <w:kinsoku w:val="0"/>
        <w:autoSpaceDE w:val="0"/>
        <w:autoSpaceDN w:val="0"/>
        <w:adjustRightInd w:val="0"/>
        <w:spacing w:after="120" w:line="200" w:lineRule="atLeast"/>
        <w:ind w:left="720"/>
        <w:rPr>
          <w:rFonts w:eastAsia="Arial Unicode MS" w:cs="Tahoma"/>
          <w:kern w:val="22"/>
          <w:szCs w:val="18"/>
        </w:rPr>
      </w:pPr>
    </w:p>
    <w:p w14:paraId="1E220F30" w14:textId="74DC8615" w:rsidR="00D20FD0" w:rsidRDefault="00BA226D" w:rsidP="00D20FD0">
      <w:pPr>
        <w:pStyle w:val="EC-Para"/>
        <w:rPr>
          <w:rFonts w:cs="Tahoma"/>
        </w:rPr>
      </w:pPr>
      <w:r>
        <w:rPr>
          <w:rFonts w:cs="Tahoma"/>
        </w:rPr>
        <w:t>I</w:t>
      </w:r>
      <w:r w:rsidR="00782ABE">
        <w:rPr>
          <w:rFonts w:cs="Tahoma"/>
        </w:rPr>
        <w:t xml:space="preserve">ndicators </w:t>
      </w:r>
      <w:r w:rsidR="00D20FD0">
        <w:rPr>
          <w:rFonts w:cs="Tahoma"/>
        </w:rPr>
        <w:t xml:space="preserve">for </w:t>
      </w:r>
      <w:r w:rsidR="00D20FD0" w:rsidRPr="00782ABE">
        <w:rPr>
          <w:rFonts w:cs="Tahoma"/>
          <w:u w:val="single"/>
        </w:rPr>
        <w:t>confirmed listeriosis 65 years of age and above</w:t>
      </w:r>
      <w:r w:rsidR="00D20FD0">
        <w:rPr>
          <w:rFonts w:cs="Tahoma"/>
        </w:rPr>
        <w:t xml:space="preserve"> </w:t>
      </w:r>
      <w:r w:rsidR="00D20FD0" w:rsidRPr="005E139C">
        <w:rPr>
          <w:rFonts w:cs="Tahoma"/>
        </w:rPr>
        <w:t>are:</w:t>
      </w:r>
    </w:p>
    <w:p w14:paraId="3E64C595" w14:textId="77777777" w:rsidR="00AC0043" w:rsidRPr="007B34B1" w:rsidRDefault="00AC0043" w:rsidP="000617B1">
      <w:pPr>
        <w:numPr>
          <w:ilvl w:val="0"/>
          <w:numId w:val="12"/>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3AFCC975" w14:textId="77777777" w:rsidR="00AC0043" w:rsidRDefault="00AC0043" w:rsidP="000617B1">
      <w:pPr>
        <w:numPr>
          <w:ilvl w:val="0"/>
          <w:numId w:val="12"/>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0EC96FAA" w14:textId="77777777" w:rsidR="00AC0043" w:rsidRPr="007B34B1" w:rsidRDefault="00AC0043" w:rsidP="000617B1">
      <w:pPr>
        <w:numPr>
          <w:ilvl w:val="0"/>
          <w:numId w:val="12"/>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lastRenderedPageBreak/>
        <w:t xml:space="preserve">Number of deaths derived from reporting of disease </w:t>
      </w:r>
      <w:proofErr w:type="gramStart"/>
      <w:r w:rsidRPr="007B34B1">
        <w:rPr>
          <w:rFonts w:eastAsia="Arial Unicode MS" w:cs="Tahoma"/>
          <w:kern w:val="22"/>
          <w:szCs w:val="18"/>
        </w:rPr>
        <w:t>outcome;</w:t>
      </w:r>
      <w:proofErr w:type="gramEnd"/>
    </w:p>
    <w:p w14:paraId="60CD7E49" w14:textId="77777777" w:rsidR="00AC0043" w:rsidRPr="00560045" w:rsidRDefault="00AC0043" w:rsidP="000617B1">
      <w:pPr>
        <w:numPr>
          <w:ilvl w:val="0"/>
          <w:numId w:val="12"/>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Case fatality calculated as proportion of deaths among confirmed cases with known disease</w:t>
      </w:r>
      <w:r w:rsidDel="00B93F0D">
        <w:rPr>
          <w:rFonts w:eastAsia="Arial Unicode MS" w:cs="Tahoma"/>
          <w:kern w:val="22"/>
          <w:szCs w:val="18"/>
        </w:rPr>
        <w:t xml:space="preserv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467292D5" w14:textId="77777777" w:rsidR="00AC0043" w:rsidRDefault="00AC0043" w:rsidP="00AC0043">
      <w:pPr>
        <w:kinsoku w:val="0"/>
        <w:autoSpaceDE w:val="0"/>
        <w:autoSpaceDN w:val="0"/>
        <w:adjustRightInd w:val="0"/>
        <w:spacing w:line="200" w:lineRule="atLeast"/>
        <w:rPr>
          <w:rFonts w:eastAsia="Arial Unicode MS"/>
          <w:b/>
          <w:bCs/>
          <w:kern w:val="22"/>
          <w:szCs w:val="18"/>
        </w:rPr>
      </w:pPr>
    </w:p>
    <w:p w14:paraId="3477C6D4"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D20FD0">
        <w:rPr>
          <w:rFonts w:eastAsia="Arial Unicode MS" w:cs="Tahoma"/>
          <w:kern w:val="22"/>
          <w:szCs w:val="18"/>
        </w:rPr>
        <w:t xml:space="preserve">For </w:t>
      </w:r>
      <w:r w:rsidRPr="00BA226D">
        <w:rPr>
          <w:rFonts w:eastAsia="Arial Unicode MS" w:cs="Tahoma"/>
          <w:kern w:val="22"/>
          <w:szCs w:val="18"/>
          <w:u w:val="single"/>
        </w:rPr>
        <w:t>notification rate indicators</w:t>
      </w:r>
      <w:r w:rsidRPr="00D20FD0">
        <w:rPr>
          <w:rFonts w:eastAsia="Arial Unicode MS" w:cs="Tahoma"/>
          <w:kern w:val="22"/>
          <w:szCs w:val="18"/>
        </w:rPr>
        <w:t>,</w:t>
      </w:r>
      <w:r>
        <w:rPr>
          <w:rFonts w:eastAsia="Arial Unicode MS" w:cs="Tahoma"/>
          <w:kern w:val="22"/>
          <w:szCs w:val="18"/>
        </w:rPr>
        <w:t xml:space="preserve">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7213777F" w14:textId="568D5421"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00D24B36">
        <w:rPr>
          <w:rFonts w:eastAsia="Arial Unicode MS" w:cs="Tahoma"/>
          <w:kern w:val="22"/>
          <w:szCs w:val="18"/>
        </w:rPr>
        <w:t>&lt;1, 1</w:t>
      </w:r>
      <w:r w:rsidRPr="007B34B1">
        <w:rPr>
          <w:rFonts w:eastAsia="Arial Unicode MS" w:cs="Tahoma"/>
          <w:kern w:val="22"/>
          <w:szCs w:val="18"/>
        </w:rPr>
        <w:t>-4, 5-14, 15-24, 25-44, 45-64, 65 years and above</w:t>
      </w:r>
      <w:proofErr w:type="gramStart"/>
      <w:r w:rsidRPr="007B34B1">
        <w:rPr>
          <w:rFonts w:eastAsia="Arial Unicode MS" w:cs="Tahoma"/>
          <w:kern w:val="22"/>
          <w:szCs w:val="18"/>
        </w:rPr>
        <w:t>);</w:t>
      </w:r>
      <w:proofErr w:type="gramEnd"/>
    </w:p>
    <w:p w14:paraId="6FDC4416" w14:textId="67CF9E0C"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for confirmed cases 65 years of age and above </w:t>
      </w:r>
      <w:r w:rsidRPr="007B34B1">
        <w:rPr>
          <w:rFonts w:eastAsia="Arial Unicode MS" w:cs="Tahoma"/>
          <w:kern w:val="22"/>
          <w:szCs w:val="18"/>
        </w:rPr>
        <w:t>(</w:t>
      </w:r>
      <w:r>
        <w:rPr>
          <w:rFonts w:eastAsia="Arial Unicode MS" w:cs="Tahoma"/>
          <w:kern w:val="22"/>
          <w:szCs w:val="18"/>
        </w:rPr>
        <w:t>for age groups 65-69, 70-74, 75-79, 80-84, 8</w:t>
      </w:r>
      <w:r w:rsidRPr="007B34B1">
        <w:rPr>
          <w:rFonts w:eastAsia="Arial Unicode MS" w:cs="Tahoma"/>
          <w:kern w:val="22"/>
          <w:szCs w:val="18"/>
        </w:rPr>
        <w:t>5 years and above</w:t>
      </w:r>
      <w:proofErr w:type="gramStart"/>
      <w:r w:rsidRPr="007B34B1">
        <w:rPr>
          <w:rFonts w:eastAsia="Arial Unicode MS" w:cs="Tahoma"/>
          <w:kern w:val="22"/>
          <w:szCs w:val="18"/>
        </w:rPr>
        <w:t>);</w:t>
      </w:r>
      <w:proofErr w:type="gramEnd"/>
    </w:p>
    <w:p w14:paraId="702CF10E"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0728AA0A"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3E0FF02A"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047D4D62" w14:textId="22EF2BD2"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w:t>
      </w:r>
      <w:r w:rsidR="007350C0">
        <w:rPr>
          <w:rFonts w:eastAsia="Arial Unicode MS" w:cs="Tahoma"/>
          <w:kern w:val="22"/>
          <w:szCs w:val="18"/>
        </w:rPr>
        <w:t>&lt;1, 1</w:t>
      </w:r>
      <w:r w:rsidRPr="007B34B1">
        <w:rPr>
          <w:rFonts w:eastAsia="Arial Unicode MS" w:cs="Tahoma"/>
          <w:kern w:val="22"/>
          <w:szCs w:val="18"/>
        </w:rPr>
        <w:t>-4, 5-14, 15-24, 25-44, 45-64, 65 years and above</w:t>
      </w:r>
      <w:proofErr w:type="gramStart"/>
      <w:r w:rsidRPr="007B34B1">
        <w:rPr>
          <w:rFonts w:eastAsia="Arial Unicode MS" w:cs="Tahoma"/>
          <w:kern w:val="22"/>
          <w:szCs w:val="18"/>
        </w:rPr>
        <w:t>);</w:t>
      </w:r>
      <w:proofErr w:type="gramEnd"/>
    </w:p>
    <w:p w14:paraId="560E5F13"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 groups for confirmed cases 65 years of age and above (65-69, 70-74, 75-79, 80-84, 8</w:t>
      </w:r>
      <w:r w:rsidRPr="007B34B1">
        <w:rPr>
          <w:rFonts w:eastAsia="Arial Unicode MS" w:cs="Tahoma"/>
          <w:kern w:val="22"/>
          <w:szCs w:val="18"/>
        </w:rPr>
        <w:t>5 years and above</w:t>
      </w:r>
      <w:proofErr w:type="gramStart"/>
      <w:r w:rsidRPr="007B34B1">
        <w:rPr>
          <w:rFonts w:eastAsia="Arial Unicode MS" w:cs="Tahoma"/>
          <w:kern w:val="22"/>
          <w:szCs w:val="18"/>
        </w:rPr>
        <w:t>);</w:t>
      </w:r>
      <w:proofErr w:type="gramEnd"/>
    </w:p>
    <w:p w14:paraId="006237C5" w14:textId="77777777"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Gender;</w:t>
      </w:r>
      <w:proofErr w:type="gramEnd"/>
    </w:p>
    <w:p w14:paraId="53022834" w14:textId="4C70DBA0"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Serogroup</w:t>
      </w:r>
      <w:r w:rsidR="007350C0">
        <w:rPr>
          <w:rFonts w:eastAsia="Arial Unicode MS" w:cs="Tahoma"/>
          <w:kern w:val="22"/>
          <w:szCs w:val="18"/>
        </w:rPr>
        <w:t xml:space="preserve"> (data from </w:t>
      </w:r>
      <w:r w:rsidR="00E00B18">
        <w:rPr>
          <w:rFonts w:eastAsia="Arial Unicode MS" w:cs="Tahoma"/>
          <w:kern w:val="22"/>
          <w:szCs w:val="18"/>
        </w:rPr>
        <w:t xml:space="preserve">both </w:t>
      </w:r>
      <w:r w:rsidR="007350C0">
        <w:rPr>
          <w:rFonts w:eastAsia="Arial Unicode MS" w:cs="Tahoma"/>
          <w:kern w:val="22"/>
          <w:szCs w:val="18"/>
        </w:rPr>
        <w:t xml:space="preserve">traditional serotyping and </w:t>
      </w:r>
      <w:r w:rsidR="00767F14">
        <w:rPr>
          <w:rFonts w:eastAsia="Arial Unicode MS" w:cs="Tahoma"/>
          <w:kern w:val="22"/>
          <w:szCs w:val="18"/>
        </w:rPr>
        <w:t>serotyping with molecular methods)</w:t>
      </w:r>
      <w:r>
        <w:rPr>
          <w:rFonts w:eastAsia="Arial Unicode MS" w:cs="Tahoma"/>
          <w:kern w:val="22"/>
          <w:szCs w:val="18"/>
        </w:rPr>
        <w:t>.</w:t>
      </w:r>
    </w:p>
    <w:p w14:paraId="6F1B202F" w14:textId="77777777" w:rsidR="00535174" w:rsidRDefault="00535174" w:rsidP="00535174">
      <w:pPr>
        <w:kinsoku w:val="0"/>
        <w:autoSpaceDE w:val="0"/>
        <w:autoSpaceDN w:val="0"/>
        <w:adjustRightInd w:val="0"/>
        <w:spacing w:line="200" w:lineRule="atLeast"/>
        <w:ind w:left="720"/>
        <w:rPr>
          <w:rFonts w:eastAsia="Arial Unicode MS" w:cs="Tahoma"/>
          <w:kern w:val="22"/>
          <w:szCs w:val="18"/>
        </w:rPr>
      </w:pPr>
    </w:p>
    <w:p w14:paraId="14CD301B" w14:textId="77777777" w:rsidR="00AC0043" w:rsidRDefault="00AC0043" w:rsidP="00AC004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AC0043" w14:paraId="747BB762"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1EBB3C2D" w14:textId="77777777" w:rsidR="00AC0043" w:rsidRDefault="00AC0043" w:rsidP="00AC004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10003EF3" w14:textId="77777777" w:rsidR="00AC0043" w:rsidRDefault="00AC0043" w:rsidP="00AC0043">
            <w:pPr>
              <w:pStyle w:val="EC-Para"/>
              <w:rPr>
                <w:lang w:eastAsia="en-US"/>
              </w:rPr>
            </w:pPr>
            <w:r>
              <w:rPr>
                <w:lang w:eastAsia="en-US"/>
              </w:rPr>
              <w:t>Comment</w:t>
            </w:r>
          </w:p>
        </w:tc>
      </w:tr>
      <w:tr w:rsidR="00AC0043" w14:paraId="18B34B7F"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493712E7" w14:textId="77777777" w:rsidR="00AC0043" w:rsidRDefault="00AC0043" w:rsidP="00AC004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60DCFBC3" w14:textId="77777777" w:rsidR="00AC0043" w:rsidRDefault="00AC0043" w:rsidP="00AC004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AC0043" w14:paraId="57747E8F"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316410F1" w14:textId="77777777" w:rsidR="00AC0043" w:rsidRDefault="00AC0043" w:rsidP="00AC004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66EAC42A" w14:textId="77777777" w:rsidR="00AC0043" w:rsidRDefault="00AC0043" w:rsidP="00AC004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2B282518" w14:textId="77777777" w:rsidR="00AC0043" w:rsidRDefault="00AC0043" w:rsidP="00AC0043">
      <w:pPr>
        <w:pStyle w:val="EC-Para"/>
        <w:rPr>
          <w:lang w:eastAsia="en-US"/>
        </w:rPr>
      </w:pPr>
    </w:p>
    <w:p w14:paraId="3E23C7D6" w14:textId="0BE6D94D" w:rsidR="00AC0043" w:rsidRPr="0072746F" w:rsidRDefault="00AC0043" w:rsidP="00D20FD0">
      <w:pPr>
        <w:pStyle w:val="EC-Title-6"/>
      </w:pPr>
      <w:r w:rsidRPr="0072746F">
        <w:t xml:space="preserve">Data </w:t>
      </w:r>
      <w:r w:rsidRPr="00D20FD0">
        <w:t>quality</w:t>
      </w:r>
    </w:p>
    <w:p w14:paraId="0890B970" w14:textId="6F6E9D35" w:rsidR="0097253D" w:rsidRDefault="0097253D" w:rsidP="0097253D">
      <w:pPr>
        <w:autoSpaceDE w:val="0"/>
        <w:autoSpaceDN w:val="0"/>
        <w:adjustRightInd w:val="0"/>
        <w:jc w:val="both"/>
        <w:rPr>
          <w:rFonts w:eastAsia="Arial Unicode MS" w:cs="Tahoma"/>
          <w:kern w:val="22"/>
          <w:szCs w:val="18"/>
        </w:rPr>
      </w:pPr>
      <w:bookmarkStart w:id="52" w:name="_Toc437442026"/>
      <w:r w:rsidRPr="009E3B9F">
        <w:rPr>
          <w:rFonts w:eastAsia="Arial Unicode MS" w:cs="Tahoma"/>
          <w:kern w:val="22"/>
          <w:szCs w:val="18"/>
        </w:rPr>
        <w:t>EU/EEA coun</w:t>
      </w:r>
      <w:r w:rsidR="00341D81">
        <w:rPr>
          <w:rFonts w:eastAsia="Arial Unicode MS" w:cs="Tahoma"/>
          <w:kern w:val="22"/>
          <w:szCs w:val="18"/>
        </w:rPr>
        <w:t>tries reporting data on listeriosis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6C25A3EC" w14:textId="109055A2"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00341D81">
        <w:rPr>
          <w:rFonts w:eastAsia="Arial Unicode MS" w:cs="Tahoma"/>
          <w:kern w:val="22"/>
          <w:szCs w:val="18"/>
        </w:rPr>
        <w:t>confirmed listeriosis cases</w:t>
      </w:r>
      <w:r>
        <w:rPr>
          <w:rFonts w:eastAsia="Arial Unicode MS" w:cs="Tahoma"/>
          <w:kern w:val="22"/>
          <w:szCs w:val="18"/>
        </w:rPr>
        <w:t xml:space="preserve"> are:</w:t>
      </w:r>
    </w:p>
    <w:p w14:paraId="7B0E84D3" w14:textId="3A1AEE7D"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770A88A9" w14:textId="15F39B48"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6A29BEE4" w14:textId="04C49227"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5E8D28A3" w14:textId="55D5239F"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685CE00F" w14:textId="371EACEA"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4E0CA066" w14:textId="2DA1D1A3"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6A7614">
        <w:rPr>
          <w:rFonts w:eastAsia="Arial Unicode MS" w:cs="Tahoma"/>
          <w:kern w:val="22"/>
          <w:szCs w:val="18"/>
        </w:rPr>
        <w:t>serogroup</w:t>
      </w:r>
      <w:r>
        <w:rPr>
          <w:rFonts w:eastAsia="Arial Unicode MS" w:cs="Tahoma"/>
          <w:kern w:val="22"/>
          <w:szCs w:val="18"/>
        </w:rPr>
        <w:t xml:space="preserve"> (%)</w:t>
      </w:r>
      <w:r w:rsidR="00BA226D">
        <w:rPr>
          <w:rFonts w:eastAsia="Arial Unicode MS" w:cs="Tahoma"/>
          <w:kern w:val="22"/>
          <w:szCs w:val="18"/>
        </w:rPr>
        <w:t>.</w:t>
      </w:r>
    </w:p>
    <w:p w14:paraId="08140379" w14:textId="77777777" w:rsidR="00BA226D" w:rsidRDefault="00BA226D" w:rsidP="00BA226D">
      <w:pPr>
        <w:pStyle w:val="ListParagraph"/>
        <w:autoSpaceDE w:val="0"/>
        <w:autoSpaceDN w:val="0"/>
        <w:adjustRightInd w:val="0"/>
        <w:jc w:val="both"/>
        <w:rPr>
          <w:rFonts w:eastAsia="Arial Unicode MS" w:cs="Tahoma"/>
          <w:kern w:val="22"/>
          <w:szCs w:val="18"/>
        </w:rPr>
      </w:pPr>
    </w:p>
    <w:p w14:paraId="458D91C1" w14:textId="77777777" w:rsidR="00AC0043" w:rsidRDefault="00AC0043" w:rsidP="00AC0043">
      <w:pPr>
        <w:pStyle w:val="EC-Title-6"/>
        <w:outlineLvl w:val="1"/>
        <w:rPr>
          <w:rFonts w:cs="Tahoma"/>
        </w:rPr>
      </w:pPr>
      <w:r w:rsidRPr="00C82DDE">
        <w:rPr>
          <w:rFonts w:cs="Tahoma"/>
        </w:rPr>
        <w:t>Interpretation</w:t>
      </w:r>
      <w:bookmarkEnd w:id="52"/>
      <w:r w:rsidRPr="00C82DDE">
        <w:rPr>
          <w:rFonts w:cs="Tahoma"/>
        </w:rPr>
        <w:t xml:space="preserve"> </w:t>
      </w:r>
    </w:p>
    <w:p w14:paraId="631D6623" w14:textId="77777777" w:rsidR="00AC0043" w:rsidRPr="00D45E3C" w:rsidRDefault="00AC0043" w:rsidP="00AC0043">
      <w:pPr>
        <w:pStyle w:val="EC-Para"/>
        <w:jc w:val="both"/>
        <w:rPr>
          <w:rFonts w:cs="Tahoma"/>
        </w:rPr>
      </w:pPr>
      <w:r w:rsidRPr="00D45E3C">
        <w:rPr>
          <w:rFonts w:eastAsiaTheme="minorHAnsi" w:cs="Tahoma"/>
          <w:lang w:eastAsia="en-US"/>
        </w:rPr>
        <w:t xml:space="preserve">The results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 and so does</w:t>
      </w:r>
      <w:r w:rsidRPr="00D45E3C">
        <w:rPr>
          <w:rFonts w:cs="Tahoma"/>
        </w:rPr>
        <w:t xml:space="preserve"> </w:t>
      </w:r>
      <w:r w:rsidRPr="00C845AB">
        <w:rPr>
          <w:rFonts w:cs="Tahoma"/>
          <w:lang w:eastAsia="en-US"/>
        </w:rPr>
        <w:t>case under-ascertainment between countries</w:t>
      </w:r>
      <w:r w:rsidRPr="00D45E3C">
        <w:rPr>
          <w:rFonts w:cs="Tahoma"/>
        </w:rPr>
        <w:t xml:space="preserve">. </w:t>
      </w:r>
    </w:p>
    <w:p w14:paraId="36ADBB60" w14:textId="135098EC" w:rsidR="00C96C10" w:rsidRDefault="00AC0043" w:rsidP="00C96C10">
      <w:pPr>
        <w:pStyle w:val="EC-Para"/>
        <w:jc w:val="both"/>
      </w:pPr>
      <w:r w:rsidRPr="007D395C">
        <w:t>The notification of listeriosis i</w:t>
      </w:r>
      <w:r>
        <w:t xml:space="preserve">n humans is mandatory in </w:t>
      </w:r>
      <w:r w:rsidR="00964206">
        <w:t xml:space="preserve">all </w:t>
      </w:r>
      <w:r>
        <w:t>EU</w:t>
      </w:r>
      <w:r w:rsidR="00DC1231">
        <w:t>/EEA</w:t>
      </w:r>
      <w:r>
        <w:t xml:space="preserve"> </w:t>
      </w:r>
      <w:r w:rsidR="00BB1A62">
        <w:t>countries</w:t>
      </w:r>
      <w:r>
        <w:t>,</w:t>
      </w:r>
      <w:r w:rsidR="00DC1231">
        <w:t xml:space="preserve"> </w:t>
      </w:r>
      <w:r>
        <w:t xml:space="preserve">except </w:t>
      </w:r>
      <w:r w:rsidR="00964206">
        <w:t xml:space="preserve">in </w:t>
      </w:r>
      <w:r w:rsidRPr="00224B11">
        <w:t>Belgium.</w:t>
      </w:r>
      <w:r w:rsidR="00DC1231">
        <w:t xml:space="preserve"> </w:t>
      </w:r>
      <w:r w:rsidRPr="00224B11">
        <w:t>The surveillance systems</w:t>
      </w:r>
      <w:r w:rsidRPr="007D395C">
        <w:t xml:space="preserve"> for listeriosis have full national coverage in all</w:t>
      </w:r>
      <w:r w:rsidR="008F2A68">
        <w:t xml:space="preserve"> </w:t>
      </w:r>
      <w:r w:rsidR="008F2A68" w:rsidRPr="007D59F7">
        <w:t>reporting</w:t>
      </w:r>
      <w:r w:rsidRPr="007D59F7">
        <w:t xml:space="preserve"> </w:t>
      </w:r>
      <w:r w:rsidR="00E160D2" w:rsidRPr="007D59F7">
        <w:t>countries</w:t>
      </w:r>
      <w:r w:rsidRPr="007D59F7">
        <w:t xml:space="preserve"> except </w:t>
      </w:r>
      <w:r w:rsidR="00964206" w:rsidRPr="007D59F7">
        <w:t xml:space="preserve">in </w:t>
      </w:r>
      <w:r w:rsidR="004025CC" w:rsidRPr="007D59F7">
        <w:t xml:space="preserve">Belgium and </w:t>
      </w:r>
      <w:r w:rsidRPr="007D59F7">
        <w:t xml:space="preserve">Spain. </w:t>
      </w:r>
      <w:r w:rsidR="00C2440C" w:rsidRPr="007D59F7">
        <w:t>The</w:t>
      </w:r>
      <w:r w:rsidR="004025CC" w:rsidRPr="007D59F7">
        <w:t xml:space="preserve"> population coverage is estimated to be 80% </w:t>
      </w:r>
      <w:r w:rsidR="005D33E4" w:rsidRPr="007D59F7">
        <w:t xml:space="preserve">in Belgium </w:t>
      </w:r>
      <w:r w:rsidR="00346C41" w:rsidRPr="007D59F7">
        <w:t>since 2015</w:t>
      </w:r>
      <w:r w:rsidR="005D33E4" w:rsidRPr="007D59F7">
        <w:t xml:space="preserve"> and 9</w:t>
      </w:r>
      <w:r w:rsidR="00447D0C" w:rsidRPr="007D59F7">
        <w:t>7</w:t>
      </w:r>
      <w:r w:rsidR="005D33E4" w:rsidRPr="007D59F7">
        <w:t xml:space="preserve">% in Spain </w:t>
      </w:r>
      <w:r w:rsidR="00C2440C" w:rsidRPr="007D59F7">
        <w:t xml:space="preserve">in </w:t>
      </w:r>
      <w:r w:rsidR="00A45EAC" w:rsidRPr="007D59F7">
        <w:t>2021-202</w:t>
      </w:r>
      <w:r w:rsidR="006F7D94">
        <w:t>3</w:t>
      </w:r>
      <w:r w:rsidR="004025CC" w:rsidRPr="007D59F7">
        <w:t xml:space="preserve">. </w:t>
      </w:r>
      <w:r w:rsidR="00887822" w:rsidRPr="007D59F7">
        <w:t>These</w:t>
      </w:r>
      <w:r w:rsidR="00887822" w:rsidRPr="00E23A35">
        <w:t xml:space="preserve"> proportions were used when calculating </w:t>
      </w:r>
      <w:r w:rsidR="009C585B">
        <w:t xml:space="preserve">the national </w:t>
      </w:r>
      <w:r w:rsidR="00887822" w:rsidRPr="00E23A35">
        <w:t xml:space="preserve">notification rates for these </w:t>
      </w:r>
      <w:r w:rsidR="00045BC9">
        <w:t xml:space="preserve">two </w:t>
      </w:r>
      <w:r w:rsidR="00887822" w:rsidRPr="00E23A35">
        <w:t>Member States</w:t>
      </w:r>
      <w:r w:rsidR="007D59F7">
        <w:t>.</w:t>
      </w:r>
      <w:r w:rsidR="000E58CE">
        <w:rPr>
          <w:rFonts w:cs="Tahoma"/>
        </w:rPr>
        <w:t xml:space="preserve"> </w:t>
      </w:r>
      <w:r w:rsidR="00033923" w:rsidRPr="00E23A35">
        <w:t xml:space="preserve">No estimate of population coverage in </w:t>
      </w:r>
      <w:r w:rsidR="00033923">
        <w:t>Spain</w:t>
      </w:r>
      <w:r w:rsidR="00033923" w:rsidRPr="00E23A35">
        <w:t xml:space="preserve"> was provided</w:t>
      </w:r>
      <w:r w:rsidR="00033923">
        <w:t xml:space="preserve"> prior 202</w:t>
      </w:r>
      <w:r w:rsidR="007F401E">
        <w:t>1</w:t>
      </w:r>
      <w:r w:rsidR="00033923" w:rsidRPr="00E23A35">
        <w:t>, so notification rate</w:t>
      </w:r>
      <w:r w:rsidR="00033923">
        <w:t>s were</w:t>
      </w:r>
      <w:r w:rsidR="00033923" w:rsidRPr="00E23A35">
        <w:t xml:space="preserve"> not calculated</w:t>
      </w:r>
      <w:r w:rsidR="00154BB4">
        <w:t xml:space="preserve">. </w:t>
      </w:r>
      <w:r w:rsidR="008315E6">
        <w:t>All</w:t>
      </w:r>
      <w:r w:rsidRPr="00FB119A">
        <w:t xml:space="preserve"> </w:t>
      </w:r>
      <w:r>
        <w:t>countries provide</w:t>
      </w:r>
      <w:r w:rsidRPr="00FB119A">
        <w:t xml:space="preserve"> case-based </w:t>
      </w:r>
      <w:r w:rsidRPr="00FB119A">
        <w:lastRenderedPageBreak/>
        <w:t>data</w:t>
      </w:r>
      <w:r>
        <w:t xml:space="preserve"> except</w:t>
      </w:r>
      <w:r w:rsidR="00F42F0B">
        <w:t xml:space="preserve"> </w:t>
      </w:r>
      <w:r>
        <w:t>Bulgaria</w:t>
      </w:r>
      <w:r w:rsidR="00346C41">
        <w:t>,</w:t>
      </w:r>
      <w:r w:rsidR="00730FBE">
        <w:t xml:space="preserve"> </w:t>
      </w:r>
      <w:r w:rsidRPr="00FB119A">
        <w:t>which report</w:t>
      </w:r>
      <w:r w:rsidR="008315E6">
        <w:t>ed</w:t>
      </w:r>
      <w:r w:rsidRPr="00FB119A">
        <w:t xml:space="preserve"> aggregate data. </w:t>
      </w:r>
      <w:r w:rsidR="00C96C10">
        <w:t>Aggregated</w:t>
      </w:r>
      <w:r w:rsidR="00C96C10" w:rsidRPr="004C1587">
        <w:t xml:space="preserve"> reporting format w</w:t>
      </w:r>
      <w:r w:rsidR="00C96C10">
        <w:t>as</w:t>
      </w:r>
      <w:r w:rsidR="00C96C10" w:rsidRPr="004C1587">
        <w:t xml:space="preserve"> included to calculate numbers of cases</w:t>
      </w:r>
      <w:r w:rsidR="00C96C10">
        <w:t xml:space="preserve"> and </w:t>
      </w:r>
      <w:r w:rsidR="00C96C10" w:rsidRPr="004C1587">
        <w:t xml:space="preserve">notification rates, </w:t>
      </w:r>
      <w:r w:rsidR="00C96C10">
        <w:t xml:space="preserve">as well as </w:t>
      </w:r>
      <w:r w:rsidR="00C96C10" w:rsidRPr="004C1587">
        <w:t xml:space="preserve">disease trends, </w:t>
      </w:r>
      <w:r w:rsidR="00C96C10">
        <w:t>a</w:t>
      </w:r>
      <w:r w:rsidR="00C96C10" w:rsidRPr="004C1587">
        <w:t>ge and gender distributions</w:t>
      </w:r>
      <w:r w:rsidR="00C96C10">
        <w:t xml:space="preserve"> when this data was available</w:t>
      </w:r>
      <w:r w:rsidR="00C96C10" w:rsidRPr="004C1587">
        <w:t>.</w:t>
      </w:r>
    </w:p>
    <w:p w14:paraId="44D53726" w14:textId="5C0E966D" w:rsidR="00AC0043" w:rsidRDefault="00AC0043" w:rsidP="00C96C10">
      <w:pPr>
        <w:pStyle w:val="EC-Para"/>
        <w:jc w:val="both"/>
      </w:pPr>
      <w:r>
        <w:t xml:space="preserve">Listeriosis infections are </w:t>
      </w:r>
      <w:proofErr w:type="gramStart"/>
      <w:r>
        <w:t>most commonly reported</w:t>
      </w:r>
      <w:proofErr w:type="gramEnd"/>
      <w:r>
        <w:t xml:space="preserve"> in the elderly population (&gt;65 years old) with hospitalisation and case fatality increasing with age. </w:t>
      </w:r>
    </w:p>
    <w:p w14:paraId="42B187D8" w14:textId="77777777" w:rsidR="00AC0043" w:rsidRDefault="00AC0043" w:rsidP="00AC0043">
      <w:pPr>
        <w:pStyle w:val="EC-Para"/>
        <w:jc w:val="both"/>
        <w:rPr>
          <w:rFonts w:cs="Tahoma"/>
          <w:lang w:eastAsia="en-US"/>
        </w:rPr>
      </w:pPr>
      <w:r w:rsidRPr="00AC3062">
        <w:rPr>
          <w:rFonts w:cs="Tahoma"/>
          <w:lang w:eastAsia="en-US"/>
        </w:rPr>
        <w:t xml:space="preserve">The completeness of some variables such as outcome or </w:t>
      </w:r>
      <w:r>
        <w:rPr>
          <w:rFonts w:cs="Tahoma"/>
          <w:lang w:eastAsia="en-US"/>
        </w:rPr>
        <w:t>travel history</w:t>
      </w:r>
      <w:r w:rsidRPr="00AC3062">
        <w:rPr>
          <w:rFonts w:cs="Tahoma"/>
          <w:lang w:eastAsia="en-US"/>
        </w:rPr>
        <w:t xml:space="preserve"> var</w:t>
      </w:r>
      <w:r>
        <w:rPr>
          <w:rFonts w:cs="Tahoma"/>
          <w:lang w:eastAsia="en-US"/>
        </w:rPr>
        <w:t>ies</w:t>
      </w:r>
      <w:r w:rsidRPr="00AC3062">
        <w:rPr>
          <w:rFonts w:cs="Tahoma"/>
          <w:lang w:eastAsia="en-US"/>
        </w:rPr>
        <w:t xml:space="preserve"> between countries and years; some countries </w:t>
      </w:r>
      <w:proofErr w:type="gramStart"/>
      <w:r w:rsidRPr="00AC3062">
        <w:rPr>
          <w:rFonts w:cs="Tahoma"/>
          <w:lang w:eastAsia="en-US"/>
        </w:rPr>
        <w:t>are able to</w:t>
      </w:r>
      <w:proofErr w:type="gramEnd"/>
      <w:r w:rsidRPr="00AC3062">
        <w:rPr>
          <w:rFonts w:cs="Tahoma"/>
          <w:lang w:eastAsia="en-US"/>
        </w:rPr>
        <w:t xml:space="preserve"> collect and integrate this type of information from different sources, other countries are not. Even if overall data completeness is high for some variables, the reader should refrain from direct</w:t>
      </w:r>
      <w:r>
        <w:rPr>
          <w:rFonts w:cs="Tahoma"/>
          <w:lang w:eastAsia="en-US"/>
        </w:rPr>
        <w:t>ly</w:t>
      </w:r>
      <w:r w:rsidRPr="00AC3062">
        <w:rPr>
          <w:rFonts w:cs="Tahoma"/>
          <w:lang w:eastAsia="en-US"/>
        </w:rPr>
        <w:t xml:space="preserve"> compari</w:t>
      </w:r>
      <w:r>
        <w:rPr>
          <w:rFonts w:cs="Tahoma"/>
          <w:lang w:eastAsia="en-US"/>
        </w:rPr>
        <w:t>ng</w:t>
      </w:r>
      <w:r w:rsidRPr="00AC3062">
        <w:rPr>
          <w:rFonts w:cs="Tahoma"/>
          <w:lang w:eastAsia="en-US"/>
        </w:rPr>
        <w:t xml:space="preserve"> countries without </w:t>
      </w:r>
      <w:proofErr w:type="gramStart"/>
      <w:r w:rsidRPr="00AC3062">
        <w:rPr>
          <w:rFonts w:cs="Tahoma"/>
          <w:lang w:eastAsia="en-US"/>
        </w:rPr>
        <w:t>taking into account</w:t>
      </w:r>
      <w:proofErr w:type="gramEnd"/>
      <w:r w:rsidRPr="00AC3062">
        <w:rPr>
          <w:rFonts w:cs="Tahoma"/>
          <w:lang w:eastAsia="en-US"/>
        </w:rPr>
        <w:t xml:space="preserve"> all these limitations.</w:t>
      </w:r>
    </w:p>
    <w:p w14:paraId="4C7C42FE" w14:textId="77777777" w:rsidR="003102E4" w:rsidRDefault="003102E4" w:rsidP="00AC0043">
      <w:pPr>
        <w:pStyle w:val="EC-Para"/>
        <w:jc w:val="both"/>
        <w:rPr>
          <w:rFonts w:cs="Tahoma"/>
          <w:lang w:eastAsia="en-US"/>
        </w:rPr>
      </w:pPr>
    </w:p>
    <w:p w14:paraId="2FB5378C" w14:textId="643BB166" w:rsidR="00AC0043" w:rsidRDefault="00AC0043" w:rsidP="009F5B73">
      <w:pPr>
        <w:pStyle w:val="EC-Title-6"/>
        <w:outlineLvl w:val="1"/>
        <w:rPr>
          <w:rFonts w:cs="Tahoma"/>
          <w:color w:val="FF0000"/>
          <w:sz w:val="20"/>
          <w:szCs w:val="20"/>
        </w:rPr>
      </w:pPr>
      <w:r>
        <w:t xml:space="preserve">Reports published by ECDC on </w:t>
      </w:r>
      <w:r w:rsidR="008333C7">
        <w:t>l</w:t>
      </w:r>
      <w:r>
        <w:t xml:space="preserve">isteriosis </w:t>
      </w:r>
    </w:p>
    <w:p w14:paraId="5620B3AD" w14:textId="77777777" w:rsidR="00AC0043" w:rsidRDefault="00AC0043" w:rsidP="00187929">
      <w:pPr>
        <w:pStyle w:val="EC-Para"/>
        <w:jc w:val="both"/>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37FB0901" w14:textId="77777777" w:rsidR="00DC1231" w:rsidRPr="009D4D86" w:rsidRDefault="00DC1231" w:rsidP="00DC1231">
      <w:pPr>
        <w:pStyle w:val="EC-Para"/>
        <w:spacing w:after="0"/>
        <w:jc w:val="both"/>
        <w:rPr>
          <w:rFonts w:eastAsiaTheme="minorHAnsi" w:cs="Tahoma"/>
          <w:b/>
          <w:lang w:eastAsia="en-US"/>
        </w:rPr>
      </w:pPr>
    </w:p>
    <w:p w14:paraId="70088C87" w14:textId="21CE6198" w:rsidR="00A51BAC" w:rsidRDefault="00A51BAC" w:rsidP="00DC1231">
      <w:pPr>
        <w:pStyle w:val="EC-Para"/>
        <w:spacing w:after="0"/>
        <w:jc w:val="both"/>
        <w:rPr>
          <w:rFonts w:eastAsiaTheme="minorHAnsi" w:cs="Tahoma"/>
          <w:b/>
          <w:lang w:eastAsia="en-US"/>
        </w:rPr>
      </w:pPr>
      <w:r w:rsidRPr="009D4D86">
        <w:rPr>
          <w:rFonts w:eastAsiaTheme="minorHAnsi" w:cs="Tahoma"/>
          <w:b/>
          <w:lang w:eastAsia="en-US"/>
        </w:rPr>
        <w:t xml:space="preserve">Annual epidemiological report </w:t>
      </w:r>
      <w:r w:rsidR="002B5FE5" w:rsidRPr="009D4D86">
        <w:rPr>
          <w:rFonts w:eastAsiaTheme="minorHAnsi" w:cs="Tahoma"/>
          <w:b/>
          <w:lang w:eastAsia="en-US"/>
        </w:rPr>
        <w:t xml:space="preserve">for </w:t>
      </w:r>
      <w:r w:rsidRPr="009D4D86">
        <w:rPr>
          <w:rFonts w:eastAsiaTheme="minorHAnsi" w:cs="Tahoma"/>
          <w:b/>
          <w:lang w:eastAsia="en-US"/>
        </w:rPr>
        <w:t>20</w:t>
      </w:r>
      <w:r w:rsidR="000C181E" w:rsidRPr="009D4D86">
        <w:rPr>
          <w:rFonts w:eastAsiaTheme="minorHAnsi" w:cs="Tahoma"/>
          <w:b/>
          <w:lang w:eastAsia="en-US"/>
        </w:rPr>
        <w:t>2</w:t>
      </w:r>
      <w:r w:rsidR="00DF4334">
        <w:rPr>
          <w:rFonts w:eastAsiaTheme="minorHAnsi" w:cs="Tahoma"/>
          <w:b/>
          <w:lang w:eastAsia="en-US"/>
        </w:rPr>
        <w:t>2</w:t>
      </w:r>
      <w:r w:rsidRPr="009D4D86">
        <w:rPr>
          <w:rFonts w:eastAsiaTheme="minorHAnsi" w:cs="Tahoma"/>
          <w:b/>
          <w:lang w:eastAsia="en-US"/>
        </w:rPr>
        <w:t xml:space="preserve"> – </w:t>
      </w:r>
      <w:r w:rsidR="002B5FE5" w:rsidRPr="009D4D86">
        <w:rPr>
          <w:rFonts w:eastAsiaTheme="minorHAnsi" w:cs="Tahoma"/>
          <w:b/>
          <w:lang w:eastAsia="en-US"/>
        </w:rPr>
        <w:t>Listeriosis</w:t>
      </w:r>
      <w:r w:rsidRPr="009D4D86">
        <w:rPr>
          <w:rFonts w:eastAsiaTheme="minorHAnsi" w:cs="Tahoma"/>
          <w:b/>
          <w:lang w:eastAsia="en-US"/>
        </w:rPr>
        <w:t>:</w:t>
      </w:r>
    </w:p>
    <w:p w14:paraId="762DB8B3" w14:textId="7D5C6AFB" w:rsidR="005E4B30" w:rsidRDefault="00000000" w:rsidP="00DC1231">
      <w:pPr>
        <w:pStyle w:val="EC-Para"/>
        <w:spacing w:after="0"/>
        <w:jc w:val="both"/>
      </w:pPr>
      <w:hyperlink r:id="rId49" w:history="1">
        <w:r w:rsidR="005E4B30" w:rsidRPr="005E4B30">
          <w:rPr>
            <w:rStyle w:val="Hyperlink"/>
            <w:sz w:val="18"/>
          </w:rPr>
          <w:t>Listeriosis Annual Epidemiological Report 2022 (europa.eu)</w:t>
        </w:r>
      </w:hyperlink>
    </w:p>
    <w:p w14:paraId="707FF031" w14:textId="77777777" w:rsidR="002830D7" w:rsidRDefault="002830D7" w:rsidP="00DC1231">
      <w:pPr>
        <w:pStyle w:val="EC-Para"/>
        <w:spacing w:after="0"/>
        <w:jc w:val="both"/>
      </w:pPr>
    </w:p>
    <w:p w14:paraId="27806FA3" w14:textId="71212F6C" w:rsidR="00FE5F24" w:rsidRPr="009D4D86" w:rsidRDefault="00FE5F24" w:rsidP="00FE5F24">
      <w:pPr>
        <w:pStyle w:val="EC-Para"/>
        <w:spacing w:after="0"/>
        <w:jc w:val="both"/>
        <w:rPr>
          <w:b/>
        </w:rPr>
      </w:pPr>
      <w:r w:rsidRPr="009D4D86">
        <w:rPr>
          <w:b/>
        </w:rPr>
        <w:t>EFSA and ECDC (European Food Safety Authority and European Centre for Disease Prevention and Control), 202</w:t>
      </w:r>
      <w:r w:rsidR="00B906C6">
        <w:rPr>
          <w:b/>
        </w:rPr>
        <w:t>3</w:t>
      </w:r>
      <w:r w:rsidRPr="009D4D86">
        <w:rPr>
          <w:b/>
        </w:rPr>
        <w:t>. The European Union One Health 202</w:t>
      </w:r>
      <w:r w:rsidR="00B906C6">
        <w:rPr>
          <w:b/>
        </w:rPr>
        <w:t>2</w:t>
      </w:r>
      <w:r w:rsidRPr="009D4D86">
        <w:rPr>
          <w:b/>
        </w:rPr>
        <w:t xml:space="preserve"> Zoonoses Report</w:t>
      </w:r>
      <w:r>
        <w:rPr>
          <w:b/>
        </w:rPr>
        <w:t xml:space="preserve"> (December 2023)</w:t>
      </w:r>
      <w:r w:rsidRPr="009D4D86">
        <w:rPr>
          <w:b/>
        </w:rPr>
        <w:t>:</w:t>
      </w:r>
    </w:p>
    <w:p w14:paraId="646C7CBD" w14:textId="77777777" w:rsidR="00B906C6" w:rsidRDefault="00000000" w:rsidP="00B906C6">
      <w:pPr>
        <w:pStyle w:val="EC-Para"/>
        <w:spacing w:after="0"/>
        <w:rPr>
          <w:color w:val="69AE23"/>
        </w:rPr>
      </w:pPr>
      <w:hyperlink r:id="rId50" w:history="1">
        <w:r w:rsidR="00B906C6" w:rsidRPr="008D42C9">
          <w:rPr>
            <w:rStyle w:val="Hyperlink"/>
            <w:sz w:val="18"/>
          </w:rPr>
          <w:t>https://efsa.onlinelibrary.wiley.com/doi/epdf/10.2903/j.efsa.2023.8442</w:t>
        </w:r>
      </w:hyperlink>
    </w:p>
    <w:p w14:paraId="05477E69" w14:textId="6B5CDBE3" w:rsidR="00FE5F24" w:rsidRPr="009D4D86" w:rsidRDefault="00000000" w:rsidP="00FE5F24">
      <w:pPr>
        <w:pStyle w:val="EC-Para"/>
        <w:spacing w:after="0"/>
        <w:jc w:val="both"/>
        <w:rPr>
          <w:b/>
        </w:rPr>
      </w:pPr>
      <w:hyperlink w:history="1"/>
      <w:hyperlink w:history="1"/>
    </w:p>
    <w:p w14:paraId="126FB3C3" w14:textId="41BCA1CA" w:rsidR="00AC0043" w:rsidRPr="009D4D86" w:rsidRDefault="00433A1B" w:rsidP="00DC1231">
      <w:pPr>
        <w:pStyle w:val="EC-Title-6"/>
        <w:spacing w:before="0" w:after="0" w:line="200" w:lineRule="atLeast"/>
        <w:outlineLvl w:val="9"/>
        <w:rPr>
          <w:color w:val="auto"/>
          <w:sz w:val="18"/>
          <w:szCs w:val="18"/>
        </w:rPr>
      </w:pPr>
      <w:r w:rsidRPr="00EE0A12">
        <w:rPr>
          <w:color w:val="auto"/>
          <w:sz w:val="18"/>
          <w:szCs w:val="18"/>
        </w:rPr>
        <w:t>Nint</w:t>
      </w:r>
      <w:r w:rsidR="00753EAA" w:rsidRPr="00EE0A12">
        <w:rPr>
          <w:color w:val="auto"/>
          <w:sz w:val="18"/>
          <w:szCs w:val="18"/>
        </w:rPr>
        <w:t>h</w:t>
      </w:r>
      <w:r w:rsidR="00833503" w:rsidRPr="00EE0A12">
        <w:rPr>
          <w:color w:val="auto"/>
          <w:sz w:val="18"/>
          <w:szCs w:val="18"/>
        </w:rPr>
        <w:t xml:space="preserve"> </w:t>
      </w:r>
      <w:r w:rsidR="00343812" w:rsidRPr="00EE0A12">
        <w:rPr>
          <w:color w:val="auto"/>
          <w:sz w:val="18"/>
          <w:szCs w:val="18"/>
        </w:rPr>
        <w:t xml:space="preserve">external quality assessment scheme for </w:t>
      </w:r>
      <w:r w:rsidR="00343812" w:rsidRPr="00EE0A12">
        <w:rPr>
          <w:i/>
          <w:color w:val="auto"/>
          <w:sz w:val="18"/>
          <w:szCs w:val="18"/>
        </w:rPr>
        <w:t>Listeria monocytogenes</w:t>
      </w:r>
      <w:r w:rsidR="00343812" w:rsidRPr="00EE0A12">
        <w:rPr>
          <w:color w:val="auto"/>
          <w:sz w:val="18"/>
          <w:szCs w:val="18"/>
        </w:rPr>
        <w:t xml:space="preserve"> typing</w:t>
      </w:r>
      <w:r w:rsidR="00F468E3" w:rsidRPr="00EE0A12">
        <w:rPr>
          <w:color w:val="auto"/>
          <w:sz w:val="18"/>
          <w:szCs w:val="18"/>
        </w:rPr>
        <w:t xml:space="preserve"> (</w:t>
      </w:r>
      <w:r w:rsidR="00F96E17" w:rsidRPr="00EE0A12">
        <w:rPr>
          <w:color w:val="auto"/>
          <w:sz w:val="18"/>
          <w:szCs w:val="18"/>
        </w:rPr>
        <w:t>Nov</w:t>
      </w:r>
      <w:r w:rsidR="005E4077" w:rsidRPr="00EE0A12">
        <w:rPr>
          <w:color w:val="auto"/>
          <w:sz w:val="18"/>
          <w:szCs w:val="18"/>
        </w:rPr>
        <w:t>ember</w:t>
      </w:r>
      <w:r w:rsidR="00F468E3" w:rsidRPr="00EE0A12">
        <w:rPr>
          <w:color w:val="auto"/>
          <w:sz w:val="18"/>
          <w:szCs w:val="18"/>
        </w:rPr>
        <w:t xml:space="preserve"> 2023)</w:t>
      </w:r>
      <w:r w:rsidR="00E878DE" w:rsidRPr="00EE0A12">
        <w:rPr>
          <w:color w:val="auto"/>
          <w:sz w:val="18"/>
          <w:szCs w:val="18"/>
        </w:rPr>
        <w:t>:</w:t>
      </w:r>
    </w:p>
    <w:p w14:paraId="118F439E" w14:textId="7E6F217B" w:rsidR="00C14CEB" w:rsidRPr="00204B61" w:rsidRDefault="00000000" w:rsidP="00DC1231">
      <w:pPr>
        <w:pStyle w:val="EC-Para"/>
        <w:spacing w:after="0"/>
        <w:rPr>
          <w:bCs/>
          <w:lang w:eastAsia="en-US"/>
        </w:rPr>
      </w:pPr>
      <w:hyperlink r:id="rId51" w:history="1">
        <w:r w:rsidR="00204B61" w:rsidRPr="00204B61">
          <w:rPr>
            <w:rStyle w:val="Hyperlink"/>
            <w:sz w:val="18"/>
          </w:rPr>
          <w:t>Ninth external quality assessment scheme for Listeria monocytogenes typing (europa.eu)</w:t>
        </w:r>
      </w:hyperlink>
    </w:p>
    <w:p w14:paraId="2C832B6F" w14:textId="77777777" w:rsidR="00F56D91" w:rsidRPr="009D4D86" w:rsidRDefault="00F56D91" w:rsidP="00DC1231">
      <w:pPr>
        <w:pStyle w:val="EC-Para"/>
        <w:spacing w:after="0"/>
        <w:rPr>
          <w:b/>
          <w:lang w:eastAsia="en-US"/>
        </w:rPr>
      </w:pPr>
    </w:p>
    <w:p w14:paraId="2F25A205" w14:textId="34C448DA" w:rsidR="00964206" w:rsidRPr="009D4D86" w:rsidRDefault="00964206" w:rsidP="00DC1231">
      <w:pPr>
        <w:pStyle w:val="EC-Para"/>
        <w:spacing w:after="0"/>
        <w:rPr>
          <w:b/>
          <w:lang w:eastAsia="en-US"/>
        </w:rPr>
      </w:pPr>
      <w:r w:rsidRPr="009D4D86">
        <w:rPr>
          <w:b/>
          <w:lang w:eastAsia="en-US"/>
        </w:rPr>
        <w:t xml:space="preserve">European listeria typing exercise </w:t>
      </w:r>
      <w:proofErr w:type="spellStart"/>
      <w:r w:rsidRPr="009D4D86">
        <w:rPr>
          <w:b/>
          <w:lang w:eastAsia="en-US"/>
        </w:rPr>
        <w:t>ELiTE</w:t>
      </w:r>
      <w:proofErr w:type="spellEnd"/>
      <w:r w:rsidRPr="009D4D86">
        <w:rPr>
          <w:b/>
          <w:lang w:eastAsia="en-US"/>
        </w:rPr>
        <w:t xml:space="preserve"> joint report</w:t>
      </w:r>
      <w:r w:rsidR="00E1109E">
        <w:rPr>
          <w:b/>
          <w:lang w:eastAsia="en-US"/>
        </w:rPr>
        <w:t xml:space="preserve"> (Feb</w:t>
      </w:r>
      <w:r w:rsidR="005E4077">
        <w:rPr>
          <w:b/>
          <w:lang w:eastAsia="en-US"/>
        </w:rPr>
        <w:t>ruary</w:t>
      </w:r>
      <w:r w:rsidR="00E1109E">
        <w:rPr>
          <w:b/>
          <w:lang w:eastAsia="en-US"/>
        </w:rPr>
        <w:t xml:space="preserve"> 2021)</w:t>
      </w:r>
      <w:r w:rsidR="003B4CCE" w:rsidRPr="009D4D86">
        <w:rPr>
          <w:b/>
          <w:lang w:eastAsia="en-US"/>
        </w:rPr>
        <w:t>:</w:t>
      </w:r>
    </w:p>
    <w:p w14:paraId="05540519" w14:textId="0EF19DA6" w:rsidR="003B4CCE" w:rsidRPr="009D4D86" w:rsidRDefault="00000000" w:rsidP="00DC1231">
      <w:pPr>
        <w:pStyle w:val="EC-Para"/>
        <w:spacing w:after="0"/>
        <w:rPr>
          <w:bCs/>
          <w:lang w:eastAsia="en-US"/>
        </w:rPr>
      </w:pPr>
      <w:hyperlink r:id="rId52" w:history="1">
        <w:r w:rsidR="003B4CCE" w:rsidRPr="009D4D86">
          <w:rPr>
            <w:rStyle w:val="Hyperlink"/>
            <w:bCs/>
            <w:sz w:val="18"/>
            <w:lang w:eastAsia="en-US"/>
          </w:rPr>
          <w:t>https://www.ecdc.europa.eu/sites/default/files/documents/European-listeria-typing-exercise-ELiTE-joint-report.pdf</w:t>
        </w:r>
      </w:hyperlink>
    </w:p>
    <w:p w14:paraId="6614F1D0" w14:textId="77777777" w:rsidR="00C14CEB" w:rsidRPr="009D4D86" w:rsidRDefault="00C14CEB" w:rsidP="00DC1231">
      <w:pPr>
        <w:pStyle w:val="EC-Para"/>
        <w:spacing w:after="0"/>
        <w:rPr>
          <w:b/>
          <w:lang w:eastAsia="en-US"/>
        </w:rPr>
      </w:pPr>
    </w:p>
    <w:p w14:paraId="4C8DB684" w14:textId="77777777" w:rsidR="00C14CEB" w:rsidRPr="009D4D86" w:rsidRDefault="00C14CEB" w:rsidP="00DC1231">
      <w:pPr>
        <w:pStyle w:val="EC-Para"/>
        <w:spacing w:after="0"/>
        <w:rPr>
          <w:b/>
          <w:lang w:eastAsia="en-US"/>
        </w:rPr>
      </w:pPr>
      <w:r w:rsidRPr="009D4D86">
        <w:rPr>
          <w:b/>
          <w:lang w:eastAsia="en-US"/>
        </w:rPr>
        <w:t xml:space="preserve">Proficiency test for </w:t>
      </w:r>
      <w:r w:rsidRPr="009D4D86">
        <w:rPr>
          <w:b/>
          <w:i/>
          <w:lang w:eastAsia="en-US"/>
        </w:rPr>
        <w:t>Listeria monocytogenes</w:t>
      </w:r>
      <w:r w:rsidRPr="009D4D86">
        <w:rPr>
          <w:b/>
          <w:lang w:eastAsia="en-US"/>
        </w:rPr>
        <w:t xml:space="preserve"> whole genome assembly 2018:</w:t>
      </w:r>
    </w:p>
    <w:p w14:paraId="739FCCC0" w14:textId="77777777" w:rsidR="00C14CEB" w:rsidRDefault="00000000" w:rsidP="00DC1231">
      <w:pPr>
        <w:pStyle w:val="EC-Para"/>
        <w:spacing w:after="0"/>
        <w:rPr>
          <w:lang w:eastAsia="en-US"/>
        </w:rPr>
      </w:pPr>
      <w:hyperlink r:id="rId53" w:history="1">
        <w:r w:rsidR="00C14CEB" w:rsidRPr="009D4D86">
          <w:rPr>
            <w:rStyle w:val="Hyperlink"/>
            <w:sz w:val="18"/>
            <w:lang w:eastAsia="en-US"/>
          </w:rPr>
          <w:t>http://ecdc.europa.eu/sites/portal/files/documents/Listeria-WGA-2019.pdf</w:t>
        </w:r>
      </w:hyperlink>
      <w:r w:rsidR="00C14CEB" w:rsidRPr="009D4D86">
        <w:rPr>
          <w:lang w:eastAsia="en-US"/>
        </w:rPr>
        <w:t xml:space="preserve"> </w:t>
      </w:r>
    </w:p>
    <w:p w14:paraId="191DA3D5" w14:textId="77777777" w:rsidR="007A4BDE" w:rsidRDefault="007A4BDE" w:rsidP="00DC1231">
      <w:pPr>
        <w:pStyle w:val="EC-Para"/>
        <w:spacing w:after="0"/>
        <w:rPr>
          <w:lang w:eastAsia="en-US"/>
        </w:rPr>
      </w:pPr>
    </w:p>
    <w:p w14:paraId="546116F7" w14:textId="6E40D0AE" w:rsidR="007A4BDE" w:rsidRPr="00515B11" w:rsidRDefault="00515B11" w:rsidP="00DC1231">
      <w:pPr>
        <w:pStyle w:val="EC-Para"/>
        <w:spacing w:after="0"/>
        <w:rPr>
          <w:b/>
          <w:bCs/>
          <w:lang w:eastAsia="en-US"/>
        </w:rPr>
      </w:pPr>
      <w:r w:rsidRPr="000C12BF">
        <w:rPr>
          <w:rFonts w:eastAsiaTheme="minorHAnsi" w:cs="Tahoma"/>
          <w:b/>
          <w:bCs/>
        </w:rPr>
        <w:t xml:space="preserve">Rapid Outbreak Assessment: </w:t>
      </w:r>
      <w:r w:rsidRPr="00515B11">
        <w:rPr>
          <w:b/>
          <w:bCs/>
          <w:lang w:eastAsia="en-US"/>
        </w:rPr>
        <w:t xml:space="preserve">Prolonged multi-country outbreak of </w:t>
      </w:r>
      <w:r w:rsidRPr="00B350B8">
        <w:rPr>
          <w:b/>
          <w:bCs/>
          <w:i/>
          <w:iCs/>
          <w:lang w:eastAsia="en-US"/>
        </w:rPr>
        <w:t>Listeria monocytogenes</w:t>
      </w:r>
      <w:r w:rsidRPr="00515B11">
        <w:rPr>
          <w:b/>
          <w:bCs/>
          <w:lang w:eastAsia="en-US"/>
        </w:rPr>
        <w:t xml:space="preserve"> ST173 linked to consumption of fish products (19 June 2024):</w:t>
      </w:r>
    </w:p>
    <w:p w14:paraId="1B1DC966" w14:textId="6F78F37C" w:rsidR="006A1D1C" w:rsidRDefault="00000000" w:rsidP="00DC1231">
      <w:pPr>
        <w:pStyle w:val="EC-Para"/>
        <w:spacing w:after="0"/>
        <w:rPr>
          <w:lang w:eastAsia="en-US"/>
        </w:rPr>
      </w:pPr>
      <w:hyperlink r:id="rId54" w:history="1">
        <w:r w:rsidR="00B350B8" w:rsidRPr="00741474">
          <w:rPr>
            <w:rStyle w:val="Hyperlink"/>
            <w:sz w:val="18"/>
            <w:lang w:eastAsia="en-US"/>
          </w:rPr>
          <w:t>https://efsa.onlinelibrary.wiley.com/doi/pdf/10.2903/sp.efsa.2024.EN-8885</w:t>
        </w:r>
      </w:hyperlink>
    </w:p>
    <w:p w14:paraId="79160779" w14:textId="77777777" w:rsidR="00B350B8" w:rsidRDefault="00B350B8" w:rsidP="00DC1231">
      <w:pPr>
        <w:pStyle w:val="EC-Para"/>
        <w:spacing w:after="0"/>
        <w:rPr>
          <w:lang w:eastAsia="en-US"/>
        </w:rPr>
      </w:pPr>
    </w:p>
    <w:p w14:paraId="0D65964B" w14:textId="77777777" w:rsidR="006A1D1C" w:rsidRPr="006A1D1C" w:rsidRDefault="006A1D1C" w:rsidP="006A1D1C">
      <w:pPr>
        <w:pStyle w:val="EC-Para"/>
        <w:spacing w:after="0"/>
        <w:jc w:val="both"/>
        <w:rPr>
          <w:rFonts w:eastAsiaTheme="minorHAnsi" w:cs="Tahoma"/>
          <w:b/>
          <w:lang w:eastAsia="en-US"/>
        </w:rPr>
      </w:pPr>
      <w:r w:rsidRPr="000C12BF">
        <w:rPr>
          <w:rFonts w:eastAsiaTheme="minorHAnsi" w:cs="Tahoma"/>
          <w:b/>
          <w:bCs/>
        </w:rPr>
        <w:t xml:space="preserve">Rapid Outbreak Assessment: Prolonged multi-country outbreak of </w:t>
      </w:r>
      <w:r w:rsidRPr="000C12BF">
        <w:rPr>
          <w:rFonts w:eastAsiaTheme="minorHAnsi" w:cs="Tahoma"/>
          <w:b/>
          <w:bCs/>
          <w:i/>
          <w:iCs/>
        </w:rPr>
        <w:t>Listeria monocytogenes</w:t>
      </w:r>
      <w:r w:rsidRPr="000C12BF">
        <w:rPr>
          <w:rFonts w:eastAsiaTheme="minorHAnsi" w:cs="Tahoma"/>
          <w:b/>
          <w:bCs/>
        </w:rPr>
        <w:t xml:space="preserve"> ST1607 linked to smoked salmon products</w:t>
      </w:r>
      <w:r w:rsidRPr="006A1D1C">
        <w:rPr>
          <w:rFonts w:eastAsiaTheme="minorHAnsi" w:cs="Tahoma"/>
          <w:b/>
          <w:bCs/>
        </w:rPr>
        <w:t xml:space="preserve"> </w:t>
      </w:r>
      <w:r w:rsidRPr="006A1D1C">
        <w:rPr>
          <w:rFonts w:eastAsiaTheme="minorHAnsi" w:cs="Tahoma"/>
          <w:b/>
          <w:lang w:eastAsia="en-US"/>
        </w:rPr>
        <w:t>(25 April 2024):</w:t>
      </w:r>
    </w:p>
    <w:p w14:paraId="0D4362BD" w14:textId="77777777" w:rsidR="006A1D1C" w:rsidRPr="006A1D1C" w:rsidRDefault="00000000" w:rsidP="006A1D1C">
      <w:pPr>
        <w:pStyle w:val="EC-Para"/>
        <w:spacing w:after="0"/>
        <w:jc w:val="both"/>
        <w:rPr>
          <w:rFonts w:eastAsiaTheme="minorHAnsi" w:cs="Tahoma"/>
        </w:rPr>
      </w:pPr>
      <w:hyperlink r:id="rId55" w:history="1">
        <w:r w:rsidR="006A1D1C" w:rsidRPr="006A1D1C">
          <w:rPr>
            <w:rStyle w:val="Hyperlink"/>
            <w:rFonts w:eastAsiaTheme="minorHAnsi" w:cs="Tahoma"/>
            <w:sz w:val="18"/>
          </w:rPr>
          <w:t>https://www.ecdc.europa.eu/sites/default/files/documents/ROA_2023-FWD-00003-Lm-ST1607_DK.pdf</w:t>
        </w:r>
      </w:hyperlink>
    </w:p>
    <w:p w14:paraId="5589E29F" w14:textId="77777777" w:rsidR="006A1D1C" w:rsidRPr="006A1D1C" w:rsidRDefault="006A1D1C" w:rsidP="006A1D1C">
      <w:pPr>
        <w:pStyle w:val="EC-Para"/>
        <w:spacing w:after="0"/>
        <w:jc w:val="both"/>
        <w:rPr>
          <w:rFonts w:eastAsiaTheme="minorHAnsi" w:cs="Tahoma"/>
          <w:b/>
          <w:lang w:eastAsia="en-US"/>
        </w:rPr>
      </w:pPr>
    </w:p>
    <w:p w14:paraId="25C7CCD9" w14:textId="77777777" w:rsidR="006A1D1C" w:rsidRPr="006A1D1C" w:rsidRDefault="006A1D1C" w:rsidP="006A1D1C">
      <w:pPr>
        <w:pStyle w:val="EC-Para"/>
        <w:spacing w:after="0"/>
        <w:jc w:val="both"/>
        <w:rPr>
          <w:rFonts w:eastAsiaTheme="minorHAnsi" w:cs="Tahoma"/>
          <w:b/>
          <w:lang w:eastAsia="en-US"/>
        </w:rPr>
      </w:pPr>
      <w:r w:rsidRPr="006A1D1C">
        <w:rPr>
          <w:rFonts w:eastAsiaTheme="minorHAnsi" w:cs="Tahoma"/>
          <w:b/>
          <w:lang w:eastAsia="en-US"/>
        </w:rPr>
        <w:t xml:space="preserve">Rapid outbreak assessment: Prolonged multi country cluster of </w:t>
      </w:r>
      <w:r w:rsidRPr="00B350B8">
        <w:rPr>
          <w:rFonts w:eastAsiaTheme="minorHAnsi" w:cs="Tahoma"/>
          <w:b/>
          <w:i/>
          <w:iCs/>
          <w:lang w:eastAsia="en-US"/>
        </w:rPr>
        <w:t>Listeria monocytogenes</w:t>
      </w:r>
      <w:r w:rsidRPr="006A1D1C">
        <w:rPr>
          <w:rFonts w:eastAsiaTheme="minorHAnsi" w:cs="Tahoma"/>
          <w:b/>
          <w:lang w:eastAsia="en-US"/>
        </w:rPr>
        <w:t xml:space="preserve"> ST155 infections (13 December 2023):</w:t>
      </w:r>
    </w:p>
    <w:p w14:paraId="7D0A6790" w14:textId="77777777" w:rsidR="006A1D1C" w:rsidRPr="006A1D1C" w:rsidRDefault="00000000" w:rsidP="006A1D1C">
      <w:pPr>
        <w:pStyle w:val="EC-Para"/>
        <w:spacing w:after="0"/>
        <w:jc w:val="both"/>
        <w:rPr>
          <w:rFonts w:eastAsiaTheme="minorHAnsi" w:cs="Tahoma"/>
          <w:b/>
          <w:lang w:eastAsia="en-US"/>
        </w:rPr>
      </w:pPr>
      <w:hyperlink r:id="rId56" w:history="1">
        <w:r w:rsidR="006A1D1C" w:rsidRPr="006A1D1C">
          <w:rPr>
            <w:rStyle w:val="Hyperlink"/>
            <w:sz w:val="18"/>
          </w:rPr>
          <w:t xml:space="preserve">Prolonged </w:t>
        </w:r>
        <w:proofErr w:type="spellStart"/>
        <w:r w:rsidR="006A1D1C" w:rsidRPr="006A1D1C">
          <w:rPr>
            <w:rStyle w:val="Hyperlink"/>
            <w:sz w:val="18"/>
          </w:rPr>
          <w:t>mulit</w:t>
        </w:r>
        <w:proofErr w:type="spellEnd"/>
        <w:r w:rsidR="006A1D1C" w:rsidRPr="006A1D1C">
          <w:rPr>
            <w:rStyle w:val="Hyperlink"/>
            <w:sz w:val="18"/>
          </w:rPr>
          <w:t>-country cluster of Listeria monocytogenes ST155 infections linked to ready-to-</w:t>
        </w:r>
        <w:proofErr w:type="spellStart"/>
        <w:r w:rsidR="006A1D1C" w:rsidRPr="006A1D1C">
          <w:rPr>
            <w:rStyle w:val="Hyperlink"/>
            <w:sz w:val="18"/>
          </w:rPr>
          <w:t>ead</w:t>
        </w:r>
        <w:proofErr w:type="spellEnd"/>
        <w:r w:rsidR="006A1D1C" w:rsidRPr="006A1D1C">
          <w:rPr>
            <w:rStyle w:val="Hyperlink"/>
            <w:sz w:val="18"/>
          </w:rPr>
          <w:t xml:space="preserve"> fish products (europa.eu)</w:t>
        </w:r>
      </w:hyperlink>
    </w:p>
    <w:p w14:paraId="7253A172" w14:textId="77777777" w:rsidR="006A1D1C" w:rsidRPr="009D4D86" w:rsidRDefault="006A1D1C" w:rsidP="00DC1231">
      <w:pPr>
        <w:pStyle w:val="EC-Para"/>
        <w:spacing w:after="0"/>
        <w:rPr>
          <w:lang w:eastAsia="en-US"/>
        </w:rPr>
      </w:pPr>
    </w:p>
    <w:p w14:paraId="461D1E01" w14:textId="77777777" w:rsidR="00C14CEB" w:rsidRPr="009D4D86" w:rsidRDefault="00C14CEB" w:rsidP="00DC1231">
      <w:pPr>
        <w:pStyle w:val="EC-Para"/>
        <w:spacing w:after="0"/>
        <w:rPr>
          <w:b/>
          <w:lang w:eastAsia="en-US"/>
        </w:rPr>
      </w:pPr>
    </w:p>
    <w:p w14:paraId="416AB22A" w14:textId="17243252" w:rsidR="003102E4" w:rsidRDefault="003102E4">
      <w:pPr>
        <w:rPr>
          <w:rFonts w:eastAsia="Arial Unicode MS" w:cs="Times New Roman"/>
          <w:kern w:val="22"/>
          <w:szCs w:val="18"/>
        </w:rPr>
      </w:pPr>
      <w:r>
        <w:br w:type="page"/>
      </w:r>
    </w:p>
    <w:p w14:paraId="62500D04" w14:textId="0F9A8353" w:rsidR="00AC0043" w:rsidRDefault="00AC0043" w:rsidP="009F5B73">
      <w:pPr>
        <w:pStyle w:val="EC-Title-6"/>
        <w:outlineLvl w:val="1"/>
      </w:pPr>
      <w:r>
        <w:lastRenderedPageBreak/>
        <w:t xml:space="preserve">Annex 1. Surveillance systems overview, </w:t>
      </w:r>
      <w:r w:rsidR="00A32FE1">
        <w:t>202</w:t>
      </w:r>
      <w:r w:rsidR="00F10FF5">
        <w:t>3</w:t>
      </w:r>
    </w:p>
    <w:tbl>
      <w:tblPr>
        <w:tblW w:w="9793" w:type="dxa"/>
        <w:tblLook w:val="04A0" w:firstRow="1" w:lastRow="0" w:firstColumn="1" w:lastColumn="0" w:noHBand="0" w:noVBand="1"/>
      </w:tblPr>
      <w:tblGrid>
        <w:gridCol w:w="1038"/>
        <w:gridCol w:w="2749"/>
        <w:gridCol w:w="570"/>
        <w:gridCol w:w="570"/>
        <w:gridCol w:w="570"/>
        <w:gridCol w:w="570"/>
        <w:gridCol w:w="570"/>
        <w:gridCol w:w="570"/>
        <w:gridCol w:w="570"/>
        <w:gridCol w:w="570"/>
        <w:gridCol w:w="1725"/>
      </w:tblGrid>
      <w:tr w:rsidR="00833503" w:rsidRPr="00421C41" w14:paraId="7B6B550C" w14:textId="77777777" w:rsidTr="007D59F7">
        <w:trPr>
          <w:trHeight w:val="297"/>
        </w:trPr>
        <w:tc>
          <w:tcPr>
            <w:tcW w:w="1038"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1E42C5D2" w14:textId="77777777" w:rsidR="00833503" w:rsidRPr="00421C41" w:rsidRDefault="00833503" w:rsidP="00833503">
            <w:pPr>
              <w:rPr>
                <w:rFonts w:eastAsia="Times New Roman" w:cs="Tahoma"/>
                <w:b/>
                <w:bCs/>
                <w:color w:val="FFFFFF"/>
                <w:sz w:val="14"/>
                <w:szCs w:val="14"/>
                <w:lang w:eastAsia="en-GB"/>
              </w:rPr>
            </w:pPr>
            <w:r w:rsidRPr="00421C41">
              <w:rPr>
                <w:rFonts w:eastAsia="Times New Roman" w:cs="Tahoma"/>
                <w:b/>
                <w:bCs/>
                <w:color w:val="FFFFFF"/>
                <w:sz w:val="14"/>
                <w:szCs w:val="14"/>
                <w:lang w:eastAsia="en-GB"/>
              </w:rPr>
              <w:t>Country</w:t>
            </w:r>
          </w:p>
        </w:tc>
        <w:tc>
          <w:tcPr>
            <w:tcW w:w="2749"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02ABD7AB" w14:textId="77777777" w:rsidR="00833503" w:rsidRPr="00421C41" w:rsidRDefault="00833503" w:rsidP="00833503">
            <w:pPr>
              <w:rPr>
                <w:rFonts w:eastAsia="Times New Roman" w:cs="Tahoma"/>
                <w:b/>
                <w:bCs/>
                <w:color w:val="FFFFFF"/>
                <w:sz w:val="14"/>
                <w:szCs w:val="14"/>
                <w:lang w:eastAsia="en-GB"/>
              </w:rPr>
            </w:pPr>
            <w:r w:rsidRPr="00421C41">
              <w:rPr>
                <w:rFonts w:eastAsia="Times New Roman" w:cs="Tahoma"/>
                <w:b/>
                <w:bCs/>
                <w:color w:val="FFFFFF"/>
                <w:sz w:val="14"/>
                <w:szCs w:val="14"/>
                <w:lang w:eastAsia="en-GB"/>
              </w:rPr>
              <w:t>Data source</w:t>
            </w:r>
          </w:p>
        </w:tc>
        <w:tc>
          <w:tcPr>
            <w:tcW w:w="535"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57D6E73" w14:textId="77777777" w:rsidR="00833503" w:rsidRPr="00421C41" w:rsidRDefault="00833503" w:rsidP="00833503">
            <w:pPr>
              <w:jc w:val="center"/>
              <w:rPr>
                <w:rFonts w:eastAsia="Times New Roman" w:cs="Tahoma"/>
                <w:b/>
                <w:bCs/>
                <w:color w:val="FFFFFF"/>
                <w:sz w:val="14"/>
                <w:szCs w:val="14"/>
                <w:lang w:eastAsia="en-GB"/>
              </w:rPr>
            </w:pPr>
            <w:r w:rsidRPr="00421C41">
              <w:rPr>
                <w:rFonts w:eastAsia="Times New Roman" w:cs="Tahoma"/>
                <w:b/>
                <w:bCs/>
                <w:color w:val="FFFFFF"/>
                <w:sz w:val="14"/>
                <w:szCs w:val="14"/>
                <w:lang w:eastAsia="en-GB"/>
              </w:rPr>
              <w:t>Compulsory (Cp), voluntary (V), other(O)</w:t>
            </w:r>
          </w:p>
        </w:tc>
        <w:tc>
          <w:tcPr>
            <w:tcW w:w="535"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0802F585" w14:textId="77777777" w:rsidR="00833503" w:rsidRPr="00421C41" w:rsidRDefault="00833503" w:rsidP="00833503">
            <w:pPr>
              <w:jc w:val="center"/>
              <w:rPr>
                <w:rFonts w:eastAsia="Times New Roman" w:cs="Tahoma"/>
                <w:b/>
                <w:bCs/>
                <w:color w:val="FFFFFF"/>
                <w:sz w:val="14"/>
                <w:szCs w:val="14"/>
                <w:lang w:eastAsia="en-GB"/>
              </w:rPr>
            </w:pPr>
            <w:r w:rsidRPr="00421C41">
              <w:rPr>
                <w:rFonts w:eastAsia="Times New Roman" w:cs="Tahoma"/>
                <w:b/>
                <w:bCs/>
                <w:color w:val="FFFFFF"/>
                <w:sz w:val="14"/>
                <w:szCs w:val="14"/>
                <w:lang w:eastAsia="en-GB"/>
              </w:rPr>
              <w:t>Comprehensive (Co), sentinel (Se), other(O)</w:t>
            </w:r>
          </w:p>
        </w:tc>
        <w:tc>
          <w:tcPr>
            <w:tcW w:w="535"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74919B39" w14:textId="77777777" w:rsidR="00833503" w:rsidRPr="00421C41" w:rsidRDefault="00833503" w:rsidP="00833503">
            <w:pPr>
              <w:jc w:val="center"/>
              <w:rPr>
                <w:rFonts w:eastAsia="Times New Roman" w:cs="Tahoma"/>
                <w:b/>
                <w:bCs/>
                <w:color w:val="FFFFFF"/>
                <w:sz w:val="14"/>
                <w:szCs w:val="14"/>
                <w:lang w:eastAsia="en-GB"/>
              </w:rPr>
            </w:pPr>
            <w:r w:rsidRPr="00421C41">
              <w:rPr>
                <w:rFonts w:eastAsia="Times New Roman" w:cs="Tahoma"/>
                <w:b/>
                <w:bCs/>
                <w:color w:val="FFFFFF"/>
                <w:sz w:val="14"/>
                <w:szCs w:val="14"/>
                <w:lang w:eastAsia="en-GB"/>
              </w:rPr>
              <w:t>Active (A), passive (P)</w:t>
            </w:r>
          </w:p>
        </w:tc>
        <w:tc>
          <w:tcPr>
            <w:tcW w:w="535"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0FCC47C" w14:textId="77777777" w:rsidR="00833503" w:rsidRPr="00421C41" w:rsidRDefault="00833503" w:rsidP="00833503">
            <w:pPr>
              <w:jc w:val="center"/>
              <w:rPr>
                <w:rFonts w:eastAsia="Times New Roman" w:cs="Tahoma"/>
                <w:b/>
                <w:bCs/>
                <w:color w:val="FFFFFF"/>
                <w:sz w:val="14"/>
                <w:szCs w:val="14"/>
                <w:lang w:eastAsia="en-GB"/>
              </w:rPr>
            </w:pPr>
            <w:r w:rsidRPr="00421C41">
              <w:rPr>
                <w:rFonts w:eastAsia="Times New Roman" w:cs="Tahoma"/>
                <w:b/>
                <w:bCs/>
                <w:color w:val="FFFFFF"/>
                <w:sz w:val="14"/>
                <w:szCs w:val="14"/>
                <w:lang w:eastAsia="en-GB"/>
              </w:rPr>
              <w:t>Case-based (C), aggregated (A)</w:t>
            </w:r>
          </w:p>
        </w:tc>
        <w:tc>
          <w:tcPr>
            <w:tcW w:w="2141" w:type="dxa"/>
            <w:gridSpan w:val="4"/>
            <w:tcBorders>
              <w:top w:val="single" w:sz="4" w:space="0" w:color="auto"/>
              <w:left w:val="nil"/>
              <w:bottom w:val="single" w:sz="4" w:space="0" w:color="auto"/>
              <w:right w:val="single" w:sz="4" w:space="0" w:color="auto"/>
            </w:tcBorders>
            <w:shd w:val="clear" w:color="000000" w:fill="69AE23"/>
            <w:noWrap/>
            <w:hideMark/>
          </w:tcPr>
          <w:p w14:paraId="4C0A7661" w14:textId="77777777" w:rsidR="00833503" w:rsidRPr="00421C41" w:rsidRDefault="00833503" w:rsidP="00833503">
            <w:pPr>
              <w:jc w:val="center"/>
              <w:rPr>
                <w:rFonts w:eastAsia="Times New Roman" w:cs="Tahoma"/>
                <w:b/>
                <w:bCs/>
                <w:color w:val="FFFFFF"/>
                <w:sz w:val="14"/>
                <w:szCs w:val="14"/>
                <w:lang w:eastAsia="en-GB"/>
              </w:rPr>
            </w:pPr>
            <w:r w:rsidRPr="00421C41">
              <w:rPr>
                <w:rFonts w:eastAsia="Times New Roman" w:cs="Tahoma"/>
                <w:b/>
                <w:bCs/>
                <w:color w:val="FFFFFF"/>
                <w:sz w:val="14"/>
                <w:szCs w:val="14"/>
                <w:lang w:eastAsia="en-GB"/>
              </w:rPr>
              <w:t>Data reported by</w:t>
            </w:r>
          </w:p>
        </w:tc>
        <w:tc>
          <w:tcPr>
            <w:tcW w:w="1725"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486C3CF5" w14:textId="77777777" w:rsidR="00833503" w:rsidRPr="00421C41" w:rsidRDefault="00833503" w:rsidP="00833503">
            <w:pPr>
              <w:rPr>
                <w:rFonts w:eastAsia="Times New Roman" w:cs="Tahoma"/>
                <w:b/>
                <w:bCs/>
                <w:color w:val="FFFFFF"/>
                <w:sz w:val="14"/>
                <w:szCs w:val="14"/>
                <w:lang w:eastAsia="en-GB"/>
              </w:rPr>
            </w:pPr>
            <w:r w:rsidRPr="00421C41">
              <w:rPr>
                <w:rFonts w:eastAsia="Times New Roman" w:cs="Tahoma"/>
                <w:b/>
                <w:bCs/>
                <w:color w:val="FFFFFF"/>
                <w:sz w:val="14"/>
                <w:szCs w:val="14"/>
                <w:lang w:eastAsia="en-GB"/>
              </w:rPr>
              <w:t>Case definition used</w:t>
            </w:r>
          </w:p>
        </w:tc>
      </w:tr>
      <w:tr w:rsidR="00833503" w:rsidRPr="00421C41" w14:paraId="40E5E25C" w14:textId="77777777" w:rsidTr="007D59F7">
        <w:trPr>
          <w:trHeight w:val="2831"/>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5FAAA997" w14:textId="77777777" w:rsidR="00833503" w:rsidRPr="00421C41" w:rsidRDefault="00833503" w:rsidP="00833503">
            <w:pPr>
              <w:rPr>
                <w:rFonts w:eastAsia="Times New Roman" w:cs="Tahoma"/>
                <w:b/>
                <w:bCs/>
                <w:color w:val="FFFFFF"/>
                <w:sz w:val="14"/>
                <w:szCs w:val="14"/>
                <w:lang w:eastAsia="en-GB"/>
              </w:rPr>
            </w:pPr>
          </w:p>
        </w:tc>
        <w:tc>
          <w:tcPr>
            <w:tcW w:w="2749" w:type="dxa"/>
            <w:vMerge/>
            <w:tcBorders>
              <w:top w:val="single" w:sz="4" w:space="0" w:color="auto"/>
              <w:left w:val="single" w:sz="4" w:space="0" w:color="auto"/>
              <w:bottom w:val="single" w:sz="4" w:space="0" w:color="auto"/>
              <w:right w:val="single" w:sz="4" w:space="0" w:color="auto"/>
            </w:tcBorders>
            <w:vAlign w:val="center"/>
            <w:hideMark/>
          </w:tcPr>
          <w:p w14:paraId="3138E5FD" w14:textId="77777777" w:rsidR="00833503" w:rsidRPr="00421C41" w:rsidRDefault="00833503" w:rsidP="00833503">
            <w:pPr>
              <w:rPr>
                <w:rFonts w:eastAsia="Times New Roman" w:cs="Tahoma"/>
                <w:b/>
                <w:bCs/>
                <w:color w:val="FFFFFF"/>
                <w:sz w:val="14"/>
                <w:szCs w:val="14"/>
                <w:lang w:eastAsia="en-GB"/>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14:paraId="6EDBF678" w14:textId="77777777" w:rsidR="00833503" w:rsidRPr="00421C41" w:rsidRDefault="00833503" w:rsidP="00833503">
            <w:pPr>
              <w:rPr>
                <w:rFonts w:eastAsia="Times New Roman" w:cs="Tahoma"/>
                <w:b/>
                <w:bCs/>
                <w:color w:val="FFFFFF"/>
                <w:sz w:val="14"/>
                <w:szCs w:val="14"/>
                <w:lang w:eastAsia="en-GB"/>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14:paraId="078B5873" w14:textId="77777777" w:rsidR="00833503" w:rsidRPr="00421C41" w:rsidRDefault="00833503" w:rsidP="00833503">
            <w:pPr>
              <w:rPr>
                <w:rFonts w:eastAsia="Times New Roman" w:cs="Tahoma"/>
                <w:b/>
                <w:bCs/>
                <w:color w:val="FFFFFF"/>
                <w:sz w:val="14"/>
                <w:szCs w:val="14"/>
                <w:lang w:eastAsia="en-GB"/>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14:paraId="07CCFB30" w14:textId="77777777" w:rsidR="00833503" w:rsidRPr="00421C41" w:rsidRDefault="00833503" w:rsidP="00833503">
            <w:pPr>
              <w:rPr>
                <w:rFonts w:eastAsia="Times New Roman" w:cs="Tahoma"/>
                <w:b/>
                <w:bCs/>
                <w:color w:val="FFFFFF"/>
                <w:sz w:val="14"/>
                <w:szCs w:val="14"/>
                <w:lang w:eastAsia="en-GB"/>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14:paraId="5DCD17E2" w14:textId="77777777" w:rsidR="00833503" w:rsidRPr="00421C41" w:rsidRDefault="00833503" w:rsidP="00833503">
            <w:pPr>
              <w:rPr>
                <w:rFonts w:eastAsia="Times New Roman" w:cs="Tahoma"/>
                <w:b/>
                <w:bCs/>
                <w:color w:val="FFFFFF"/>
                <w:sz w:val="14"/>
                <w:szCs w:val="14"/>
                <w:lang w:eastAsia="en-GB"/>
              </w:rPr>
            </w:pPr>
          </w:p>
        </w:tc>
        <w:tc>
          <w:tcPr>
            <w:tcW w:w="535" w:type="dxa"/>
            <w:tcBorders>
              <w:top w:val="nil"/>
              <w:left w:val="nil"/>
              <w:bottom w:val="nil"/>
              <w:right w:val="single" w:sz="4" w:space="0" w:color="auto"/>
            </w:tcBorders>
            <w:shd w:val="clear" w:color="000000" w:fill="69AE23"/>
            <w:noWrap/>
            <w:textDirection w:val="btLr"/>
            <w:vAlign w:val="bottom"/>
            <w:hideMark/>
          </w:tcPr>
          <w:p w14:paraId="201A22D4" w14:textId="77777777" w:rsidR="00833503" w:rsidRPr="00421C41" w:rsidRDefault="00833503" w:rsidP="00833503">
            <w:pPr>
              <w:jc w:val="center"/>
              <w:rPr>
                <w:rFonts w:eastAsia="Times New Roman" w:cs="Tahoma"/>
                <w:b/>
                <w:bCs/>
                <w:color w:val="FFFFFF"/>
                <w:sz w:val="14"/>
                <w:szCs w:val="14"/>
                <w:lang w:eastAsia="en-GB"/>
              </w:rPr>
            </w:pPr>
            <w:r w:rsidRPr="00421C41">
              <w:rPr>
                <w:rFonts w:eastAsia="Times New Roman" w:cs="Tahoma"/>
                <w:b/>
                <w:bCs/>
                <w:color w:val="FFFFFF"/>
                <w:sz w:val="14"/>
                <w:szCs w:val="14"/>
                <w:lang w:eastAsia="en-GB"/>
              </w:rPr>
              <w:t>Laboratories</w:t>
            </w:r>
          </w:p>
        </w:tc>
        <w:tc>
          <w:tcPr>
            <w:tcW w:w="535" w:type="dxa"/>
            <w:tcBorders>
              <w:top w:val="nil"/>
              <w:left w:val="nil"/>
              <w:bottom w:val="nil"/>
              <w:right w:val="single" w:sz="4" w:space="0" w:color="auto"/>
            </w:tcBorders>
            <w:shd w:val="clear" w:color="000000" w:fill="69AE23"/>
            <w:noWrap/>
            <w:textDirection w:val="btLr"/>
            <w:vAlign w:val="bottom"/>
            <w:hideMark/>
          </w:tcPr>
          <w:p w14:paraId="25B6DDCF" w14:textId="77777777" w:rsidR="00833503" w:rsidRPr="00421C41" w:rsidRDefault="00833503" w:rsidP="00833503">
            <w:pPr>
              <w:jc w:val="center"/>
              <w:rPr>
                <w:rFonts w:eastAsia="Times New Roman" w:cs="Tahoma"/>
                <w:b/>
                <w:bCs/>
                <w:color w:val="FFFFFF"/>
                <w:sz w:val="14"/>
                <w:szCs w:val="14"/>
                <w:lang w:eastAsia="en-GB"/>
              </w:rPr>
            </w:pPr>
            <w:r w:rsidRPr="00421C41">
              <w:rPr>
                <w:rFonts w:eastAsia="Times New Roman" w:cs="Tahoma"/>
                <w:b/>
                <w:bCs/>
                <w:color w:val="FFFFFF"/>
                <w:sz w:val="14"/>
                <w:szCs w:val="14"/>
                <w:lang w:eastAsia="en-GB"/>
              </w:rPr>
              <w:t>Physicians</w:t>
            </w:r>
          </w:p>
        </w:tc>
        <w:tc>
          <w:tcPr>
            <w:tcW w:w="535" w:type="dxa"/>
            <w:tcBorders>
              <w:top w:val="nil"/>
              <w:left w:val="nil"/>
              <w:bottom w:val="nil"/>
              <w:right w:val="single" w:sz="4" w:space="0" w:color="auto"/>
            </w:tcBorders>
            <w:shd w:val="clear" w:color="000000" w:fill="69AE23"/>
            <w:noWrap/>
            <w:textDirection w:val="btLr"/>
            <w:vAlign w:val="bottom"/>
            <w:hideMark/>
          </w:tcPr>
          <w:p w14:paraId="736809EA" w14:textId="77777777" w:rsidR="00833503" w:rsidRPr="00421C41" w:rsidRDefault="00833503" w:rsidP="00833503">
            <w:pPr>
              <w:jc w:val="center"/>
              <w:rPr>
                <w:rFonts w:eastAsia="Times New Roman" w:cs="Tahoma"/>
                <w:b/>
                <w:bCs/>
                <w:color w:val="FFFFFF"/>
                <w:sz w:val="14"/>
                <w:szCs w:val="14"/>
                <w:lang w:eastAsia="en-GB"/>
              </w:rPr>
            </w:pPr>
            <w:r w:rsidRPr="00421C41">
              <w:rPr>
                <w:rFonts w:eastAsia="Times New Roman" w:cs="Tahoma"/>
                <w:b/>
                <w:bCs/>
                <w:color w:val="FFFFFF"/>
                <w:sz w:val="14"/>
                <w:szCs w:val="14"/>
                <w:lang w:eastAsia="en-GB"/>
              </w:rPr>
              <w:t>Hospitals</w:t>
            </w:r>
          </w:p>
        </w:tc>
        <w:tc>
          <w:tcPr>
            <w:tcW w:w="535" w:type="dxa"/>
            <w:tcBorders>
              <w:top w:val="nil"/>
              <w:left w:val="nil"/>
              <w:bottom w:val="nil"/>
              <w:right w:val="single" w:sz="4" w:space="0" w:color="auto"/>
            </w:tcBorders>
            <w:shd w:val="clear" w:color="000000" w:fill="69AE23"/>
            <w:noWrap/>
            <w:textDirection w:val="btLr"/>
            <w:vAlign w:val="bottom"/>
            <w:hideMark/>
          </w:tcPr>
          <w:p w14:paraId="79514D4A" w14:textId="77777777" w:rsidR="00833503" w:rsidRPr="00421C41" w:rsidRDefault="00833503" w:rsidP="00833503">
            <w:pPr>
              <w:jc w:val="center"/>
              <w:rPr>
                <w:rFonts w:eastAsia="Times New Roman" w:cs="Tahoma"/>
                <w:b/>
                <w:bCs/>
                <w:color w:val="FFFFFF"/>
                <w:sz w:val="14"/>
                <w:szCs w:val="14"/>
                <w:lang w:eastAsia="en-GB"/>
              </w:rPr>
            </w:pPr>
            <w:r w:rsidRPr="00421C41">
              <w:rPr>
                <w:rFonts w:eastAsia="Times New Roman" w:cs="Tahoma"/>
                <w:b/>
                <w:bCs/>
                <w:color w:val="FFFFFF"/>
                <w:sz w:val="14"/>
                <w:szCs w:val="14"/>
                <w:lang w:eastAsia="en-GB"/>
              </w:rPr>
              <w:t>Others</w:t>
            </w: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3F0F16AE" w14:textId="77777777" w:rsidR="00833503" w:rsidRPr="00421C41" w:rsidRDefault="00833503" w:rsidP="00833503">
            <w:pPr>
              <w:rPr>
                <w:rFonts w:eastAsia="Times New Roman" w:cs="Tahoma"/>
                <w:b/>
                <w:bCs/>
                <w:color w:val="FFFFFF"/>
                <w:sz w:val="14"/>
                <w:szCs w:val="14"/>
                <w:lang w:eastAsia="en-GB"/>
              </w:rPr>
            </w:pPr>
          </w:p>
        </w:tc>
      </w:tr>
      <w:tr w:rsidR="00833503" w:rsidRPr="00421C41" w14:paraId="565E7BD0" w14:textId="77777777" w:rsidTr="007D59F7">
        <w:trPr>
          <w:trHeight w:val="237"/>
        </w:trPr>
        <w:tc>
          <w:tcPr>
            <w:tcW w:w="1038" w:type="dxa"/>
            <w:tcBorders>
              <w:top w:val="single" w:sz="4" w:space="0" w:color="auto"/>
              <w:left w:val="single" w:sz="4" w:space="0" w:color="auto"/>
              <w:bottom w:val="nil"/>
              <w:right w:val="single" w:sz="4" w:space="0" w:color="auto"/>
            </w:tcBorders>
            <w:shd w:val="clear" w:color="000000" w:fill="D9D9D9"/>
            <w:noWrap/>
            <w:vAlign w:val="bottom"/>
            <w:hideMark/>
          </w:tcPr>
          <w:p w14:paraId="4E29B26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Austria</w:t>
            </w:r>
          </w:p>
        </w:tc>
        <w:tc>
          <w:tcPr>
            <w:tcW w:w="2749" w:type="dxa"/>
            <w:tcBorders>
              <w:top w:val="single" w:sz="4" w:space="0" w:color="auto"/>
              <w:left w:val="single" w:sz="4" w:space="0" w:color="auto"/>
              <w:bottom w:val="nil"/>
              <w:right w:val="single" w:sz="4" w:space="0" w:color="auto"/>
            </w:tcBorders>
            <w:shd w:val="clear" w:color="000000" w:fill="D9D9D9"/>
            <w:noWrap/>
            <w:vAlign w:val="bottom"/>
            <w:hideMark/>
          </w:tcPr>
          <w:p w14:paraId="30ADB7C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AT-</w:t>
            </w:r>
            <w:proofErr w:type="spellStart"/>
            <w:r w:rsidRPr="00421C41">
              <w:rPr>
                <w:rFonts w:eastAsia="Times New Roman" w:cs="Tahoma"/>
                <w:sz w:val="14"/>
                <w:szCs w:val="14"/>
                <w:lang w:eastAsia="en-GB"/>
              </w:rPr>
              <w:t>Epidemiegesetz</w:t>
            </w:r>
            <w:proofErr w:type="spellEnd"/>
          </w:p>
        </w:tc>
        <w:tc>
          <w:tcPr>
            <w:tcW w:w="535" w:type="dxa"/>
            <w:tcBorders>
              <w:top w:val="single" w:sz="4" w:space="0" w:color="auto"/>
              <w:left w:val="single" w:sz="4" w:space="0" w:color="auto"/>
              <w:bottom w:val="nil"/>
              <w:right w:val="single" w:sz="4" w:space="0" w:color="auto"/>
            </w:tcBorders>
            <w:shd w:val="clear" w:color="000000" w:fill="D9D9D9"/>
            <w:noWrap/>
            <w:vAlign w:val="bottom"/>
            <w:hideMark/>
          </w:tcPr>
          <w:p w14:paraId="136FA35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single" w:sz="4" w:space="0" w:color="auto"/>
              <w:left w:val="single" w:sz="4" w:space="0" w:color="auto"/>
              <w:bottom w:val="nil"/>
              <w:right w:val="single" w:sz="4" w:space="0" w:color="auto"/>
            </w:tcBorders>
            <w:shd w:val="clear" w:color="000000" w:fill="D9D9D9"/>
            <w:noWrap/>
            <w:vAlign w:val="bottom"/>
            <w:hideMark/>
          </w:tcPr>
          <w:p w14:paraId="3CD9D88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single" w:sz="4" w:space="0" w:color="auto"/>
              <w:left w:val="single" w:sz="4" w:space="0" w:color="auto"/>
              <w:bottom w:val="nil"/>
              <w:right w:val="single" w:sz="4" w:space="0" w:color="auto"/>
            </w:tcBorders>
            <w:shd w:val="clear" w:color="000000" w:fill="D9D9D9"/>
            <w:noWrap/>
            <w:vAlign w:val="bottom"/>
            <w:hideMark/>
          </w:tcPr>
          <w:p w14:paraId="0C53CAE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single" w:sz="4" w:space="0" w:color="auto"/>
              <w:left w:val="single" w:sz="4" w:space="0" w:color="auto"/>
              <w:bottom w:val="nil"/>
              <w:right w:val="single" w:sz="4" w:space="0" w:color="auto"/>
            </w:tcBorders>
            <w:shd w:val="clear" w:color="000000" w:fill="D9D9D9"/>
            <w:noWrap/>
            <w:vAlign w:val="bottom"/>
            <w:hideMark/>
          </w:tcPr>
          <w:p w14:paraId="059B7A9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single" w:sz="4" w:space="0" w:color="auto"/>
              <w:left w:val="single" w:sz="4" w:space="0" w:color="auto"/>
              <w:bottom w:val="nil"/>
              <w:right w:val="single" w:sz="4" w:space="0" w:color="auto"/>
            </w:tcBorders>
            <w:shd w:val="clear" w:color="000000" w:fill="D9D9D9"/>
            <w:noWrap/>
            <w:vAlign w:val="bottom"/>
            <w:hideMark/>
          </w:tcPr>
          <w:p w14:paraId="38BB1D6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single" w:sz="4" w:space="0" w:color="auto"/>
              <w:left w:val="single" w:sz="4" w:space="0" w:color="auto"/>
              <w:bottom w:val="nil"/>
              <w:right w:val="single" w:sz="4" w:space="0" w:color="auto"/>
            </w:tcBorders>
            <w:shd w:val="clear" w:color="000000" w:fill="D9D9D9"/>
            <w:noWrap/>
            <w:vAlign w:val="bottom"/>
            <w:hideMark/>
          </w:tcPr>
          <w:p w14:paraId="7D636F0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single" w:sz="4" w:space="0" w:color="auto"/>
              <w:left w:val="single" w:sz="4" w:space="0" w:color="auto"/>
              <w:bottom w:val="nil"/>
              <w:right w:val="single" w:sz="4" w:space="0" w:color="auto"/>
            </w:tcBorders>
            <w:shd w:val="clear" w:color="000000" w:fill="D9D9D9"/>
            <w:noWrap/>
            <w:vAlign w:val="bottom"/>
            <w:hideMark/>
          </w:tcPr>
          <w:p w14:paraId="6AA82AE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single" w:sz="4" w:space="0" w:color="auto"/>
              <w:left w:val="single" w:sz="4" w:space="0" w:color="auto"/>
              <w:bottom w:val="nil"/>
              <w:right w:val="single" w:sz="4" w:space="0" w:color="auto"/>
            </w:tcBorders>
            <w:shd w:val="clear" w:color="000000" w:fill="D9D9D9"/>
            <w:noWrap/>
            <w:vAlign w:val="bottom"/>
            <w:hideMark/>
          </w:tcPr>
          <w:p w14:paraId="5081B59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1725" w:type="dxa"/>
            <w:tcBorders>
              <w:top w:val="single" w:sz="4" w:space="0" w:color="auto"/>
              <w:left w:val="nil"/>
              <w:bottom w:val="nil"/>
              <w:right w:val="single" w:sz="4" w:space="0" w:color="auto"/>
            </w:tcBorders>
            <w:shd w:val="clear" w:color="000000" w:fill="D9D9D9"/>
            <w:noWrap/>
            <w:vAlign w:val="bottom"/>
            <w:hideMark/>
          </w:tcPr>
          <w:p w14:paraId="1B20DA2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EU-2008</w:t>
            </w:r>
          </w:p>
        </w:tc>
      </w:tr>
      <w:tr w:rsidR="00833503" w:rsidRPr="00421C41" w14:paraId="62E1B1F6"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01C0AC63"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Belgium</w:t>
            </w:r>
          </w:p>
        </w:tc>
        <w:tc>
          <w:tcPr>
            <w:tcW w:w="2749" w:type="dxa"/>
            <w:tcBorders>
              <w:top w:val="nil"/>
              <w:left w:val="nil"/>
              <w:bottom w:val="nil"/>
              <w:right w:val="single" w:sz="4" w:space="0" w:color="auto"/>
            </w:tcBorders>
            <w:shd w:val="clear" w:color="auto" w:fill="auto"/>
            <w:noWrap/>
            <w:vAlign w:val="bottom"/>
            <w:hideMark/>
          </w:tcPr>
          <w:p w14:paraId="57A212E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BE-REFLAB</w:t>
            </w:r>
          </w:p>
        </w:tc>
        <w:tc>
          <w:tcPr>
            <w:tcW w:w="535" w:type="dxa"/>
            <w:tcBorders>
              <w:top w:val="nil"/>
              <w:left w:val="nil"/>
              <w:bottom w:val="nil"/>
              <w:right w:val="single" w:sz="4" w:space="0" w:color="auto"/>
            </w:tcBorders>
            <w:shd w:val="clear" w:color="auto" w:fill="auto"/>
            <w:noWrap/>
            <w:vAlign w:val="bottom"/>
            <w:hideMark/>
          </w:tcPr>
          <w:p w14:paraId="7FBCFA71" w14:textId="35ACB6CF" w:rsidR="00833503" w:rsidRPr="00421C41" w:rsidRDefault="00B2247D" w:rsidP="00421C41">
            <w:pPr>
              <w:spacing w:before="120" w:after="0"/>
              <w:rPr>
                <w:rFonts w:eastAsia="Times New Roman" w:cs="Tahoma"/>
                <w:sz w:val="14"/>
                <w:szCs w:val="14"/>
                <w:lang w:eastAsia="en-GB"/>
              </w:rPr>
            </w:pPr>
            <w:r>
              <w:rPr>
                <w:rFonts w:eastAsia="Times New Roman" w:cs="Tahoma"/>
                <w:sz w:val="14"/>
                <w:szCs w:val="14"/>
                <w:lang w:eastAsia="en-GB"/>
              </w:rPr>
              <w:t>V</w:t>
            </w:r>
          </w:p>
        </w:tc>
        <w:tc>
          <w:tcPr>
            <w:tcW w:w="535" w:type="dxa"/>
            <w:tcBorders>
              <w:top w:val="nil"/>
              <w:left w:val="nil"/>
              <w:bottom w:val="nil"/>
              <w:right w:val="single" w:sz="4" w:space="0" w:color="auto"/>
            </w:tcBorders>
            <w:shd w:val="clear" w:color="auto" w:fill="auto"/>
            <w:noWrap/>
            <w:vAlign w:val="bottom"/>
            <w:hideMark/>
          </w:tcPr>
          <w:p w14:paraId="0FE0CAE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3DD57B9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41F3A1C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3A93340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3C3FC25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nil"/>
              <w:bottom w:val="nil"/>
              <w:right w:val="single" w:sz="4" w:space="0" w:color="auto"/>
            </w:tcBorders>
            <w:shd w:val="clear" w:color="auto" w:fill="auto"/>
            <w:noWrap/>
            <w:vAlign w:val="bottom"/>
            <w:hideMark/>
          </w:tcPr>
          <w:p w14:paraId="7510511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nil"/>
              <w:bottom w:val="nil"/>
              <w:right w:val="single" w:sz="4" w:space="0" w:color="auto"/>
            </w:tcBorders>
            <w:shd w:val="clear" w:color="auto" w:fill="auto"/>
            <w:noWrap/>
            <w:vAlign w:val="bottom"/>
            <w:hideMark/>
          </w:tcPr>
          <w:p w14:paraId="0E048B8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auto" w:fill="auto"/>
            <w:noWrap/>
            <w:vAlign w:val="bottom"/>
            <w:hideMark/>
          </w:tcPr>
          <w:p w14:paraId="5F6939F7" w14:textId="3DEDEAC2"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w:t>
            </w:r>
            <w:r w:rsidR="00C66E1B">
              <w:rPr>
                <w:rFonts w:eastAsia="Times New Roman" w:cs="Tahoma"/>
                <w:sz w:val="14"/>
                <w:szCs w:val="14"/>
                <w:lang w:eastAsia="en-GB"/>
              </w:rPr>
              <w:t>8</w:t>
            </w:r>
          </w:p>
        </w:tc>
      </w:tr>
      <w:tr w:rsidR="00833503" w:rsidRPr="00421C41" w14:paraId="0FF77337"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0775268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Bulgaria</w:t>
            </w:r>
          </w:p>
        </w:tc>
        <w:tc>
          <w:tcPr>
            <w:tcW w:w="2749" w:type="dxa"/>
            <w:tcBorders>
              <w:top w:val="nil"/>
              <w:left w:val="single" w:sz="4" w:space="0" w:color="auto"/>
              <w:bottom w:val="nil"/>
              <w:right w:val="single" w:sz="4" w:space="0" w:color="auto"/>
            </w:tcBorders>
            <w:shd w:val="clear" w:color="000000" w:fill="D9D9D9"/>
            <w:noWrap/>
            <w:vAlign w:val="bottom"/>
            <w:hideMark/>
          </w:tcPr>
          <w:p w14:paraId="3453BBB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BG-NATIONAL_SURVEILLANCE</w:t>
            </w:r>
          </w:p>
        </w:tc>
        <w:tc>
          <w:tcPr>
            <w:tcW w:w="535" w:type="dxa"/>
            <w:tcBorders>
              <w:top w:val="nil"/>
              <w:left w:val="single" w:sz="4" w:space="0" w:color="auto"/>
              <w:bottom w:val="nil"/>
              <w:right w:val="single" w:sz="4" w:space="0" w:color="auto"/>
            </w:tcBorders>
            <w:shd w:val="clear" w:color="000000" w:fill="D9D9D9"/>
            <w:noWrap/>
            <w:vAlign w:val="bottom"/>
            <w:hideMark/>
          </w:tcPr>
          <w:p w14:paraId="0B546D6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40F6358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406F5FF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0BC1793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A</w:t>
            </w:r>
          </w:p>
        </w:tc>
        <w:tc>
          <w:tcPr>
            <w:tcW w:w="535" w:type="dxa"/>
            <w:tcBorders>
              <w:top w:val="nil"/>
              <w:left w:val="single" w:sz="4" w:space="0" w:color="auto"/>
              <w:bottom w:val="nil"/>
              <w:right w:val="single" w:sz="4" w:space="0" w:color="auto"/>
            </w:tcBorders>
            <w:shd w:val="clear" w:color="000000" w:fill="D9D9D9"/>
            <w:noWrap/>
            <w:vAlign w:val="bottom"/>
            <w:hideMark/>
          </w:tcPr>
          <w:p w14:paraId="1854482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74613F8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51CF412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1703AC5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1725" w:type="dxa"/>
            <w:tcBorders>
              <w:top w:val="nil"/>
              <w:left w:val="nil"/>
              <w:bottom w:val="nil"/>
              <w:right w:val="single" w:sz="4" w:space="0" w:color="auto"/>
            </w:tcBorders>
            <w:shd w:val="clear" w:color="000000" w:fill="D9D9D9"/>
            <w:noWrap/>
            <w:vAlign w:val="bottom"/>
            <w:hideMark/>
          </w:tcPr>
          <w:p w14:paraId="02F87043"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142C44A0"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230BB34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Croatia</w:t>
            </w:r>
          </w:p>
        </w:tc>
        <w:tc>
          <w:tcPr>
            <w:tcW w:w="2749" w:type="dxa"/>
            <w:tcBorders>
              <w:top w:val="nil"/>
              <w:left w:val="nil"/>
              <w:bottom w:val="nil"/>
              <w:right w:val="single" w:sz="4" w:space="0" w:color="auto"/>
            </w:tcBorders>
            <w:shd w:val="clear" w:color="auto" w:fill="auto"/>
            <w:noWrap/>
            <w:vAlign w:val="bottom"/>
            <w:hideMark/>
          </w:tcPr>
          <w:p w14:paraId="12E9F21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HR-CNIPH</w:t>
            </w:r>
          </w:p>
        </w:tc>
        <w:tc>
          <w:tcPr>
            <w:tcW w:w="535" w:type="dxa"/>
            <w:tcBorders>
              <w:top w:val="nil"/>
              <w:left w:val="nil"/>
              <w:bottom w:val="nil"/>
              <w:right w:val="single" w:sz="4" w:space="0" w:color="auto"/>
            </w:tcBorders>
            <w:shd w:val="clear" w:color="auto" w:fill="auto"/>
            <w:noWrap/>
            <w:vAlign w:val="bottom"/>
            <w:hideMark/>
          </w:tcPr>
          <w:p w14:paraId="33F9AF9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0CD19C5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60671B0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6E83E30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54AA8D4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2DFB3DC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1A7ECD3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0D93BED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1725" w:type="dxa"/>
            <w:tcBorders>
              <w:top w:val="nil"/>
              <w:left w:val="nil"/>
              <w:bottom w:val="nil"/>
              <w:right w:val="single" w:sz="4" w:space="0" w:color="auto"/>
            </w:tcBorders>
            <w:shd w:val="clear" w:color="auto" w:fill="auto"/>
            <w:noWrap/>
            <w:vAlign w:val="bottom"/>
            <w:hideMark/>
          </w:tcPr>
          <w:p w14:paraId="780C8A8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EU-2012</w:t>
            </w:r>
          </w:p>
        </w:tc>
      </w:tr>
      <w:tr w:rsidR="00833503" w:rsidRPr="00421C41" w14:paraId="5BA2736C"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01517C4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Cyprus</w:t>
            </w:r>
          </w:p>
        </w:tc>
        <w:tc>
          <w:tcPr>
            <w:tcW w:w="2749" w:type="dxa"/>
            <w:tcBorders>
              <w:top w:val="nil"/>
              <w:left w:val="single" w:sz="4" w:space="0" w:color="auto"/>
              <w:bottom w:val="nil"/>
              <w:right w:val="single" w:sz="4" w:space="0" w:color="auto"/>
            </w:tcBorders>
            <w:shd w:val="clear" w:color="000000" w:fill="D9D9D9"/>
            <w:noWrap/>
            <w:vAlign w:val="bottom"/>
            <w:hideMark/>
          </w:tcPr>
          <w:p w14:paraId="2E19749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CY-NOTIFIED_DISEASES</w:t>
            </w:r>
          </w:p>
        </w:tc>
        <w:tc>
          <w:tcPr>
            <w:tcW w:w="535" w:type="dxa"/>
            <w:tcBorders>
              <w:top w:val="nil"/>
              <w:left w:val="single" w:sz="4" w:space="0" w:color="auto"/>
              <w:bottom w:val="nil"/>
              <w:right w:val="single" w:sz="4" w:space="0" w:color="auto"/>
            </w:tcBorders>
            <w:shd w:val="clear" w:color="000000" w:fill="D9D9D9"/>
            <w:noWrap/>
            <w:vAlign w:val="bottom"/>
            <w:hideMark/>
          </w:tcPr>
          <w:p w14:paraId="219A21D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3112074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1BAEAEF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1779F17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3C31FE6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64F950C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4B9DC46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7E848DE3"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3E4441F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EU-2008</w:t>
            </w:r>
          </w:p>
        </w:tc>
      </w:tr>
      <w:tr w:rsidR="00833503" w:rsidRPr="00421C41" w14:paraId="4C61A0AC"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0232CAE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Czechia</w:t>
            </w:r>
          </w:p>
        </w:tc>
        <w:tc>
          <w:tcPr>
            <w:tcW w:w="2749" w:type="dxa"/>
            <w:tcBorders>
              <w:top w:val="nil"/>
              <w:left w:val="nil"/>
              <w:bottom w:val="nil"/>
              <w:right w:val="single" w:sz="4" w:space="0" w:color="auto"/>
            </w:tcBorders>
            <w:shd w:val="clear" w:color="auto" w:fill="auto"/>
            <w:noWrap/>
            <w:vAlign w:val="bottom"/>
            <w:hideMark/>
          </w:tcPr>
          <w:p w14:paraId="719EE37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CZ-ISIN</w:t>
            </w:r>
          </w:p>
        </w:tc>
        <w:tc>
          <w:tcPr>
            <w:tcW w:w="535" w:type="dxa"/>
            <w:tcBorders>
              <w:top w:val="nil"/>
              <w:left w:val="nil"/>
              <w:bottom w:val="nil"/>
              <w:right w:val="single" w:sz="4" w:space="0" w:color="auto"/>
            </w:tcBorders>
            <w:shd w:val="clear" w:color="auto" w:fill="auto"/>
            <w:noWrap/>
            <w:vAlign w:val="bottom"/>
            <w:hideMark/>
          </w:tcPr>
          <w:p w14:paraId="778A685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13D19D1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6B831EF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A</w:t>
            </w:r>
          </w:p>
        </w:tc>
        <w:tc>
          <w:tcPr>
            <w:tcW w:w="535" w:type="dxa"/>
            <w:tcBorders>
              <w:top w:val="nil"/>
              <w:left w:val="nil"/>
              <w:bottom w:val="nil"/>
              <w:right w:val="single" w:sz="4" w:space="0" w:color="auto"/>
            </w:tcBorders>
            <w:shd w:val="clear" w:color="auto" w:fill="auto"/>
            <w:noWrap/>
            <w:vAlign w:val="bottom"/>
            <w:hideMark/>
          </w:tcPr>
          <w:p w14:paraId="2048C83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2336E7F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0C6CADD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4056E2A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60422C0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auto" w:fill="auto"/>
            <w:noWrap/>
            <w:vAlign w:val="bottom"/>
            <w:hideMark/>
          </w:tcPr>
          <w:p w14:paraId="65A0296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EU-2008</w:t>
            </w:r>
          </w:p>
        </w:tc>
      </w:tr>
      <w:tr w:rsidR="00833503" w:rsidRPr="00421C41" w14:paraId="7580DF17"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585DC62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Denmark</w:t>
            </w:r>
          </w:p>
        </w:tc>
        <w:tc>
          <w:tcPr>
            <w:tcW w:w="2749" w:type="dxa"/>
            <w:tcBorders>
              <w:top w:val="nil"/>
              <w:left w:val="single" w:sz="4" w:space="0" w:color="auto"/>
              <w:bottom w:val="nil"/>
              <w:right w:val="single" w:sz="4" w:space="0" w:color="auto"/>
            </w:tcBorders>
            <w:shd w:val="clear" w:color="000000" w:fill="D9D9D9"/>
            <w:noWrap/>
            <w:vAlign w:val="bottom"/>
            <w:hideMark/>
          </w:tcPr>
          <w:p w14:paraId="208837B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DK-LAB</w:t>
            </w:r>
          </w:p>
        </w:tc>
        <w:tc>
          <w:tcPr>
            <w:tcW w:w="535" w:type="dxa"/>
            <w:tcBorders>
              <w:top w:val="nil"/>
              <w:left w:val="single" w:sz="4" w:space="0" w:color="auto"/>
              <w:bottom w:val="nil"/>
              <w:right w:val="single" w:sz="4" w:space="0" w:color="auto"/>
            </w:tcBorders>
            <w:shd w:val="clear" w:color="000000" w:fill="D9D9D9"/>
            <w:noWrap/>
            <w:vAlign w:val="bottom"/>
            <w:hideMark/>
          </w:tcPr>
          <w:p w14:paraId="24CF188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37EC450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7E21563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5FF6588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08AFCC6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5B41413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716FC4D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67DFD24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1093145D" w14:textId="1FFA19B8" w:rsidR="00833503" w:rsidRPr="00421C41" w:rsidRDefault="000B7484"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50C5A57D"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6BFB751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Estonia</w:t>
            </w:r>
          </w:p>
        </w:tc>
        <w:tc>
          <w:tcPr>
            <w:tcW w:w="2749" w:type="dxa"/>
            <w:tcBorders>
              <w:top w:val="nil"/>
              <w:left w:val="nil"/>
              <w:bottom w:val="nil"/>
              <w:right w:val="single" w:sz="4" w:space="0" w:color="auto"/>
            </w:tcBorders>
            <w:shd w:val="clear" w:color="auto" w:fill="auto"/>
            <w:noWrap/>
            <w:vAlign w:val="bottom"/>
            <w:hideMark/>
          </w:tcPr>
          <w:p w14:paraId="28C8817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EE-NAKIS</w:t>
            </w:r>
          </w:p>
        </w:tc>
        <w:tc>
          <w:tcPr>
            <w:tcW w:w="535" w:type="dxa"/>
            <w:tcBorders>
              <w:top w:val="nil"/>
              <w:left w:val="nil"/>
              <w:bottom w:val="nil"/>
              <w:right w:val="single" w:sz="4" w:space="0" w:color="auto"/>
            </w:tcBorders>
            <w:shd w:val="clear" w:color="auto" w:fill="auto"/>
            <w:noWrap/>
            <w:vAlign w:val="bottom"/>
            <w:hideMark/>
          </w:tcPr>
          <w:p w14:paraId="2F1BD1C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594AA7F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20197F53"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0D36648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7ABB4C8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7E74E8A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660E65A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515E6B7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auto" w:fill="auto"/>
            <w:noWrap/>
            <w:vAlign w:val="bottom"/>
            <w:hideMark/>
          </w:tcPr>
          <w:p w14:paraId="2E4CBB9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3B1B58C5"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496A7C2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Finland</w:t>
            </w:r>
          </w:p>
        </w:tc>
        <w:tc>
          <w:tcPr>
            <w:tcW w:w="2749" w:type="dxa"/>
            <w:tcBorders>
              <w:top w:val="nil"/>
              <w:left w:val="single" w:sz="4" w:space="0" w:color="auto"/>
              <w:bottom w:val="nil"/>
              <w:right w:val="single" w:sz="4" w:space="0" w:color="auto"/>
            </w:tcBorders>
            <w:shd w:val="clear" w:color="000000" w:fill="D9D9D9"/>
            <w:noWrap/>
            <w:vAlign w:val="bottom"/>
            <w:hideMark/>
          </w:tcPr>
          <w:p w14:paraId="1529086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FI-NIDR</w:t>
            </w:r>
          </w:p>
        </w:tc>
        <w:tc>
          <w:tcPr>
            <w:tcW w:w="535" w:type="dxa"/>
            <w:tcBorders>
              <w:top w:val="nil"/>
              <w:left w:val="single" w:sz="4" w:space="0" w:color="auto"/>
              <w:bottom w:val="nil"/>
              <w:right w:val="single" w:sz="4" w:space="0" w:color="auto"/>
            </w:tcBorders>
            <w:shd w:val="clear" w:color="000000" w:fill="D9D9D9"/>
            <w:noWrap/>
            <w:vAlign w:val="bottom"/>
            <w:hideMark/>
          </w:tcPr>
          <w:p w14:paraId="62335DE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67A58F7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557E162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6123F5E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3B9CCFA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09D6C00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0E9203F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12AF0DC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60AF2B4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EU-2012</w:t>
            </w:r>
          </w:p>
        </w:tc>
      </w:tr>
      <w:tr w:rsidR="00833503" w:rsidRPr="00421C41" w14:paraId="1AF5F330"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2329569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France</w:t>
            </w:r>
          </w:p>
        </w:tc>
        <w:tc>
          <w:tcPr>
            <w:tcW w:w="2749" w:type="dxa"/>
            <w:tcBorders>
              <w:top w:val="nil"/>
              <w:left w:val="nil"/>
              <w:bottom w:val="nil"/>
              <w:right w:val="single" w:sz="4" w:space="0" w:color="auto"/>
            </w:tcBorders>
            <w:shd w:val="clear" w:color="auto" w:fill="auto"/>
            <w:noWrap/>
            <w:vAlign w:val="bottom"/>
            <w:hideMark/>
          </w:tcPr>
          <w:p w14:paraId="03EB63E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FR-MANDATORY_INFECTIOUS_DISEASES</w:t>
            </w:r>
          </w:p>
        </w:tc>
        <w:tc>
          <w:tcPr>
            <w:tcW w:w="535" w:type="dxa"/>
            <w:tcBorders>
              <w:top w:val="nil"/>
              <w:left w:val="nil"/>
              <w:bottom w:val="nil"/>
              <w:right w:val="single" w:sz="4" w:space="0" w:color="auto"/>
            </w:tcBorders>
            <w:shd w:val="clear" w:color="auto" w:fill="auto"/>
            <w:noWrap/>
            <w:vAlign w:val="bottom"/>
            <w:hideMark/>
          </w:tcPr>
          <w:p w14:paraId="786368B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18B5BE6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0F5641A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7B20402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1F4B399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23ED531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6298544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08E6A60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1725" w:type="dxa"/>
            <w:tcBorders>
              <w:top w:val="nil"/>
              <w:left w:val="nil"/>
              <w:bottom w:val="nil"/>
              <w:right w:val="single" w:sz="4" w:space="0" w:color="auto"/>
            </w:tcBorders>
            <w:shd w:val="clear" w:color="auto" w:fill="auto"/>
            <w:noWrap/>
            <w:vAlign w:val="bottom"/>
            <w:hideMark/>
          </w:tcPr>
          <w:p w14:paraId="137C19C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Not specified/unknown</w:t>
            </w:r>
          </w:p>
        </w:tc>
      </w:tr>
      <w:tr w:rsidR="00833503" w:rsidRPr="00421C41" w14:paraId="369AAD29"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687F30A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Germany</w:t>
            </w:r>
          </w:p>
        </w:tc>
        <w:tc>
          <w:tcPr>
            <w:tcW w:w="2749" w:type="dxa"/>
            <w:tcBorders>
              <w:top w:val="nil"/>
              <w:left w:val="single" w:sz="4" w:space="0" w:color="auto"/>
              <w:bottom w:val="nil"/>
              <w:right w:val="single" w:sz="4" w:space="0" w:color="auto"/>
            </w:tcBorders>
            <w:shd w:val="clear" w:color="000000" w:fill="D9D9D9"/>
            <w:noWrap/>
            <w:vAlign w:val="bottom"/>
            <w:hideMark/>
          </w:tcPr>
          <w:p w14:paraId="7279998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DE-SURVNET@RKI-7.1</w:t>
            </w:r>
          </w:p>
        </w:tc>
        <w:tc>
          <w:tcPr>
            <w:tcW w:w="535" w:type="dxa"/>
            <w:tcBorders>
              <w:top w:val="nil"/>
              <w:left w:val="single" w:sz="4" w:space="0" w:color="auto"/>
              <w:bottom w:val="nil"/>
              <w:right w:val="single" w:sz="4" w:space="0" w:color="auto"/>
            </w:tcBorders>
            <w:shd w:val="clear" w:color="000000" w:fill="D9D9D9"/>
            <w:noWrap/>
            <w:vAlign w:val="bottom"/>
            <w:hideMark/>
          </w:tcPr>
          <w:p w14:paraId="3E03D8B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349DA3F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1EA74EF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138DEBB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4699BBD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12C78BC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0C495FD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75EF07E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6E0E5333"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Other</w:t>
            </w:r>
          </w:p>
        </w:tc>
      </w:tr>
      <w:tr w:rsidR="00833503" w:rsidRPr="00421C41" w14:paraId="20BD1D91"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66F1CB7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Greece</w:t>
            </w:r>
          </w:p>
        </w:tc>
        <w:tc>
          <w:tcPr>
            <w:tcW w:w="2749" w:type="dxa"/>
            <w:tcBorders>
              <w:top w:val="nil"/>
              <w:left w:val="nil"/>
              <w:bottom w:val="nil"/>
              <w:right w:val="single" w:sz="4" w:space="0" w:color="auto"/>
            </w:tcBorders>
            <w:shd w:val="clear" w:color="auto" w:fill="auto"/>
            <w:noWrap/>
            <w:vAlign w:val="bottom"/>
            <w:hideMark/>
          </w:tcPr>
          <w:p w14:paraId="6516AE2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EL-NOTIFIABLE_DISEASES</w:t>
            </w:r>
          </w:p>
        </w:tc>
        <w:tc>
          <w:tcPr>
            <w:tcW w:w="535" w:type="dxa"/>
            <w:tcBorders>
              <w:top w:val="nil"/>
              <w:left w:val="nil"/>
              <w:bottom w:val="nil"/>
              <w:right w:val="single" w:sz="4" w:space="0" w:color="auto"/>
            </w:tcBorders>
            <w:shd w:val="clear" w:color="auto" w:fill="auto"/>
            <w:noWrap/>
            <w:vAlign w:val="bottom"/>
            <w:hideMark/>
          </w:tcPr>
          <w:p w14:paraId="3224E56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4C81F10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30081AA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41F3E16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441AC04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514F1C7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6302DAD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7F914D8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w:t>
            </w:r>
          </w:p>
        </w:tc>
        <w:tc>
          <w:tcPr>
            <w:tcW w:w="1725" w:type="dxa"/>
            <w:tcBorders>
              <w:top w:val="nil"/>
              <w:left w:val="nil"/>
              <w:bottom w:val="nil"/>
              <w:right w:val="single" w:sz="4" w:space="0" w:color="auto"/>
            </w:tcBorders>
            <w:shd w:val="clear" w:color="auto" w:fill="auto"/>
            <w:noWrap/>
            <w:vAlign w:val="bottom"/>
            <w:hideMark/>
          </w:tcPr>
          <w:p w14:paraId="045735F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17A08025"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1224144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Hungary</w:t>
            </w:r>
          </w:p>
        </w:tc>
        <w:tc>
          <w:tcPr>
            <w:tcW w:w="2749" w:type="dxa"/>
            <w:tcBorders>
              <w:top w:val="nil"/>
              <w:left w:val="single" w:sz="4" w:space="0" w:color="auto"/>
              <w:bottom w:val="nil"/>
              <w:right w:val="single" w:sz="4" w:space="0" w:color="auto"/>
            </w:tcBorders>
            <w:shd w:val="clear" w:color="000000" w:fill="D9D9D9"/>
            <w:noWrap/>
            <w:vAlign w:val="bottom"/>
            <w:hideMark/>
          </w:tcPr>
          <w:p w14:paraId="0D2B928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HU-EFRIR</w:t>
            </w:r>
          </w:p>
        </w:tc>
        <w:tc>
          <w:tcPr>
            <w:tcW w:w="535" w:type="dxa"/>
            <w:tcBorders>
              <w:top w:val="nil"/>
              <w:left w:val="single" w:sz="4" w:space="0" w:color="auto"/>
              <w:bottom w:val="nil"/>
              <w:right w:val="single" w:sz="4" w:space="0" w:color="auto"/>
            </w:tcBorders>
            <w:shd w:val="clear" w:color="000000" w:fill="D9D9D9"/>
            <w:noWrap/>
            <w:vAlign w:val="bottom"/>
            <w:hideMark/>
          </w:tcPr>
          <w:p w14:paraId="5BA14CF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5612663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1AE9091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790E12B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2BF0D72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w:t>
            </w:r>
          </w:p>
        </w:tc>
        <w:tc>
          <w:tcPr>
            <w:tcW w:w="535" w:type="dxa"/>
            <w:tcBorders>
              <w:top w:val="nil"/>
              <w:left w:val="single" w:sz="4" w:space="0" w:color="auto"/>
              <w:bottom w:val="nil"/>
              <w:right w:val="single" w:sz="4" w:space="0" w:color="auto"/>
            </w:tcBorders>
            <w:shd w:val="clear" w:color="000000" w:fill="D9D9D9"/>
            <w:noWrap/>
            <w:vAlign w:val="bottom"/>
            <w:hideMark/>
          </w:tcPr>
          <w:p w14:paraId="517A3FD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59F00B0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68E4B36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28C48EA1" w14:textId="0B48299B" w:rsidR="00833503" w:rsidRPr="00421C41" w:rsidRDefault="00031D50" w:rsidP="00421C41">
            <w:pPr>
              <w:spacing w:before="120" w:after="0"/>
              <w:rPr>
                <w:rFonts w:eastAsia="Times New Roman" w:cs="Tahoma"/>
                <w:sz w:val="14"/>
                <w:szCs w:val="14"/>
                <w:lang w:eastAsia="en-GB"/>
              </w:rPr>
            </w:pPr>
            <w:r w:rsidRPr="00421C41">
              <w:rPr>
                <w:rFonts w:eastAsia="Times New Roman" w:cs="Tahoma"/>
                <w:sz w:val="14"/>
                <w:szCs w:val="14"/>
                <w:lang w:eastAsia="en-GB"/>
              </w:rPr>
              <w:t>EU-2012</w:t>
            </w:r>
          </w:p>
        </w:tc>
      </w:tr>
      <w:tr w:rsidR="00833503" w:rsidRPr="00421C41" w14:paraId="737781D9"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0360D42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Iceland</w:t>
            </w:r>
          </w:p>
        </w:tc>
        <w:tc>
          <w:tcPr>
            <w:tcW w:w="2749" w:type="dxa"/>
            <w:tcBorders>
              <w:top w:val="nil"/>
              <w:left w:val="nil"/>
              <w:bottom w:val="nil"/>
              <w:right w:val="single" w:sz="4" w:space="0" w:color="auto"/>
            </w:tcBorders>
            <w:shd w:val="clear" w:color="auto" w:fill="auto"/>
            <w:noWrap/>
            <w:vAlign w:val="bottom"/>
            <w:hideMark/>
          </w:tcPr>
          <w:p w14:paraId="34B68A7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IS-SUBJECT_TO_REGISTRATION</w:t>
            </w:r>
          </w:p>
        </w:tc>
        <w:tc>
          <w:tcPr>
            <w:tcW w:w="535" w:type="dxa"/>
            <w:tcBorders>
              <w:top w:val="nil"/>
              <w:left w:val="nil"/>
              <w:bottom w:val="nil"/>
              <w:right w:val="single" w:sz="4" w:space="0" w:color="auto"/>
            </w:tcBorders>
            <w:shd w:val="clear" w:color="auto" w:fill="auto"/>
            <w:noWrap/>
            <w:vAlign w:val="bottom"/>
            <w:hideMark/>
          </w:tcPr>
          <w:p w14:paraId="59EA017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0146379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7DCECEF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01E73F1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1F6C148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105C10E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37005B0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w:t>
            </w:r>
          </w:p>
        </w:tc>
        <w:tc>
          <w:tcPr>
            <w:tcW w:w="535" w:type="dxa"/>
            <w:tcBorders>
              <w:top w:val="nil"/>
              <w:left w:val="nil"/>
              <w:bottom w:val="nil"/>
              <w:right w:val="single" w:sz="4" w:space="0" w:color="auto"/>
            </w:tcBorders>
            <w:shd w:val="clear" w:color="auto" w:fill="auto"/>
            <w:noWrap/>
            <w:vAlign w:val="bottom"/>
            <w:hideMark/>
          </w:tcPr>
          <w:p w14:paraId="23B227B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w:t>
            </w:r>
          </w:p>
        </w:tc>
        <w:tc>
          <w:tcPr>
            <w:tcW w:w="1725" w:type="dxa"/>
            <w:tcBorders>
              <w:top w:val="nil"/>
              <w:left w:val="nil"/>
              <w:bottom w:val="nil"/>
              <w:right w:val="single" w:sz="4" w:space="0" w:color="auto"/>
            </w:tcBorders>
            <w:shd w:val="clear" w:color="auto" w:fill="auto"/>
            <w:noWrap/>
            <w:vAlign w:val="bottom"/>
            <w:hideMark/>
          </w:tcPr>
          <w:p w14:paraId="04A97198" w14:textId="24ED2712"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w:t>
            </w:r>
            <w:r w:rsidR="003A12EB" w:rsidRPr="00421C41">
              <w:rPr>
                <w:rFonts w:eastAsia="Times New Roman" w:cs="Tahoma"/>
                <w:sz w:val="14"/>
                <w:szCs w:val="14"/>
                <w:lang w:eastAsia="en-GB"/>
              </w:rPr>
              <w:t>8</w:t>
            </w:r>
          </w:p>
        </w:tc>
      </w:tr>
      <w:tr w:rsidR="00833503" w:rsidRPr="00421C41" w14:paraId="087C68CA"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4ABD536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Ireland</w:t>
            </w:r>
          </w:p>
        </w:tc>
        <w:tc>
          <w:tcPr>
            <w:tcW w:w="2749" w:type="dxa"/>
            <w:tcBorders>
              <w:top w:val="nil"/>
              <w:left w:val="single" w:sz="4" w:space="0" w:color="auto"/>
              <w:bottom w:val="nil"/>
              <w:right w:val="single" w:sz="4" w:space="0" w:color="auto"/>
            </w:tcBorders>
            <w:shd w:val="clear" w:color="000000" w:fill="D9D9D9"/>
            <w:noWrap/>
            <w:vAlign w:val="bottom"/>
            <w:hideMark/>
          </w:tcPr>
          <w:p w14:paraId="5C363E2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IE-CIDR</w:t>
            </w:r>
          </w:p>
        </w:tc>
        <w:tc>
          <w:tcPr>
            <w:tcW w:w="535" w:type="dxa"/>
            <w:tcBorders>
              <w:top w:val="nil"/>
              <w:left w:val="single" w:sz="4" w:space="0" w:color="auto"/>
              <w:bottom w:val="nil"/>
              <w:right w:val="single" w:sz="4" w:space="0" w:color="auto"/>
            </w:tcBorders>
            <w:shd w:val="clear" w:color="000000" w:fill="D9D9D9"/>
            <w:noWrap/>
            <w:vAlign w:val="bottom"/>
            <w:hideMark/>
          </w:tcPr>
          <w:p w14:paraId="27FB8243"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76C1163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687EEA1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67E75C9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31D78D0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3549472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573AF98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0C82CA5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109A3F5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EU-2008</w:t>
            </w:r>
          </w:p>
        </w:tc>
      </w:tr>
      <w:tr w:rsidR="00833503" w:rsidRPr="00421C41" w14:paraId="7BBC44B1"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27CCB6B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Italy</w:t>
            </w:r>
          </w:p>
        </w:tc>
        <w:tc>
          <w:tcPr>
            <w:tcW w:w="2749" w:type="dxa"/>
            <w:tcBorders>
              <w:top w:val="nil"/>
              <w:left w:val="nil"/>
              <w:bottom w:val="nil"/>
              <w:right w:val="single" w:sz="4" w:space="0" w:color="auto"/>
            </w:tcBorders>
            <w:shd w:val="clear" w:color="auto" w:fill="auto"/>
            <w:noWrap/>
            <w:vAlign w:val="bottom"/>
            <w:hideMark/>
          </w:tcPr>
          <w:p w14:paraId="738B7B0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IT-NRS</w:t>
            </w:r>
          </w:p>
        </w:tc>
        <w:tc>
          <w:tcPr>
            <w:tcW w:w="535" w:type="dxa"/>
            <w:tcBorders>
              <w:top w:val="nil"/>
              <w:left w:val="nil"/>
              <w:bottom w:val="nil"/>
              <w:right w:val="single" w:sz="4" w:space="0" w:color="auto"/>
            </w:tcBorders>
            <w:shd w:val="clear" w:color="auto" w:fill="auto"/>
            <w:noWrap/>
            <w:vAlign w:val="bottom"/>
            <w:hideMark/>
          </w:tcPr>
          <w:p w14:paraId="48FC8E5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1BEE94A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2ACA733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33B39C1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0C77E94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nil"/>
              <w:bottom w:val="nil"/>
              <w:right w:val="single" w:sz="4" w:space="0" w:color="auto"/>
            </w:tcBorders>
            <w:shd w:val="clear" w:color="auto" w:fill="auto"/>
            <w:noWrap/>
            <w:vAlign w:val="bottom"/>
            <w:hideMark/>
          </w:tcPr>
          <w:p w14:paraId="6F3D619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20D505E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274FCC6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auto" w:fill="auto"/>
            <w:noWrap/>
            <w:vAlign w:val="bottom"/>
            <w:hideMark/>
          </w:tcPr>
          <w:p w14:paraId="3B6062D4" w14:textId="6B53D9DC" w:rsidR="00833503" w:rsidRPr="00421C41" w:rsidRDefault="00DD75E7"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7C43CDE7"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00A426C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Latvia</w:t>
            </w:r>
          </w:p>
        </w:tc>
        <w:tc>
          <w:tcPr>
            <w:tcW w:w="2749" w:type="dxa"/>
            <w:tcBorders>
              <w:top w:val="nil"/>
              <w:left w:val="single" w:sz="4" w:space="0" w:color="auto"/>
              <w:bottom w:val="nil"/>
              <w:right w:val="single" w:sz="4" w:space="0" w:color="auto"/>
            </w:tcBorders>
            <w:shd w:val="clear" w:color="000000" w:fill="D9D9D9"/>
            <w:noWrap/>
            <w:vAlign w:val="bottom"/>
            <w:hideMark/>
          </w:tcPr>
          <w:p w14:paraId="34713A8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LV-BSN</w:t>
            </w:r>
          </w:p>
        </w:tc>
        <w:tc>
          <w:tcPr>
            <w:tcW w:w="535" w:type="dxa"/>
            <w:tcBorders>
              <w:top w:val="nil"/>
              <w:left w:val="single" w:sz="4" w:space="0" w:color="auto"/>
              <w:bottom w:val="nil"/>
              <w:right w:val="single" w:sz="4" w:space="0" w:color="auto"/>
            </w:tcBorders>
            <w:shd w:val="clear" w:color="000000" w:fill="D9D9D9"/>
            <w:noWrap/>
            <w:vAlign w:val="bottom"/>
            <w:hideMark/>
          </w:tcPr>
          <w:p w14:paraId="76DFEFE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0803CE4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150DF33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5338EC0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49C4DC2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203FBDA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485BB3E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011208B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2BE49C10" w14:textId="0AD9AE68" w:rsidR="00833503" w:rsidRPr="00421C41" w:rsidRDefault="00DD75E7"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2B94550E"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503F162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Liechtenstein</w:t>
            </w:r>
          </w:p>
        </w:tc>
        <w:tc>
          <w:tcPr>
            <w:tcW w:w="2749" w:type="dxa"/>
            <w:tcBorders>
              <w:top w:val="nil"/>
              <w:left w:val="nil"/>
              <w:bottom w:val="nil"/>
              <w:right w:val="single" w:sz="4" w:space="0" w:color="auto"/>
            </w:tcBorders>
            <w:shd w:val="clear" w:color="auto" w:fill="auto"/>
            <w:noWrap/>
            <w:vAlign w:val="bottom"/>
            <w:hideMark/>
          </w:tcPr>
          <w:p w14:paraId="1F42E3A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LI-SEPI</w:t>
            </w:r>
          </w:p>
        </w:tc>
        <w:tc>
          <w:tcPr>
            <w:tcW w:w="535" w:type="dxa"/>
            <w:tcBorders>
              <w:top w:val="nil"/>
              <w:left w:val="nil"/>
              <w:bottom w:val="nil"/>
              <w:right w:val="single" w:sz="4" w:space="0" w:color="auto"/>
            </w:tcBorders>
            <w:shd w:val="clear" w:color="auto" w:fill="auto"/>
            <w:noWrap/>
            <w:vAlign w:val="bottom"/>
            <w:hideMark/>
          </w:tcPr>
          <w:p w14:paraId="6424BB6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70359B8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539B9C3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13C41F9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65FC3C7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18A7A66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72A8623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40CD924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w:t>
            </w:r>
          </w:p>
        </w:tc>
        <w:tc>
          <w:tcPr>
            <w:tcW w:w="1725" w:type="dxa"/>
            <w:tcBorders>
              <w:top w:val="nil"/>
              <w:left w:val="nil"/>
              <w:bottom w:val="nil"/>
              <w:right w:val="single" w:sz="4" w:space="0" w:color="auto"/>
            </w:tcBorders>
            <w:shd w:val="clear" w:color="auto" w:fill="auto"/>
            <w:noWrap/>
            <w:vAlign w:val="bottom"/>
            <w:hideMark/>
          </w:tcPr>
          <w:p w14:paraId="29729394" w14:textId="5C048B65" w:rsidR="00833503" w:rsidRPr="00421C41" w:rsidRDefault="00F10FF5"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0507F4DD"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748FCE1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Lithuania</w:t>
            </w:r>
          </w:p>
        </w:tc>
        <w:tc>
          <w:tcPr>
            <w:tcW w:w="2749" w:type="dxa"/>
            <w:tcBorders>
              <w:top w:val="nil"/>
              <w:left w:val="single" w:sz="4" w:space="0" w:color="auto"/>
              <w:bottom w:val="nil"/>
              <w:right w:val="single" w:sz="4" w:space="0" w:color="auto"/>
            </w:tcBorders>
            <w:shd w:val="clear" w:color="000000" w:fill="D9D9D9"/>
            <w:noWrap/>
            <w:vAlign w:val="bottom"/>
            <w:hideMark/>
          </w:tcPr>
          <w:p w14:paraId="4BE1C6D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LT-COMMUNICABLE_DISEASES</w:t>
            </w:r>
          </w:p>
        </w:tc>
        <w:tc>
          <w:tcPr>
            <w:tcW w:w="535" w:type="dxa"/>
            <w:tcBorders>
              <w:top w:val="nil"/>
              <w:left w:val="single" w:sz="4" w:space="0" w:color="auto"/>
              <w:bottom w:val="nil"/>
              <w:right w:val="single" w:sz="4" w:space="0" w:color="auto"/>
            </w:tcBorders>
            <w:shd w:val="clear" w:color="000000" w:fill="D9D9D9"/>
            <w:noWrap/>
            <w:vAlign w:val="bottom"/>
            <w:hideMark/>
          </w:tcPr>
          <w:p w14:paraId="2F96A77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41A4176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4F230F6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0F12D0B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5FDDBE5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58DC02D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0B66003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63243A5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7FDE0F9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6930FA77"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1D4964F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Luxembourg</w:t>
            </w:r>
          </w:p>
        </w:tc>
        <w:tc>
          <w:tcPr>
            <w:tcW w:w="2749" w:type="dxa"/>
            <w:tcBorders>
              <w:top w:val="nil"/>
              <w:left w:val="nil"/>
              <w:bottom w:val="nil"/>
              <w:right w:val="single" w:sz="4" w:space="0" w:color="auto"/>
            </w:tcBorders>
            <w:shd w:val="clear" w:color="auto" w:fill="auto"/>
            <w:noWrap/>
            <w:vAlign w:val="bottom"/>
            <w:hideMark/>
          </w:tcPr>
          <w:p w14:paraId="23B3A87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LU-SYSTEM1</w:t>
            </w:r>
          </w:p>
        </w:tc>
        <w:tc>
          <w:tcPr>
            <w:tcW w:w="535" w:type="dxa"/>
            <w:tcBorders>
              <w:top w:val="nil"/>
              <w:left w:val="nil"/>
              <w:bottom w:val="nil"/>
              <w:right w:val="single" w:sz="4" w:space="0" w:color="auto"/>
            </w:tcBorders>
            <w:shd w:val="clear" w:color="auto" w:fill="auto"/>
            <w:noWrap/>
            <w:vAlign w:val="bottom"/>
            <w:hideMark/>
          </w:tcPr>
          <w:p w14:paraId="3E53527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1D8FB2F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2CD2753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20E8A37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17D4D5B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nil"/>
              <w:bottom w:val="nil"/>
              <w:right w:val="single" w:sz="4" w:space="0" w:color="auto"/>
            </w:tcBorders>
            <w:shd w:val="clear" w:color="auto" w:fill="auto"/>
            <w:noWrap/>
            <w:vAlign w:val="bottom"/>
            <w:hideMark/>
          </w:tcPr>
          <w:p w14:paraId="5B16B4A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111C495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nil"/>
              <w:bottom w:val="nil"/>
              <w:right w:val="single" w:sz="4" w:space="0" w:color="auto"/>
            </w:tcBorders>
            <w:shd w:val="clear" w:color="auto" w:fill="auto"/>
            <w:noWrap/>
            <w:vAlign w:val="bottom"/>
            <w:hideMark/>
          </w:tcPr>
          <w:p w14:paraId="0536B26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auto" w:fill="auto"/>
            <w:noWrap/>
            <w:vAlign w:val="bottom"/>
            <w:hideMark/>
          </w:tcPr>
          <w:p w14:paraId="1E66CF72" w14:textId="2BFADA89"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w:t>
            </w:r>
            <w:r w:rsidR="00687BA0" w:rsidRPr="00421C41">
              <w:rPr>
                <w:rFonts w:eastAsia="Times New Roman" w:cs="Tahoma"/>
                <w:sz w:val="14"/>
                <w:szCs w:val="14"/>
                <w:lang w:eastAsia="en-GB"/>
              </w:rPr>
              <w:t>18</w:t>
            </w:r>
          </w:p>
        </w:tc>
      </w:tr>
      <w:tr w:rsidR="00833503" w:rsidRPr="00421C41" w14:paraId="4A9079BE"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17058DF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Malta</w:t>
            </w:r>
          </w:p>
        </w:tc>
        <w:tc>
          <w:tcPr>
            <w:tcW w:w="2749" w:type="dxa"/>
            <w:tcBorders>
              <w:top w:val="nil"/>
              <w:left w:val="single" w:sz="4" w:space="0" w:color="auto"/>
              <w:bottom w:val="nil"/>
              <w:right w:val="single" w:sz="4" w:space="0" w:color="auto"/>
            </w:tcBorders>
            <w:shd w:val="clear" w:color="000000" w:fill="D9D9D9"/>
            <w:noWrap/>
            <w:vAlign w:val="bottom"/>
            <w:hideMark/>
          </w:tcPr>
          <w:p w14:paraId="4B23CAF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MT-DISEASE_SURVEILLANCE</w:t>
            </w:r>
          </w:p>
        </w:tc>
        <w:tc>
          <w:tcPr>
            <w:tcW w:w="535" w:type="dxa"/>
            <w:tcBorders>
              <w:top w:val="nil"/>
              <w:left w:val="single" w:sz="4" w:space="0" w:color="auto"/>
              <w:bottom w:val="nil"/>
              <w:right w:val="single" w:sz="4" w:space="0" w:color="auto"/>
            </w:tcBorders>
            <w:shd w:val="clear" w:color="000000" w:fill="D9D9D9"/>
            <w:noWrap/>
            <w:vAlign w:val="bottom"/>
            <w:hideMark/>
          </w:tcPr>
          <w:p w14:paraId="372E533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073AB3D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72119FD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292E9E9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7C865DB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49C6406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55A159E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2A02CC6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1725" w:type="dxa"/>
            <w:tcBorders>
              <w:top w:val="nil"/>
              <w:left w:val="nil"/>
              <w:bottom w:val="nil"/>
              <w:right w:val="single" w:sz="4" w:space="0" w:color="auto"/>
            </w:tcBorders>
            <w:shd w:val="clear" w:color="000000" w:fill="D9D9D9"/>
            <w:noWrap/>
            <w:vAlign w:val="bottom"/>
            <w:hideMark/>
          </w:tcPr>
          <w:p w14:paraId="4867A0C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30A95FED"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239B3A6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Netherlands</w:t>
            </w:r>
          </w:p>
        </w:tc>
        <w:tc>
          <w:tcPr>
            <w:tcW w:w="2749" w:type="dxa"/>
            <w:tcBorders>
              <w:top w:val="nil"/>
              <w:left w:val="nil"/>
              <w:bottom w:val="nil"/>
              <w:right w:val="single" w:sz="4" w:space="0" w:color="auto"/>
            </w:tcBorders>
            <w:shd w:val="clear" w:color="auto" w:fill="auto"/>
            <w:noWrap/>
            <w:vAlign w:val="bottom"/>
            <w:hideMark/>
          </w:tcPr>
          <w:p w14:paraId="151B523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NL-OSIRIS</w:t>
            </w:r>
          </w:p>
        </w:tc>
        <w:tc>
          <w:tcPr>
            <w:tcW w:w="535" w:type="dxa"/>
            <w:tcBorders>
              <w:top w:val="nil"/>
              <w:left w:val="nil"/>
              <w:bottom w:val="nil"/>
              <w:right w:val="single" w:sz="4" w:space="0" w:color="auto"/>
            </w:tcBorders>
            <w:shd w:val="clear" w:color="auto" w:fill="auto"/>
            <w:noWrap/>
            <w:vAlign w:val="bottom"/>
            <w:hideMark/>
          </w:tcPr>
          <w:p w14:paraId="542EAE13"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1DD8E66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250C76B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6A32BD7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379A810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3D54AF6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74D8DAC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nil"/>
              <w:bottom w:val="nil"/>
              <w:right w:val="single" w:sz="4" w:space="0" w:color="auto"/>
            </w:tcBorders>
            <w:shd w:val="clear" w:color="auto" w:fill="auto"/>
            <w:noWrap/>
            <w:vAlign w:val="bottom"/>
            <w:hideMark/>
          </w:tcPr>
          <w:p w14:paraId="3E4EDE03"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auto" w:fill="auto"/>
            <w:noWrap/>
            <w:vAlign w:val="bottom"/>
            <w:hideMark/>
          </w:tcPr>
          <w:p w14:paraId="72A7F686" w14:textId="5F264A7F"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w:t>
            </w:r>
            <w:r w:rsidR="00A7745F">
              <w:rPr>
                <w:rFonts w:eastAsia="Times New Roman" w:cs="Tahoma"/>
                <w:sz w:val="14"/>
                <w:szCs w:val="14"/>
                <w:lang w:eastAsia="en-GB"/>
              </w:rPr>
              <w:t>1</w:t>
            </w:r>
            <w:r w:rsidRPr="00421C41">
              <w:rPr>
                <w:rFonts w:eastAsia="Times New Roman" w:cs="Tahoma"/>
                <w:sz w:val="14"/>
                <w:szCs w:val="14"/>
                <w:lang w:eastAsia="en-GB"/>
              </w:rPr>
              <w:t>8</w:t>
            </w:r>
          </w:p>
        </w:tc>
      </w:tr>
      <w:tr w:rsidR="00833503" w:rsidRPr="00421C41" w14:paraId="006BD07F"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6CD1DAA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Norway</w:t>
            </w:r>
          </w:p>
        </w:tc>
        <w:tc>
          <w:tcPr>
            <w:tcW w:w="2749" w:type="dxa"/>
            <w:tcBorders>
              <w:top w:val="nil"/>
              <w:left w:val="single" w:sz="4" w:space="0" w:color="auto"/>
              <w:bottom w:val="nil"/>
              <w:right w:val="single" w:sz="4" w:space="0" w:color="auto"/>
            </w:tcBorders>
            <w:shd w:val="clear" w:color="000000" w:fill="D9D9D9"/>
            <w:noWrap/>
            <w:vAlign w:val="bottom"/>
            <w:hideMark/>
          </w:tcPr>
          <w:p w14:paraId="49BDB3B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NO-MSIS_A</w:t>
            </w:r>
          </w:p>
        </w:tc>
        <w:tc>
          <w:tcPr>
            <w:tcW w:w="535" w:type="dxa"/>
            <w:tcBorders>
              <w:top w:val="nil"/>
              <w:left w:val="single" w:sz="4" w:space="0" w:color="auto"/>
              <w:bottom w:val="nil"/>
              <w:right w:val="single" w:sz="4" w:space="0" w:color="auto"/>
            </w:tcBorders>
            <w:shd w:val="clear" w:color="000000" w:fill="D9D9D9"/>
            <w:noWrap/>
            <w:vAlign w:val="bottom"/>
            <w:hideMark/>
          </w:tcPr>
          <w:p w14:paraId="0DA49AA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7ECD8EF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2EF3AB6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55041F8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1A3A815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517FE34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323E24D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1518C32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7203374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2359F9FA"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432A52C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Poland</w:t>
            </w:r>
          </w:p>
        </w:tc>
        <w:tc>
          <w:tcPr>
            <w:tcW w:w="2749" w:type="dxa"/>
            <w:tcBorders>
              <w:top w:val="nil"/>
              <w:left w:val="nil"/>
              <w:bottom w:val="nil"/>
              <w:right w:val="single" w:sz="4" w:space="0" w:color="auto"/>
            </w:tcBorders>
            <w:shd w:val="clear" w:color="auto" w:fill="auto"/>
            <w:noWrap/>
            <w:vAlign w:val="bottom"/>
            <w:hideMark/>
          </w:tcPr>
          <w:p w14:paraId="49B78B4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PL-NATIONAL_SURVEILLANCE</w:t>
            </w:r>
          </w:p>
        </w:tc>
        <w:tc>
          <w:tcPr>
            <w:tcW w:w="535" w:type="dxa"/>
            <w:tcBorders>
              <w:top w:val="nil"/>
              <w:left w:val="nil"/>
              <w:bottom w:val="nil"/>
              <w:right w:val="single" w:sz="4" w:space="0" w:color="auto"/>
            </w:tcBorders>
            <w:shd w:val="clear" w:color="auto" w:fill="auto"/>
            <w:noWrap/>
            <w:vAlign w:val="bottom"/>
            <w:hideMark/>
          </w:tcPr>
          <w:p w14:paraId="2167951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1DD03D5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58CE419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7BB6476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1ADDC0D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483CA9B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5A488E2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2C8152F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auto" w:fill="auto"/>
            <w:noWrap/>
            <w:vAlign w:val="bottom"/>
            <w:hideMark/>
          </w:tcPr>
          <w:p w14:paraId="7859AD4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04A141B5"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4DD7BCA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Portugal</w:t>
            </w:r>
          </w:p>
        </w:tc>
        <w:tc>
          <w:tcPr>
            <w:tcW w:w="2749" w:type="dxa"/>
            <w:tcBorders>
              <w:top w:val="nil"/>
              <w:left w:val="single" w:sz="4" w:space="0" w:color="auto"/>
              <w:bottom w:val="nil"/>
              <w:right w:val="single" w:sz="4" w:space="0" w:color="auto"/>
            </w:tcBorders>
            <w:shd w:val="clear" w:color="000000" w:fill="D9D9D9"/>
            <w:noWrap/>
            <w:vAlign w:val="bottom"/>
            <w:hideMark/>
          </w:tcPr>
          <w:p w14:paraId="686DC59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PT-LIST</w:t>
            </w:r>
          </w:p>
        </w:tc>
        <w:tc>
          <w:tcPr>
            <w:tcW w:w="535" w:type="dxa"/>
            <w:tcBorders>
              <w:top w:val="nil"/>
              <w:left w:val="single" w:sz="4" w:space="0" w:color="auto"/>
              <w:bottom w:val="nil"/>
              <w:right w:val="single" w:sz="4" w:space="0" w:color="auto"/>
            </w:tcBorders>
            <w:shd w:val="clear" w:color="000000" w:fill="D9D9D9"/>
            <w:noWrap/>
            <w:vAlign w:val="bottom"/>
            <w:hideMark/>
          </w:tcPr>
          <w:p w14:paraId="5641E0AF"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3855879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443EB864" w14:textId="725DECA3" w:rsidR="00833503" w:rsidRPr="00421C41" w:rsidRDefault="004749DC" w:rsidP="00421C41">
            <w:pPr>
              <w:spacing w:before="120" w:after="0"/>
              <w:rPr>
                <w:rFonts w:eastAsia="Times New Roman" w:cs="Tahoma"/>
                <w:sz w:val="14"/>
                <w:szCs w:val="14"/>
                <w:lang w:eastAsia="en-GB"/>
              </w:rPr>
            </w:pPr>
            <w:r>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3534B1B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4191933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08C97C8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34B9F3F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nil"/>
              <w:right w:val="single" w:sz="4" w:space="0" w:color="auto"/>
            </w:tcBorders>
            <w:shd w:val="clear" w:color="000000" w:fill="D9D9D9"/>
            <w:noWrap/>
            <w:vAlign w:val="bottom"/>
            <w:hideMark/>
          </w:tcPr>
          <w:p w14:paraId="5CD1572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66090F6A" w14:textId="68886F29"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w:t>
            </w:r>
            <w:r w:rsidR="00E02C3B" w:rsidRPr="00421C41">
              <w:rPr>
                <w:rFonts w:eastAsia="Times New Roman" w:cs="Tahoma"/>
                <w:sz w:val="14"/>
                <w:szCs w:val="14"/>
                <w:lang w:eastAsia="en-GB"/>
              </w:rPr>
              <w:t>8</w:t>
            </w:r>
          </w:p>
        </w:tc>
      </w:tr>
      <w:tr w:rsidR="00833503" w:rsidRPr="00421C41" w14:paraId="2D23BFD6"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39627B5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Romania</w:t>
            </w:r>
          </w:p>
        </w:tc>
        <w:tc>
          <w:tcPr>
            <w:tcW w:w="2749" w:type="dxa"/>
            <w:tcBorders>
              <w:top w:val="nil"/>
              <w:left w:val="nil"/>
              <w:bottom w:val="nil"/>
              <w:right w:val="single" w:sz="4" w:space="0" w:color="auto"/>
            </w:tcBorders>
            <w:shd w:val="clear" w:color="auto" w:fill="auto"/>
            <w:noWrap/>
            <w:vAlign w:val="bottom"/>
            <w:hideMark/>
          </w:tcPr>
          <w:p w14:paraId="1221C5F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RO-</w:t>
            </w:r>
            <w:proofErr w:type="spellStart"/>
            <w:r w:rsidRPr="00421C41">
              <w:rPr>
                <w:rFonts w:eastAsia="Times New Roman" w:cs="Tahoma"/>
                <w:sz w:val="14"/>
                <w:szCs w:val="14"/>
                <w:lang w:eastAsia="en-GB"/>
              </w:rPr>
              <w:t>RNSSy</w:t>
            </w:r>
            <w:proofErr w:type="spellEnd"/>
          </w:p>
        </w:tc>
        <w:tc>
          <w:tcPr>
            <w:tcW w:w="535" w:type="dxa"/>
            <w:tcBorders>
              <w:top w:val="nil"/>
              <w:left w:val="nil"/>
              <w:bottom w:val="nil"/>
              <w:right w:val="single" w:sz="4" w:space="0" w:color="auto"/>
            </w:tcBorders>
            <w:shd w:val="clear" w:color="auto" w:fill="auto"/>
            <w:noWrap/>
            <w:vAlign w:val="bottom"/>
            <w:hideMark/>
          </w:tcPr>
          <w:p w14:paraId="34B4720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0986E2C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16B62E7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6621DDC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3C4604D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65358FD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nil"/>
              <w:bottom w:val="nil"/>
              <w:right w:val="single" w:sz="4" w:space="0" w:color="auto"/>
            </w:tcBorders>
            <w:shd w:val="clear" w:color="auto" w:fill="auto"/>
            <w:noWrap/>
            <w:vAlign w:val="bottom"/>
            <w:hideMark/>
          </w:tcPr>
          <w:p w14:paraId="52DCFB9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02AD5FD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auto" w:fill="auto"/>
            <w:noWrap/>
            <w:vAlign w:val="bottom"/>
            <w:hideMark/>
          </w:tcPr>
          <w:p w14:paraId="5042C8F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7BF766F8"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4F83500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Slovakia</w:t>
            </w:r>
          </w:p>
        </w:tc>
        <w:tc>
          <w:tcPr>
            <w:tcW w:w="2749" w:type="dxa"/>
            <w:tcBorders>
              <w:top w:val="nil"/>
              <w:left w:val="single" w:sz="4" w:space="0" w:color="auto"/>
              <w:bottom w:val="nil"/>
              <w:right w:val="single" w:sz="4" w:space="0" w:color="auto"/>
            </w:tcBorders>
            <w:shd w:val="clear" w:color="000000" w:fill="D9D9D9"/>
            <w:noWrap/>
            <w:vAlign w:val="bottom"/>
            <w:hideMark/>
          </w:tcPr>
          <w:p w14:paraId="7BA1195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SK-EPIS</w:t>
            </w:r>
          </w:p>
        </w:tc>
        <w:tc>
          <w:tcPr>
            <w:tcW w:w="535" w:type="dxa"/>
            <w:tcBorders>
              <w:top w:val="nil"/>
              <w:left w:val="single" w:sz="4" w:space="0" w:color="auto"/>
              <w:bottom w:val="nil"/>
              <w:right w:val="single" w:sz="4" w:space="0" w:color="auto"/>
            </w:tcBorders>
            <w:shd w:val="clear" w:color="000000" w:fill="D9D9D9"/>
            <w:noWrap/>
            <w:vAlign w:val="bottom"/>
            <w:hideMark/>
          </w:tcPr>
          <w:p w14:paraId="6E561CC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789B205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7235656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A</w:t>
            </w:r>
          </w:p>
        </w:tc>
        <w:tc>
          <w:tcPr>
            <w:tcW w:w="535" w:type="dxa"/>
            <w:tcBorders>
              <w:top w:val="nil"/>
              <w:left w:val="single" w:sz="4" w:space="0" w:color="auto"/>
              <w:bottom w:val="nil"/>
              <w:right w:val="single" w:sz="4" w:space="0" w:color="auto"/>
            </w:tcBorders>
            <w:shd w:val="clear" w:color="000000" w:fill="D9D9D9"/>
            <w:noWrap/>
            <w:vAlign w:val="bottom"/>
            <w:hideMark/>
          </w:tcPr>
          <w:p w14:paraId="0580F81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3FBB519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10350A23"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5DD287C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70AEC2F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7B796A7E" w14:textId="10911AF1"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w:t>
            </w:r>
            <w:r w:rsidR="004318FB">
              <w:rPr>
                <w:rFonts w:eastAsia="Times New Roman" w:cs="Tahoma"/>
                <w:sz w:val="14"/>
                <w:szCs w:val="14"/>
                <w:lang w:eastAsia="en-GB"/>
              </w:rPr>
              <w:t>8</w:t>
            </w:r>
          </w:p>
        </w:tc>
      </w:tr>
      <w:tr w:rsidR="00833503" w:rsidRPr="00421C41" w14:paraId="6482C6F6" w14:textId="77777777" w:rsidTr="007D59F7">
        <w:trPr>
          <w:trHeight w:val="237"/>
        </w:trPr>
        <w:tc>
          <w:tcPr>
            <w:tcW w:w="1038" w:type="dxa"/>
            <w:tcBorders>
              <w:top w:val="nil"/>
              <w:left w:val="single" w:sz="4" w:space="0" w:color="auto"/>
              <w:bottom w:val="nil"/>
              <w:right w:val="single" w:sz="4" w:space="0" w:color="auto"/>
            </w:tcBorders>
            <w:shd w:val="clear" w:color="auto" w:fill="auto"/>
            <w:noWrap/>
            <w:vAlign w:val="bottom"/>
            <w:hideMark/>
          </w:tcPr>
          <w:p w14:paraId="5D363A6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Slovenia</w:t>
            </w:r>
          </w:p>
        </w:tc>
        <w:tc>
          <w:tcPr>
            <w:tcW w:w="2749" w:type="dxa"/>
            <w:tcBorders>
              <w:top w:val="nil"/>
              <w:left w:val="nil"/>
              <w:bottom w:val="nil"/>
              <w:right w:val="single" w:sz="4" w:space="0" w:color="auto"/>
            </w:tcBorders>
            <w:shd w:val="clear" w:color="auto" w:fill="auto"/>
            <w:noWrap/>
            <w:vAlign w:val="bottom"/>
            <w:hideMark/>
          </w:tcPr>
          <w:p w14:paraId="046B09B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SI-SURVIVAL</w:t>
            </w:r>
          </w:p>
        </w:tc>
        <w:tc>
          <w:tcPr>
            <w:tcW w:w="535" w:type="dxa"/>
            <w:tcBorders>
              <w:top w:val="nil"/>
              <w:left w:val="nil"/>
              <w:bottom w:val="nil"/>
              <w:right w:val="single" w:sz="4" w:space="0" w:color="auto"/>
            </w:tcBorders>
            <w:shd w:val="clear" w:color="auto" w:fill="auto"/>
            <w:noWrap/>
            <w:vAlign w:val="bottom"/>
            <w:hideMark/>
          </w:tcPr>
          <w:p w14:paraId="1961515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nil"/>
              <w:bottom w:val="nil"/>
              <w:right w:val="single" w:sz="4" w:space="0" w:color="auto"/>
            </w:tcBorders>
            <w:shd w:val="clear" w:color="auto" w:fill="auto"/>
            <w:noWrap/>
            <w:vAlign w:val="bottom"/>
            <w:hideMark/>
          </w:tcPr>
          <w:p w14:paraId="457AE4A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nil"/>
              <w:bottom w:val="nil"/>
              <w:right w:val="single" w:sz="4" w:space="0" w:color="auto"/>
            </w:tcBorders>
            <w:shd w:val="clear" w:color="auto" w:fill="auto"/>
            <w:noWrap/>
            <w:vAlign w:val="bottom"/>
            <w:hideMark/>
          </w:tcPr>
          <w:p w14:paraId="16A2B748"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nil"/>
              <w:bottom w:val="nil"/>
              <w:right w:val="single" w:sz="4" w:space="0" w:color="auto"/>
            </w:tcBorders>
            <w:shd w:val="clear" w:color="auto" w:fill="auto"/>
            <w:noWrap/>
            <w:vAlign w:val="bottom"/>
            <w:hideMark/>
          </w:tcPr>
          <w:p w14:paraId="7B5E0C1C"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nil"/>
              <w:bottom w:val="nil"/>
              <w:right w:val="single" w:sz="4" w:space="0" w:color="auto"/>
            </w:tcBorders>
            <w:shd w:val="clear" w:color="auto" w:fill="auto"/>
            <w:noWrap/>
            <w:vAlign w:val="bottom"/>
            <w:hideMark/>
          </w:tcPr>
          <w:p w14:paraId="62038EE6"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3D8DE9C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084EDB3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nil"/>
              <w:bottom w:val="nil"/>
              <w:right w:val="single" w:sz="4" w:space="0" w:color="auto"/>
            </w:tcBorders>
            <w:shd w:val="clear" w:color="auto" w:fill="auto"/>
            <w:noWrap/>
            <w:vAlign w:val="bottom"/>
            <w:hideMark/>
          </w:tcPr>
          <w:p w14:paraId="543D08AD"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auto" w:fill="auto"/>
            <w:noWrap/>
            <w:vAlign w:val="bottom"/>
            <w:hideMark/>
          </w:tcPr>
          <w:p w14:paraId="4482AF1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EU-2008</w:t>
            </w:r>
          </w:p>
        </w:tc>
      </w:tr>
      <w:tr w:rsidR="00833503" w:rsidRPr="00421C41" w14:paraId="1679A60A" w14:textId="77777777" w:rsidTr="007D59F7">
        <w:trPr>
          <w:trHeight w:val="237"/>
        </w:trPr>
        <w:tc>
          <w:tcPr>
            <w:tcW w:w="1038" w:type="dxa"/>
            <w:tcBorders>
              <w:top w:val="nil"/>
              <w:left w:val="single" w:sz="4" w:space="0" w:color="auto"/>
              <w:bottom w:val="nil"/>
              <w:right w:val="single" w:sz="4" w:space="0" w:color="auto"/>
            </w:tcBorders>
            <w:shd w:val="clear" w:color="000000" w:fill="D9D9D9"/>
            <w:noWrap/>
            <w:vAlign w:val="bottom"/>
            <w:hideMark/>
          </w:tcPr>
          <w:p w14:paraId="0817B68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Spain</w:t>
            </w:r>
          </w:p>
        </w:tc>
        <w:tc>
          <w:tcPr>
            <w:tcW w:w="2749" w:type="dxa"/>
            <w:tcBorders>
              <w:top w:val="nil"/>
              <w:left w:val="single" w:sz="4" w:space="0" w:color="auto"/>
              <w:bottom w:val="nil"/>
              <w:right w:val="single" w:sz="4" w:space="0" w:color="auto"/>
            </w:tcBorders>
            <w:shd w:val="clear" w:color="000000" w:fill="D9D9D9"/>
            <w:noWrap/>
            <w:vAlign w:val="bottom"/>
            <w:hideMark/>
          </w:tcPr>
          <w:p w14:paraId="10C1B60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ES-STATUTORY_DISEASES</w:t>
            </w:r>
          </w:p>
        </w:tc>
        <w:tc>
          <w:tcPr>
            <w:tcW w:w="535" w:type="dxa"/>
            <w:tcBorders>
              <w:top w:val="nil"/>
              <w:left w:val="single" w:sz="4" w:space="0" w:color="auto"/>
              <w:bottom w:val="nil"/>
              <w:right w:val="single" w:sz="4" w:space="0" w:color="auto"/>
            </w:tcBorders>
            <w:shd w:val="clear" w:color="000000" w:fill="D9D9D9"/>
            <w:noWrap/>
            <w:vAlign w:val="bottom"/>
            <w:hideMark/>
          </w:tcPr>
          <w:p w14:paraId="7271F13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nil"/>
              <w:right w:val="single" w:sz="4" w:space="0" w:color="auto"/>
            </w:tcBorders>
            <w:shd w:val="clear" w:color="000000" w:fill="D9D9D9"/>
            <w:noWrap/>
            <w:vAlign w:val="bottom"/>
            <w:hideMark/>
          </w:tcPr>
          <w:p w14:paraId="18403C7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nil"/>
              <w:right w:val="single" w:sz="4" w:space="0" w:color="auto"/>
            </w:tcBorders>
            <w:shd w:val="clear" w:color="000000" w:fill="D9D9D9"/>
            <w:noWrap/>
            <w:vAlign w:val="bottom"/>
            <w:hideMark/>
          </w:tcPr>
          <w:p w14:paraId="735CD847"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nil"/>
              <w:right w:val="single" w:sz="4" w:space="0" w:color="auto"/>
            </w:tcBorders>
            <w:shd w:val="clear" w:color="000000" w:fill="D9D9D9"/>
            <w:noWrap/>
            <w:vAlign w:val="bottom"/>
            <w:hideMark/>
          </w:tcPr>
          <w:p w14:paraId="4BE2125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nil"/>
              <w:right w:val="single" w:sz="4" w:space="0" w:color="auto"/>
            </w:tcBorders>
            <w:shd w:val="clear" w:color="000000" w:fill="D9D9D9"/>
            <w:noWrap/>
            <w:vAlign w:val="bottom"/>
            <w:hideMark/>
          </w:tcPr>
          <w:p w14:paraId="3AE6082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25D32EF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31BC693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nil"/>
              <w:right w:val="single" w:sz="4" w:space="0" w:color="auto"/>
            </w:tcBorders>
            <w:shd w:val="clear" w:color="000000" w:fill="D9D9D9"/>
            <w:noWrap/>
            <w:vAlign w:val="bottom"/>
            <w:hideMark/>
          </w:tcPr>
          <w:p w14:paraId="241CDCB0"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nil"/>
              <w:right w:val="single" w:sz="4" w:space="0" w:color="auto"/>
            </w:tcBorders>
            <w:shd w:val="clear" w:color="000000" w:fill="D9D9D9"/>
            <w:noWrap/>
            <w:vAlign w:val="bottom"/>
            <w:hideMark/>
          </w:tcPr>
          <w:p w14:paraId="024B1BE4"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r w:rsidR="00833503" w:rsidRPr="00421C41" w14:paraId="6C5A5E91" w14:textId="77777777" w:rsidTr="007D59F7">
        <w:trPr>
          <w:trHeight w:val="237"/>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53E3878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Sweden</w:t>
            </w: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14:paraId="5AD42CB9"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SE-SMINET</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8C4A2C1"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Cp</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4AA48F05"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Co</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60F828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P</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3C0FCC2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C</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45182D8A"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4B97EF82"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Y</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ECC290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94F442B"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N</w:t>
            </w:r>
          </w:p>
        </w:tc>
        <w:tc>
          <w:tcPr>
            <w:tcW w:w="1725" w:type="dxa"/>
            <w:tcBorders>
              <w:top w:val="nil"/>
              <w:left w:val="nil"/>
              <w:bottom w:val="single" w:sz="4" w:space="0" w:color="auto"/>
              <w:right w:val="single" w:sz="4" w:space="0" w:color="auto"/>
            </w:tcBorders>
            <w:shd w:val="clear" w:color="auto" w:fill="auto"/>
            <w:noWrap/>
            <w:vAlign w:val="bottom"/>
            <w:hideMark/>
          </w:tcPr>
          <w:p w14:paraId="10F6EFCE" w14:textId="77777777" w:rsidR="00833503" w:rsidRPr="00421C41" w:rsidRDefault="00833503" w:rsidP="00421C41">
            <w:pPr>
              <w:spacing w:before="120" w:after="0"/>
              <w:rPr>
                <w:rFonts w:eastAsia="Times New Roman" w:cs="Tahoma"/>
                <w:sz w:val="14"/>
                <w:szCs w:val="14"/>
                <w:lang w:eastAsia="en-GB"/>
              </w:rPr>
            </w:pPr>
            <w:r w:rsidRPr="00421C41">
              <w:rPr>
                <w:rFonts w:eastAsia="Times New Roman" w:cs="Tahoma"/>
                <w:sz w:val="14"/>
                <w:szCs w:val="14"/>
                <w:lang w:eastAsia="en-GB"/>
              </w:rPr>
              <w:t>EU-2018</w:t>
            </w:r>
          </w:p>
        </w:tc>
      </w:tr>
    </w:tbl>
    <w:p w14:paraId="17361D46" w14:textId="2AA0A874" w:rsidR="00AC0043" w:rsidRDefault="00AC0043">
      <w:pPr>
        <w:spacing w:after="200" w:line="276" w:lineRule="auto"/>
        <w:rPr>
          <w:rFonts w:eastAsia="Arial Unicode MS"/>
          <w:kern w:val="22"/>
          <w:szCs w:val="18"/>
        </w:rPr>
      </w:pPr>
      <w:r>
        <w:br w:type="page"/>
      </w:r>
    </w:p>
    <w:p w14:paraId="1DDA6048" w14:textId="602EB163" w:rsidR="005D0F09" w:rsidRDefault="005D0F09" w:rsidP="00AD1A1A">
      <w:pPr>
        <w:pStyle w:val="EC-Title-5"/>
        <w:outlineLvl w:val="0"/>
      </w:pPr>
      <w:bookmarkStart w:id="53" w:name="_Toc127531827"/>
      <w:bookmarkStart w:id="54" w:name="_Toc437442027"/>
      <w:r w:rsidRPr="005679DF">
        <w:lastRenderedPageBreak/>
        <w:t>Salmonellosis</w:t>
      </w:r>
      <w:r w:rsidR="00CB488F">
        <w:t xml:space="preserve"> and typhoid/paratyphoid fever</w:t>
      </w:r>
      <w:bookmarkEnd w:id="53"/>
    </w:p>
    <w:p w14:paraId="7A58184D" w14:textId="77777777" w:rsidR="00CB488F" w:rsidRPr="00CB488F" w:rsidRDefault="00CB488F" w:rsidP="00CB488F">
      <w:pPr>
        <w:pStyle w:val="EC-Para"/>
        <w:rPr>
          <w:lang w:eastAsia="en-US"/>
        </w:rPr>
      </w:pPr>
    </w:p>
    <w:p w14:paraId="6BFD2097" w14:textId="263AD1EE" w:rsidR="00EE1F3C" w:rsidRPr="00A32FE1" w:rsidRDefault="00CB3144" w:rsidP="00EE1F3C">
      <w:pPr>
        <w:pStyle w:val="EC-Para"/>
        <w:jc w:val="right"/>
        <w:rPr>
          <w:b/>
          <w:lang w:eastAsia="en-US"/>
        </w:rPr>
      </w:pPr>
      <w:r>
        <w:rPr>
          <w:b/>
          <w:lang w:eastAsia="en-US"/>
        </w:rPr>
        <w:t>Last updated: 13 August 2024</w:t>
      </w:r>
    </w:p>
    <w:p w14:paraId="68D828C7" w14:textId="4667DBA5"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023BC23C" w14:textId="77777777" w:rsidR="006F212C" w:rsidRDefault="006F212C" w:rsidP="005D0F09">
      <w:pPr>
        <w:pStyle w:val="EC-Para"/>
        <w:jc w:val="right"/>
        <w:rPr>
          <w:b/>
          <w:lang w:eastAsia="en-US"/>
        </w:rPr>
      </w:pPr>
    </w:p>
    <w:p w14:paraId="075E28B4" w14:textId="4170446E" w:rsidR="005D0F09" w:rsidRPr="00CB488F" w:rsidRDefault="005D0F09" w:rsidP="005D0F09">
      <w:pPr>
        <w:autoSpaceDE w:val="0"/>
        <w:autoSpaceDN w:val="0"/>
        <w:adjustRightInd w:val="0"/>
        <w:spacing w:after="120"/>
        <w:jc w:val="both"/>
        <w:rPr>
          <w:rFonts w:cs="Tahoma"/>
          <w:color w:val="333333"/>
          <w:szCs w:val="18"/>
          <w:shd w:val="clear" w:color="auto" w:fill="FFFFFF"/>
        </w:rPr>
      </w:pPr>
      <w:r w:rsidRPr="00CB488F">
        <w:rPr>
          <w:rFonts w:cs="Tahoma"/>
          <w:szCs w:val="18"/>
          <w:shd w:val="clear" w:color="auto" w:fill="FFFFFF"/>
        </w:rPr>
        <w:t xml:space="preserve">Salmonellosis is an infection caused by </w:t>
      </w:r>
      <w:r w:rsidR="0061068F">
        <w:rPr>
          <w:rFonts w:cs="Tahoma"/>
          <w:szCs w:val="18"/>
          <w:shd w:val="clear" w:color="auto" w:fill="FFFFFF"/>
        </w:rPr>
        <w:t xml:space="preserve">bacteria belonging to the genus </w:t>
      </w:r>
      <w:r w:rsidR="0061068F" w:rsidRPr="003247B7">
        <w:rPr>
          <w:rFonts w:cs="Tahoma"/>
          <w:i/>
          <w:szCs w:val="18"/>
          <w:shd w:val="clear" w:color="auto" w:fill="FFFFFF"/>
        </w:rPr>
        <w:t>Salmonella</w:t>
      </w:r>
      <w:r w:rsidRPr="00CB488F">
        <w:rPr>
          <w:rFonts w:cs="Tahoma"/>
          <w:szCs w:val="18"/>
          <w:shd w:val="clear" w:color="auto" w:fill="FFFFFF"/>
        </w:rPr>
        <w:t>. Non-typhoidal salmonellosis (</w:t>
      </w:r>
      <w:r w:rsidRPr="00CB488F">
        <w:rPr>
          <w:rFonts w:cs="Tahoma"/>
          <w:i/>
          <w:szCs w:val="18"/>
          <w:shd w:val="clear" w:color="auto" w:fill="FFFFFF"/>
        </w:rPr>
        <w:t>Salmonella</w:t>
      </w:r>
      <w:r w:rsidRPr="00CB488F">
        <w:rPr>
          <w:rFonts w:cs="Tahoma"/>
          <w:szCs w:val="18"/>
          <w:shd w:val="clear" w:color="auto" w:fill="FFFFFF"/>
        </w:rPr>
        <w:t xml:space="preserve"> spp. other than </w:t>
      </w:r>
      <w:r w:rsidRPr="00CB488F">
        <w:rPr>
          <w:rFonts w:cs="Tahoma"/>
          <w:i/>
          <w:szCs w:val="18"/>
          <w:shd w:val="clear" w:color="auto" w:fill="FFFFFF"/>
        </w:rPr>
        <w:t>S</w:t>
      </w:r>
      <w:r w:rsidRPr="00CB488F">
        <w:rPr>
          <w:rFonts w:cs="Tahoma"/>
          <w:szCs w:val="18"/>
          <w:shd w:val="clear" w:color="auto" w:fill="FFFFFF"/>
        </w:rPr>
        <w:t xml:space="preserve">. Typhi and </w:t>
      </w:r>
      <w:r w:rsidRPr="00CB488F">
        <w:rPr>
          <w:rFonts w:cs="Tahoma"/>
          <w:i/>
          <w:szCs w:val="18"/>
          <w:shd w:val="clear" w:color="auto" w:fill="FFFFFF"/>
        </w:rPr>
        <w:t>S</w:t>
      </w:r>
      <w:r w:rsidRPr="00CB488F">
        <w:rPr>
          <w:rFonts w:cs="Tahoma"/>
          <w:szCs w:val="18"/>
          <w:shd w:val="clear" w:color="auto" w:fill="FFFFFF"/>
        </w:rPr>
        <w:t xml:space="preserve">. </w:t>
      </w:r>
      <w:proofErr w:type="spellStart"/>
      <w:r w:rsidRPr="00CB488F">
        <w:rPr>
          <w:rFonts w:cs="Tahoma"/>
          <w:szCs w:val="18"/>
          <w:shd w:val="clear" w:color="auto" w:fill="FFFFFF"/>
        </w:rPr>
        <w:t>Paratyphi</w:t>
      </w:r>
      <w:proofErr w:type="spellEnd"/>
      <w:r w:rsidRPr="00CB488F">
        <w:rPr>
          <w:rFonts w:cs="Tahoma"/>
          <w:szCs w:val="18"/>
          <w:shd w:val="clear" w:color="auto" w:fill="FFFFFF"/>
        </w:rPr>
        <w:t>) usually causes gastroenteritis whereas typhoid and paratyphoid fever are systemic infections.</w:t>
      </w:r>
      <w:r w:rsidRPr="00CB488F">
        <w:rPr>
          <w:rFonts w:cs="Tahoma"/>
          <w:szCs w:val="18"/>
        </w:rPr>
        <w:t xml:space="preserve"> For a more detailed description of the disease and its epidemiology please click on the</w:t>
      </w:r>
      <w:r w:rsidRPr="00CB488F">
        <w:rPr>
          <w:rFonts w:cs="Tahoma"/>
        </w:rPr>
        <w:t xml:space="preserve"> </w:t>
      </w:r>
      <w:hyperlink r:id="rId57" w:tgtFrame="_blank" w:history="1">
        <w:r w:rsidRPr="00CB488F">
          <w:rPr>
            <w:rFonts w:cs="Tahoma"/>
            <w:i/>
            <w:color w:val="69AE23"/>
            <w:u w:val="single"/>
          </w:rPr>
          <w:t>salmonellosis page</w:t>
        </w:r>
      </w:hyperlink>
      <w:r w:rsidRPr="00CB488F">
        <w:rPr>
          <w:rFonts w:cs="Tahoma"/>
          <w:i/>
          <w:color w:val="69AE23"/>
          <w:u w:val="single"/>
        </w:rPr>
        <w:t xml:space="preserve"> </w:t>
      </w:r>
      <w:r w:rsidRPr="00CB488F">
        <w:rPr>
          <w:rFonts w:cs="Tahoma"/>
        </w:rPr>
        <w:t xml:space="preserve">and the </w:t>
      </w:r>
      <w:hyperlink r:id="rId58" w:history="1">
        <w:r w:rsidRPr="00CB488F">
          <w:rPr>
            <w:rFonts w:cs="Tahoma"/>
            <w:i/>
            <w:color w:val="69AE23"/>
            <w:u w:val="single"/>
          </w:rPr>
          <w:t>typhoid/</w:t>
        </w:r>
        <w:proofErr w:type="spellStart"/>
        <w:r w:rsidRPr="00CB488F">
          <w:rPr>
            <w:rFonts w:cs="Tahoma"/>
            <w:i/>
            <w:color w:val="69AE23"/>
            <w:u w:val="single"/>
          </w:rPr>
          <w:t>parathyphoid</w:t>
        </w:r>
        <w:proofErr w:type="spellEnd"/>
        <w:r w:rsidRPr="00CB488F">
          <w:rPr>
            <w:rFonts w:cs="Tahoma"/>
            <w:i/>
            <w:color w:val="69AE23"/>
            <w:u w:val="single"/>
          </w:rPr>
          <w:t xml:space="preserve"> page</w:t>
        </w:r>
      </w:hyperlink>
      <w:r w:rsidRPr="00CB488F">
        <w:rPr>
          <w:rFonts w:cs="Tahoma"/>
        </w:rPr>
        <w:t>.</w:t>
      </w:r>
    </w:p>
    <w:p w14:paraId="424C41D4" w14:textId="77777777" w:rsidR="005D0F09" w:rsidRPr="00CB488F" w:rsidRDefault="005D0F09" w:rsidP="005D0F09">
      <w:pPr>
        <w:pStyle w:val="EC-Title-6"/>
        <w:outlineLvl w:val="1"/>
        <w:rPr>
          <w:rFonts w:cs="Tahoma"/>
        </w:rPr>
      </w:pPr>
      <w:r w:rsidRPr="00CB488F">
        <w:rPr>
          <w:rFonts w:cs="Tahoma"/>
        </w:rPr>
        <w:t>Data</w:t>
      </w:r>
    </w:p>
    <w:p w14:paraId="028643F3" w14:textId="77777777" w:rsidR="005D0F09" w:rsidRDefault="005D0F09" w:rsidP="005D0F09">
      <w:pPr>
        <w:kinsoku w:val="0"/>
        <w:autoSpaceDE w:val="0"/>
        <w:autoSpaceDN w:val="0"/>
        <w:adjustRightInd w:val="0"/>
        <w:spacing w:after="120" w:line="200" w:lineRule="atLeast"/>
        <w:jc w:val="both"/>
        <w:rPr>
          <w:rFonts w:eastAsia="Arial Unicode MS" w:cs="Tahoma"/>
          <w:kern w:val="22"/>
          <w:szCs w:val="18"/>
        </w:rPr>
      </w:pPr>
      <w:r w:rsidRPr="00CB488F">
        <w:rPr>
          <w:rFonts w:eastAsia="Arial Unicode MS" w:cs="Tahoma"/>
          <w:kern w:val="22"/>
          <w:szCs w:val="18"/>
        </w:rPr>
        <w:t xml:space="preserve">The Surveillance Atlas of Infectious Diseases displays data on salmonellosis reported to </w:t>
      </w:r>
      <w:proofErr w:type="spellStart"/>
      <w:r w:rsidRPr="00CB488F">
        <w:rPr>
          <w:rFonts w:eastAsia="Arial Unicode MS" w:cs="Tahoma"/>
          <w:kern w:val="22"/>
          <w:szCs w:val="18"/>
        </w:rPr>
        <w:t>TESSy</w:t>
      </w:r>
      <w:proofErr w:type="spellEnd"/>
      <w:r w:rsidRPr="00CB488F">
        <w:rPr>
          <w:rFonts w:eastAsia="Arial Unicode MS" w:cs="Tahoma"/>
          <w:kern w:val="22"/>
          <w:szCs w:val="18"/>
        </w:rPr>
        <w:t xml:space="preserve"> by the EU/EEA countries since 2007. </w:t>
      </w:r>
    </w:p>
    <w:p w14:paraId="00ED0C73" w14:textId="77777777" w:rsidR="00BC2004" w:rsidRPr="00CB488F" w:rsidRDefault="00BC2004" w:rsidP="005D0F09">
      <w:pPr>
        <w:kinsoku w:val="0"/>
        <w:autoSpaceDE w:val="0"/>
        <w:autoSpaceDN w:val="0"/>
        <w:adjustRightInd w:val="0"/>
        <w:spacing w:after="120" w:line="200" w:lineRule="atLeast"/>
        <w:jc w:val="both"/>
        <w:rPr>
          <w:rFonts w:eastAsia="Arial Unicode MS" w:cs="Tahoma"/>
          <w:kern w:val="22"/>
          <w:szCs w:val="18"/>
        </w:rPr>
      </w:pPr>
    </w:p>
    <w:p w14:paraId="73E98443" w14:textId="77777777" w:rsidR="005D0F09" w:rsidRPr="00CB488F" w:rsidRDefault="005D0F09" w:rsidP="00BC2004">
      <w:pPr>
        <w:pStyle w:val="EC-Title-6"/>
        <w:rPr>
          <w:lang w:val="en-US"/>
        </w:rPr>
      </w:pPr>
      <w:r w:rsidRPr="00CB488F">
        <w:rPr>
          <w:lang w:val="en-US"/>
        </w:rPr>
        <w:t>Case definition of non-typhoidal salmonellosis</w:t>
      </w:r>
    </w:p>
    <w:p w14:paraId="0B5AC1FC" w14:textId="142F954C" w:rsidR="00A31C23" w:rsidRPr="007B34B1" w:rsidRDefault="0046665B" w:rsidP="00A31C23">
      <w:pPr>
        <w:autoSpaceDE w:val="0"/>
        <w:autoSpaceDN w:val="0"/>
        <w:adjustRightInd w:val="0"/>
        <w:spacing w:after="120"/>
        <w:jc w:val="both"/>
        <w:rPr>
          <w:rFonts w:eastAsia="Arial Unicode MS" w:cs="Tahoma"/>
          <w:kern w:val="22"/>
          <w:szCs w:val="18"/>
        </w:rPr>
      </w:pPr>
      <w:r w:rsidRPr="00D87F86">
        <w:rPr>
          <w:rFonts w:cs="Tahoma"/>
        </w:rPr>
        <w:t>The Surveillance Atlas of Infectious Diseases displays data on</w:t>
      </w:r>
      <w:r w:rsidR="00CD0303">
        <w:rPr>
          <w:rFonts w:cs="Tahoma"/>
        </w:rPr>
        <w:t xml:space="preserve"> salmonellosis</w:t>
      </w:r>
      <w:r w:rsidRPr="00D87F86">
        <w:rPr>
          <w:rFonts w:cs="Tahoma"/>
        </w:rPr>
        <w:t xml:space="preserve"> reported by the EU/EEA countries. Cases should be reported according to the 2018 EU case definition for</w:t>
      </w:r>
      <w:r w:rsidR="00A31C23">
        <w:rPr>
          <w:rFonts w:cs="Tahoma"/>
        </w:rPr>
        <w:t xml:space="preserve"> </w:t>
      </w:r>
      <w:r w:rsidR="00A31C23" w:rsidRPr="00CB488F">
        <w:rPr>
          <w:rFonts w:eastAsia="Arial Unicode MS" w:cs="Tahoma"/>
          <w:i/>
          <w:kern w:val="22"/>
          <w:szCs w:val="18"/>
        </w:rPr>
        <w:t>Salmonella</w:t>
      </w:r>
      <w:r w:rsidR="00A31C23" w:rsidRPr="00CB488F">
        <w:rPr>
          <w:rFonts w:eastAsia="Arial Unicode MS" w:cs="Tahoma"/>
          <w:kern w:val="22"/>
          <w:szCs w:val="18"/>
        </w:rPr>
        <w:t xml:space="preserve"> enteritis</w:t>
      </w:r>
      <w:r w:rsidR="00A31C23" w:rsidRPr="00CB488F">
        <w:rPr>
          <w:rFonts w:cs="Tahoma"/>
          <w:sz w:val="20"/>
          <w:szCs w:val="20"/>
          <w:vertAlign w:val="superscript"/>
        </w:rPr>
        <w:footnoteReference w:id="26"/>
      </w:r>
      <w:r w:rsidR="00A31C23" w:rsidRPr="00CB488F">
        <w:rPr>
          <w:rFonts w:eastAsia="Arial Unicode MS" w:cs="Tahoma"/>
          <w:kern w:val="22"/>
          <w:szCs w:val="18"/>
        </w:rPr>
        <w:t xml:space="preserve">:  </w:t>
      </w:r>
    </w:p>
    <w:p w14:paraId="3F426BC8" w14:textId="33D094FF" w:rsidR="005D0F09" w:rsidRPr="007B34B1" w:rsidRDefault="005D0F09" w:rsidP="005D0F09">
      <w:pPr>
        <w:autoSpaceDE w:val="0"/>
        <w:autoSpaceDN w:val="0"/>
        <w:adjustRightInd w:val="0"/>
        <w:spacing w:before="60" w:after="60"/>
        <w:rPr>
          <w:rFonts w:cs="Tahoma"/>
          <w:b/>
          <w:bCs/>
          <w:color w:val="000000"/>
          <w:szCs w:val="18"/>
        </w:rPr>
      </w:pPr>
    </w:p>
    <w:p w14:paraId="722D9DA3" w14:textId="77777777" w:rsidR="005D0F09" w:rsidRPr="007B34B1" w:rsidRDefault="005D0F09" w:rsidP="005D0F09">
      <w:pPr>
        <w:autoSpaceDE w:val="0"/>
        <w:autoSpaceDN w:val="0"/>
        <w:adjustRightInd w:val="0"/>
        <w:spacing w:before="60" w:after="60"/>
        <w:rPr>
          <w:rFonts w:cs="Tahoma"/>
          <w:color w:val="000000"/>
          <w:szCs w:val="18"/>
        </w:rPr>
      </w:pPr>
      <w:r w:rsidRPr="007B34B1">
        <w:rPr>
          <w:rFonts w:cs="Tahoma"/>
          <w:b/>
          <w:bCs/>
          <w:color w:val="000000"/>
          <w:szCs w:val="18"/>
        </w:rPr>
        <w:t xml:space="preserve">Clinical </w:t>
      </w:r>
      <w:r>
        <w:rPr>
          <w:rFonts w:cs="Tahoma"/>
          <w:b/>
          <w:bCs/>
          <w:color w:val="000000"/>
          <w:szCs w:val="18"/>
        </w:rPr>
        <w:t>c</w:t>
      </w:r>
      <w:r w:rsidRPr="007B34B1">
        <w:rPr>
          <w:rFonts w:cs="Tahoma"/>
          <w:b/>
          <w:bCs/>
          <w:color w:val="000000"/>
          <w:szCs w:val="18"/>
        </w:rPr>
        <w:t xml:space="preserve">riteria </w:t>
      </w:r>
    </w:p>
    <w:p w14:paraId="5B056914" w14:textId="77777777" w:rsidR="005D0F09" w:rsidRPr="007B34B1" w:rsidRDefault="005D0F09" w:rsidP="005D0F09">
      <w:pPr>
        <w:autoSpaceDE w:val="0"/>
        <w:autoSpaceDN w:val="0"/>
        <w:adjustRightInd w:val="0"/>
        <w:spacing w:before="60" w:after="60"/>
        <w:rPr>
          <w:rFonts w:cs="Tahoma"/>
          <w:color w:val="000000"/>
          <w:szCs w:val="18"/>
        </w:rPr>
      </w:pPr>
      <w:r w:rsidRPr="007B34B1">
        <w:rPr>
          <w:rFonts w:cs="Tahoma"/>
          <w:color w:val="000000"/>
          <w:szCs w:val="18"/>
        </w:rPr>
        <w:t xml:space="preserve">Any person with at least one of the following four: </w:t>
      </w:r>
    </w:p>
    <w:p w14:paraId="799D0FA2" w14:textId="77777777" w:rsidR="005D0F09" w:rsidRPr="007B34B1" w:rsidRDefault="005D0F09" w:rsidP="005D0F09">
      <w:pPr>
        <w:autoSpaceDE w:val="0"/>
        <w:autoSpaceDN w:val="0"/>
        <w:adjustRightInd w:val="0"/>
        <w:spacing w:before="60" w:after="60"/>
        <w:rPr>
          <w:rFonts w:cs="Tahoma"/>
          <w:color w:val="000000"/>
          <w:szCs w:val="18"/>
        </w:rPr>
      </w:pPr>
      <w:r w:rsidRPr="007B34B1">
        <w:rPr>
          <w:rFonts w:cs="Tahoma"/>
          <w:color w:val="000000"/>
          <w:szCs w:val="18"/>
        </w:rPr>
        <w:t xml:space="preserve">— </w:t>
      </w:r>
      <w:proofErr w:type="gramStart"/>
      <w:r w:rsidRPr="007B34B1">
        <w:rPr>
          <w:rFonts w:cs="Tahoma"/>
          <w:color w:val="000000"/>
          <w:szCs w:val="18"/>
        </w:rPr>
        <w:t>Diarrhoea</w:t>
      </w:r>
      <w:r>
        <w:rPr>
          <w:rFonts w:cs="Tahoma"/>
          <w:color w:val="000000"/>
          <w:szCs w:val="18"/>
        </w:rPr>
        <w:t>;</w:t>
      </w:r>
      <w:proofErr w:type="gramEnd"/>
      <w:r w:rsidRPr="007B34B1">
        <w:rPr>
          <w:rFonts w:cs="Tahoma"/>
          <w:color w:val="000000"/>
          <w:szCs w:val="18"/>
        </w:rPr>
        <w:t xml:space="preserve"> </w:t>
      </w:r>
    </w:p>
    <w:p w14:paraId="196DC539" w14:textId="77777777" w:rsidR="005D0F09" w:rsidRPr="007B34B1" w:rsidRDefault="005D0F09" w:rsidP="005D0F09">
      <w:pPr>
        <w:autoSpaceDE w:val="0"/>
        <w:autoSpaceDN w:val="0"/>
        <w:adjustRightInd w:val="0"/>
        <w:spacing w:before="60" w:after="60"/>
        <w:rPr>
          <w:rFonts w:cs="Tahoma"/>
          <w:color w:val="000000"/>
          <w:szCs w:val="18"/>
        </w:rPr>
      </w:pPr>
      <w:r w:rsidRPr="007B34B1">
        <w:rPr>
          <w:rFonts w:cs="Tahoma"/>
          <w:color w:val="000000"/>
          <w:szCs w:val="18"/>
        </w:rPr>
        <w:t xml:space="preserve">— </w:t>
      </w:r>
      <w:proofErr w:type="gramStart"/>
      <w:r w:rsidRPr="007B34B1">
        <w:rPr>
          <w:rFonts w:cs="Tahoma"/>
          <w:color w:val="000000"/>
          <w:szCs w:val="18"/>
        </w:rPr>
        <w:t>Fever</w:t>
      </w:r>
      <w:r>
        <w:rPr>
          <w:rFonts w:cs="Tahoma"/>
          <w:color w:val="000000"/>
          <w:szCs w:val="18"/>
        </w:rPr>
        <w:t>;</w:t>
      </w:r>
      <w:proofErr w:type="gramEnd"/>
      <w:r w:rsidRPr="007B34B1">
        <w:rPr>
          <w:rFonts w:cs="Tahoma"/>
          <w:color w:val="000000"/>
          <w:szCs w:val="18"/>
        </w:rPr>
        <w:t xml:space="preserve"> </w:t>
      </w:r>
    </w:p>
    <w:p w14:paraId="2333C97E" w14:textId="77777777" w:rsidR="005D0F09" w:rsidRPr="00CB488F" w:rsidRDefault="005D0F09" w:rsidP="005D0F09">
      <w:pPr>
        <w:autoSpaceDE w:val="0"/>
        <w:autoSpaceDN w:val="0"/>
        <w:adjustRightInd w:val="0"/>
        <w:spacing w:before="60" w:after="60"/>
        <w:rPr>
          <w:rFonts w:cs="Tahoma"/>
          <w:color w:val="000000"/>
          <w:szCs w:val="18"/>
        </w:rPr>
      </w:pPr>
      <w:r w:rsidRPr="007B34B1">
        <w:rPr>
          <w:rFonts w:cs="Tahoma"/>
          <w:color w:val="000000"/>
          <w:szCs w:val="18"/>
        </w:rPr>
        <w:t xml:space="preserve">— </w:t>
      </w:r>
      <w:r w:rsidRPr="00CB488F">
        <w:rPr>
          <w:rFonts w:cs="Tahoma"/>
          <w:color w:val="000000"/>
          <w:szCs w:val="18"/>
        </w:rPr>
        <w:t xml:space="preserve">Abdominal </w:t>
      </w:r>
      <w:proofErr w:type="gramStart"/>
      <w:r w:rsidRPr="00CB488F">
        <w:rPr>
          <w:rFonts w:cs="Tahoma"/>
          <w:color w:val="000000"/>
          <w:szCs w:val="18"/>
        </w:rPr>
        <w:t>pain;</w:t>
      </w:r>
      <w:proofErr w:type="gramEnd"/>
      <w:r w:rsidRPr="00CB488F">
        <w:rPr>
          <w:rFonts w:cs="Tahoma"/>
          <w:color w:val="000000"/>
          <w:szCs w:val="18"/>
        </w:rPr>
        <w:t xml:space="preserve"> </w:t>
      </w:r>
    </w:p>
    <w:p w14:paraId="14C59994" w14:textId="77777777" w:rsidR="005D0F09" w:rsidRPr="00CB488F" w:rsidRDefault="005D0F09" w:rsidP="005D0F09">
      <w:pPr>
        <w:autoSpaceDE w:val="0"/>
        <w:autoSpaceDN w:val="0"/>
        <w:adjustRightInd w:val="0"/>
        <w:spacing w:before="60" w:after="60"/>
        <w:rPr>
          <w:rFonts w:cs="Tahoma"/>
          <w:color w:val="000000"/>
          <w:szCs w:val="18"/>
        </w:rPr>
      </w:pPr>
      <w:r w:rsidRPr="00CB488F">
        <w:rPr>
          <w:rFonts w:cs="Tahoma"/>
          <w:color w:val="000000"/>
          <w:szCs w:val="18"/>
        </w:rPr>
        <w:t xml:space="preserve">— Vomiting. </w:t>
      </w:r>
    </w:p>
    <w:p w14:paraId="7BA17C15" w14:textId="77777777" w:rsidR="005D0F09" w:rsidRPr="00CB488F" w:rsidRDefault="005D0F09" w:rsidP="005D0F09">
      <w:pPr>
        <w:autoSpaceDE w:val="0"/>
        <w:autoSpaceDN w:val="0"/>
        <w:adjustRightInd w:val="0"/>
        <w:spacing w:before="60" w:after="60"/>
        <w:rPr>
          <w:rFonts w:cs="Tahoma"/>
          <w:color w:val="000000"/>
          <w:szCs w:val="18"/>
        </w:rPr>
      </w:pPr>
      <w:r w:rsidRPr="00CB488F">
        <w:rPr>
          <w:rFonts w:cs="Tahoma"/>
          <w:b/>
          <w:bCs/>
          <w:color w:val="000000"/>
          <w:szCs w:val="18"/>
        </w:rPr>
        <w:t xml:space="preserve">Laboratory criteria </w:t>
      </w:r>
    </w:p>
    <w:p w14:paraId="7D22301B" w14:textId="59E4958D" w:rsidR="005D0F09" w:rsidRPr="00CB488F" w:rsidRDefault="00AE73FB" w:rsidP="008966DC">
      <w:pPr>
        <w:autoSpaceDE w:val="0"/>
        <w:autoSpaceDN w:val="0"/>
        <w:adjustRightInd w:val="0"/>
        <w:spacing w:before="60" w:after="60"/>
      </w:pPr>
      <w:r w:rsidRPr="00CB488F">
        <w:rPr>
          <w:rFonts w:cs="Tahoma"/>
          <w:szCs w:val="18"/>
        </w:rPr>
        <w:t xml:space="preserve">At least one of the following two: </w:t>
      </w:r>
      <w:r w:rsidRPr="00CB488F">
        <w:rPr>
          <w:rFonts w:cs="Tahoma"/>
          <w:szCs w:val="18"/>
        </w:rPr>
        <w:br/>
        <w:t xml:space="preserve">— Isolation of </w:t>
      </w:r>
      <w:r w:rsidRPr="00CB488F">
        <w:rPr>
          <w:rFonts w:cs="Tahoma"/>
          <w:i/>
          <w:szCs w:val="18"/>
        </w:rPr>
        <w:t>Salmonella</w:t>
      </w:r>
      <w:r w:rsidRPr="00CB488F">
        <w:rPr>
          <w:rFonts w:cs="Tahoma"/>
          <w:szCs w:val="18"/>
        </w:rPr>
        <w:t xml:space="preserve"> (other than </w:t>
      </w:r>
      <w:r w:rsidRPr="00CB488F">
        <w:rPr>
          <w:rFonts w:cs="Tahoma"/>
          <w:i/>
          <w:szCs w:val="18"/>
        </w:rPr>
        <w:t>S</w:t>
      </w:r>
      <w:r w:rsidRPr="00CB488F">
        <w:rPr>
          <w:rFonts w:cs="Tahoma"/>
          <w:szCs w:val="18"/>
        </w:rPr>
        <w:t xml:space="preserve">. Typhi or </w:t>
      </w:r>
      <w:r w:rsidRPr="00CB488F">
        <w:rPr>
          <w:rFonts w:cs="Tahoma"/>
          <w:i/>
          <w:szCs w:val="18"/>
        </w:rPr>
        <w:t>S</w:t>
      </w:r>
      <w:r w:rsidRPr="00CB488F">
        <w:rPr>
          <w:rFonts w:cs="Tahoma"/>
          <w:szCs w:val="18"/>
        </w:rPr>
        <w:t xml:space="preserve">. </w:t>
      </w:r>
      <w:proofErr w:type="spellStart"/>
      <w:r w:rsidRPr="00CB488F">
        <w:rPr>
          <w:rFonts w:cs="Tahoma"/>
          <w:szCs w:val="18"/>
        </w:rPr>
        <w:t>Paratyphi</w:t>
      </w:r>
      <w:proofErr w:type="spellEnd"/>
      <w:r w:rsidRPr="00CB488F">
        <w:rPr>
          <w:rFonts w:cs="Tahoma"/>
          <w:szCs w:val="18"/>
        </w:rPr>
        <w:t xml:space="preserve">) in a clinical specimen </w:t>
      </w:r>
      <w:r w:rsidRPr="00CB488F">
        <w:rPr>
          <w:rFonts w:cs="Tahoma"/>
          <w:szCs w:val="18"/>
        </w:rPr>
        <w:br/>
        <w:t xml:space="preserve">— Detection of nucleic acid from </w:t>
      </w:r>
      <w:r w:rsidRPr="00CB488F">
        <w:rPr>
          <w:rFonts w:cs="Tahoma"/>
          <w:i/>
          <w:szCs w:val="18"/>
        </w:rPr>
        <w:t>Salmonella</w:t>
      </w:r>
      <w:r w:rsidRPr="00CB488F">
        <w:rPr>
          <w:rFonts w:cs="Tahoma"/>
          <w:szCs w:val="18"/>
        </w:rPr>
        <w:t xml:space="preserve"> (other than </w:t>
      </w:r>
      <w:r w:rsidRPr="00CB488F">
        <w:rPr>
          <w:rFonts w:cs="Tahoma"/>
          <w:i/>
          <w:szCs w:val="18"/>
        </w:rPr>
        <w:t>S</w:t>
      </w:r>
      <w:r w:rsidRPr="00CB488F">
        <w:rPr>
          <w:rFonts w:cs="Tahoma"/>
          <w:szCs w:val="18"/>
        </w:rPr>
        <w:t xml:space="preserve">. Typhi or </w:t>
      </w:r>
      <w:r w:rsidRPr="00CB488F">
        <w:rPr>
          <w:rFonts w:cs="Tahoma"/>
          <w:i/>
          <w:szCs w:val="18"/>
        </w:rPr>
        <w:t>S</w:t>
      </w:r>
      <w:r w:rsidRPr="00CB488F">
        <w:rPr>
          <w:rFonts w:cs="Tahoma"/>
          <w:szCs w:val="18"/>
        </w:rPr>
        <w:t xml:space="preserve">. </w:t>
      </w:r>
      <w:proofErr w:type="spellStart"/>
      <w:r w:rsidRPr="00CB488F">
        <w:rPr>
          <w:rFonts w:cs="Tahoma"/>
          <w:szCs w:val="18"/>
        </w:rPr>
        <w:t>Paratyphi</w:t>
      </w:r>
      <w:proofErr w:type="spellEnd"/>
      <w:r w:rsidRPr="00CB488F">
        <w:rPr>
          <w:rFonts w:cs="Tahoma"/>
          <w:szCs w:val="18"/>
        </w:rPr>
        <w:t xml:space="preserve">) in a clinical specimen </w:t>
      </w:r>
      <w:r w:rsidRPr="00CB488F">
        <w:rPr>
          <w:rFonts w:cs="Tahoma"/>
          <w:szCs w:val="18"/>
        </w:rPr>
        <w:br/>
      </w:r>
      <w:r w:rsidRPr="00CB488F">
        <w:rPr>
          <w:rFonts w:cs="Tahoma"/>
          <w:szCs w:val="18"/>
        </w:rPr>
        <w:br/>
        <w:t xml:space="preserve">Note: Antimicrobial susceptibility testing of </w:t>
      </w:r>
      <w:r w:rsidRPr="00CB488F">
        <w:rPr>
          <w:rFonts w:cs="Tahoma"/>
          <w:i/>
          <w:szCs w:val="18"/>
        </w:rPr>
        <w:t>Salmonella</w:t>
      </w:r>
      <w:r w:rsidRPr="00CB488F">
        <w:rPr>
          <w:rFonts w:cs="Tahoma"/>
          <w:szCs w:val="18"/>
        </w:rPr>
        <w:t xml:space="preserve"> </w:t>
      </w:r>
      <w:r w:rsidRPr="00CB488F">
        <w:rPr>
          <w:rFonts w:cs="Tahoma"/>
          <w:i/>
          <w:szCs w:val="18"/>
        </w:rPr>
        <w:t>enterica</w:t>
      </w:r>
      <w:r w:rsidRPr="00CB488F">
        <w:rPr>
          <w:rFonts w:cs="Tahoma"/>
          <w:szCs w:val="18"/>
        </w:rPr>
        <w:t xml:space="preserve"> should be performed on a representative subset of isolates</w:t>
      </w:r>
    </w:p>
    <w:p w14:paraId="239C6D07" w14:textId="77777777" w:rsidR="005D0F09" w:rsidRPr="007B34B1" w:rsidRDefault="005D0F09" w:rsidP="005D0F09">
      <w:pPr>
        <w:autoSpaceDE w:val="0"/>
        <w:autoSpaceDN w:val="0"/>
        <w:adjustRightInd w:val="0"/>
        <w:spacing w:before="60" w:after="60"/>
        <w:rPr>
          <w:rFonts w:cs="Tahoma"/>
          <w:color w:val="000000"/>
          <w:szCs w:val="18"/>
        </w:rPr>
      </w:pPr>
      <w:r w:rsidRPr="007B34B1">
        <w:rPr>
          <w:rFonts w:cs="Tahoma"/>
          <w:b/>
          <w:bCs/>
          <w:color w:val="000000"/>
          <w:szCs w:val="18"/>
        </w:rPr>
        <w:t xml:space="preserve">Epidemiological </w:t>
      </w:r>
      <w:r>
        <w:rPr>
          <w:rFonts w:cs="Tahoma"/>
          <w:b/>
          <w:bCs/>
          <w:color w:val="000000"/>
          <w:szCs w:val="18"/>
        </w:rPr>
        <w:t>c</w:t>
      </w:r>
      <w:r w:rsidRPr="007B34B1">
        <w:rPr>
          <w:rFonts w:cs="Tahoma"/>
          <w:b/>
          <w:bCs/>
          <w:color w:val="000000"/>
          <w:szCs w:val="18"/>
        </w:rPr>
        <w:t xml:space="preserve">riteria </w:t>
      </w:r>
    </w:p>
    <w:p w14:paraId="430F6AB4" w14:textId="77777777" w:rsidR="005D0F09" w:rsidRPr="00CB488F" w:rsidRDefault="005D0F09" w:rsidP="005D0F09">
      <w:pPr>
        <w:autoSpaceDE w:val="0"/>
        <w:autoSpaceDN w:val="0"/>
        <w:adjustRightInd w:val="0"/>
        <w:spacing w:before="60" w:after="60"/>
        <w:rPr>
          <w:rFonts w:cs="Tahoma"/>
          <w:color w:val="000000"/>
          <w:szCs w:val="18"/>
        </w:rPr>
      </w:pPr>
      <w:r w:rsidRPr="00CB488F">
        <w:rPr>
          <w:rFonts w:cs="Tahoma"/>
          <w:color w:val="000000"/>
          <w:szCs w:val="18"/>
        </w:rPr>
        <w:t xml:space="preserve">At least one of the following five epidemiological links: </w:t>
      </w:r>
    </w:p>
    <w:p w14:paraId="417D47F8" w14:textId="77777777" w:rsidR="005D0F09" w:rsidRPr="00CB488F" w:rsidRDefault="005D0F09" w:rsidP="005D0F09">
      <w:pPr>
        <w:autoSpaceDE w:val="0"/>
        <w:autoSpaceDN w:val="0"/>
        <w:adjustRightInd w:val="0"/>
        <w:spacing w:before="60" w:after="60"/>
        <w:rPr>
          <w:rFonts w:cs="Tahoma"/>
          <w:color w:val="000000"/>
          <w:szCs w:val="18"/>
        </w:rPr>
      </w:pPr>
      <w:r w:rsidRPr="00CB488F">
        <w:rPr>
          <w:rFonts w:cs="Tahoma"/>
          <w:color w:val="000000"/>
          <w:szCs w:val="18"/>
        </w:rPr>
        <w:t xml:space="preserve">— Human to human </w:t>
      </w:r>
      <w:proofErr w:type="gramStart"/>
      <w:r w:rsidRPr="00CB488F">
        <w:rPr>
          <w:rFonts w:cs="Tahoma"/>
          <w:color w:val="000000"/>
          <w:szCs w:val="18"/>
        </w:rPr>
        <w:t>transmission;</w:t>
      </w:r>
      <w:proofErr w:type="gramEnd"/>
      <w:r w:rsidRPr="00CB488F">
        <w:rPr>
          <w:rFonts w:cs="Tahoma"/>
          <w:color w:val="000000"/>
          <w:szCs w:val="18"/>
        </w:rPr>
        <w:t xml:space="preserve"> </w:t>
      </w:r>
    </w:p>
    <w:p w14:paraId="7E3EC0FE" w14:textId="77777777" w:rsidR="005D0F09" w:rsidRPr="00CB488F" w:rsidRDefault="005D0F09" w:rsidP="005D0F09">
      <w:pPr>
        <w:autoSpaceDE w:val="0"/>
        <w:autoSpaceDN w:val="0"/>
        <w:adjustRightInd w:val="0"/>
        <w:spacing w:before="60" w:after="60"/>
        <w:rPr>
          <w:rFonts w:cs="Tahoma"/>
          <w:color w:val="000000"/>
          <w:szCs w:val="18"/>
        </w:rPr>
      </w:pPr>
      <w:r w:rsidRPr="00CB488F">
        <w:rPr>
          <w:rFonts w:cs="Tahoma"/>
          <w:color w:val="000000"/>
          <w:szCs w:val="18"/>
        </w:rPr>
        <w:t xml:space="preserve">— Exposure to a common </w:t>
      </w:r>
      <w:proofErr w:type="gramStart"/>
      <w:r w:rsidRPr="00CB488F">
        <w:rPr>
          <w:rFonts w:cs="Tahoma"/>
          <w:color w:val="000000"/>
          <w:szCs w:val="18"/>
        </w:rPr>
        <w:t>source;</w:t>
      </w:r>
      <w:proofErr w:type="gramEnd"/>
      <w:r w:rsidRPr="00CB488F">
        <w:rPr>
          <w:rFonts w:cs="Tahoma"/>
          <w:color w:val="000000"/>
          <w:szCs w:val="18"/>
        </w:rPr>
        <w:t xml:space="preserve"> </w:t>
      </w:r>
    </w:p>
    <w:p w14:paraId="487ED08D" w14:textId="77777777" w:rsidR="005D0F09" w:rsidRPr="00CB488F" w:rsidRDefault="005D0F09" w:rsidP="005D0F09">
      <w:pPr>
        <w:autoSpaceDE w:val="0"/>
        <w:autoSpaceDN w:val="0"/>
        <w:adjustRightInd w:val="0"/>
        <w:spacing w:before="60" w:after="60"/>
        <w:rPr>
          <w:rFonts w:cs="Tahoma"/>
          <w:color w:val="000000"/>
          <w:szCs w:val="18"/>
        </w:rPr>
      </w:pPr>
      <w:r w:rsidRPr="00CB488F">
        <w:rPr>
          <w:rFonts w:cs="Tahoma"/>
          <w:color w:val="000000"/>
          <w:szCs w:val="18"/>
        </w:rPr>
        <w:t xml:space="preserve">— Animal to human </w:t>
      </w:r>
      <w:proofErr w:type="gramStart"/>
      <w:r w:rsidRPr="00CB488F">
        <w:rPr>
          <w:rFonts w:cs="Tahoma"/>
          <w:color w:val="000000"/>
          <w:szCs w:val="18"/>
        </w:rPr>
        <w:t>transmission;</w:t>
      </w:r>
      <w:proofErr w:type="gramEnd"/>
      <w:r w:rsidRPr="00CB488F">
        <w:rPr>
          <w:rFonts w:cs="Tahoma"/>
          <w:color w:val="000000"/>
          <w:szCs w:val="18"/>
        </w:rPr>
        <w:t xml:space="preserve"> </w:t>
      </w:r>
    </w:p>
    <w:p w14:paraId="441389DD" w14:textId="77777777" w:rsidR="005D0F09" w:rsidRPr="00CB488F" w:rsidRDefault="005D0F09" w:rsidP="005D0F09">
      <w:pPr>
        <w:autoSpaceDE w:val="0"/>
        <w:autoSpaceDN w:val="0"/>
        <w:adjustRightInd w:val="0"/>
        <w:spacing w:before="60" w:after="60"/>
        <w:rPr>
          <w:rFonts w:cs="Tahoma"/>
          <w:color w:val="000000"/>
          <w:szCs w:val="18"/>
        </w:rPr>
      </w:pPr>
      <w:r w:rsidRPr="00CB488F">
        <w:rPr>
          <w:rFonts w:cs="Tahoma"/>
          <w:color w:val="000000"/>
          <w:szCs w:val="18"/>
        </w:rPr>
        <w:t xml:space="preserve">— Exposure to contaminated food/drinking </w:t>
      </w:r>
      <w:proofErr w:type="gramStart"/>
      <w:r w:rsidRPr="00CB488F">
        <w:rPr>
          <w:rFonts w:cs="Tahoma"/>
          <w:color w:val="000000"/>
          <w:szCs w:val="18"/>
        </w:rPr>
        <w:t>water;</w:t>
      </w:r>
      <w:proofErr w:type="gramEnd"/>
      <w:r w:rsidRPr="00CB488F">
        <w:rPr>
          <w:rFonts w:cs="Tahoma"/>
          <w:color w:val="000000"/>
          <w:szCs w:val="18"/>
        </w:rPr>
        <w:t xml:space="preserve"> </w:t>
      </w:r>
    </w:p>
    <w:p w14:paraId="3C9CB88E" w14:textId="6B863779" w:rsidR="005D0F09" w:rsidRPr="00CB488F" w:rsidRDefault="005D0F09" w:rsidP="005D0F09">
      <w:pPr>
        <w:autoSpaceDE w:val="0"/>
        <w:autoSpaceDN w:val="0"/>
        <w:adjustRightInd w:val="0"/>
        <w:spacing w:after="120"/>
        <w:rPr>
          <w:rFonts w:cs="Tahoma"/>
          <w:color w:val="000000"/>
          <w:szCs w:val="18"/>
        </w:rPr>
      </w:pPr>
      <w:r w:rsidRPr="00CB488F">
        <w:rPr>
          <w:rFonts w:cs="Tahoma"/>
          <w:color w:val="000000"/>
          <w:szCs w:val="18"/>
        </w:rPr>
        <w:t>— Environmental exposure.</w:t>
      </w:r>
    </w:p>
    <w:p w14:paraId="170B0A81" w14:textId="77777777" w:rsidR="005679DF" w:rsidRPr="00CB488F" w:rsidRDefault="005679DF" w:rsidP="005D0F09">
      <w:pPr>
        <w:autoSpaceDE w:val="0"/>
        <w:autoSpaceDN w:val="0"/>
        <w:adjustRightInd w:val="0"/>
        <w:spacing w:after="120"/>
        <w:rPr>
          <w:rFonts w:cs="Tahoma"/>
          <w:color w:val="000000"/>
          <w:szCs w:val="18"/>
        </w:rPr>
      </w:pPr>
    </w:p>
    <w:p w14:paraId="6360EE2F" w14:textId="7F639ADB" w:rsidR="005D0F09" w:rsidRPr="00CB488F" w:rsidRDefault="005D0F09" w:rsidP="005D0F09">
      <w:pPr>
        <w:autoSpaceDE w:val="0"/>
        <w:autoSpaceDN w:val="0"/>
        <w:adjustRightInd w:val="0"/>
        <w:spacing w:before="60" w:after="60"/>
        <w:rPr>
          <w:rFonts w:cs="Tahoma"/>
          <w:b/>
          <w:szCs w:val="18"/>
        </w:rPr>
      </w:pPr>
      <w:r w:rsidRPr="00CB488F">
        <w:rPr>
          <w:rFonts w:cs="Tahoma"/>
          <w:b/>
          <w:szCs w:val="18"/>
        </w:rPr>
        <w:t>Case classification</w:t>
      </w:r>
    </w:p>
    <w:p w14:paraId="2B38CBA1" w14:textId="2BCFAAD6" w:rsidR="00AE73FB" w:rsidRPr="00CB488F" w:rsidRDefault="00AE73FB" w:rsidP="005D0F09">
      <w:pPr>
        <w:autoSpaceDE w:val="0"/>
        <w:autoSpaceDN w:val="0"/>
        <w:adjustRightInd w:val="0"/>
        <w:spacing w:before="60" w:after="60"/>
        <w:rPr>
          <w:rFonts w:cs="Tahoma"/>
          <w:b/>
          <w:szCs w:val="18"/>
        </w:rPr>
      </w:pPr>
      <w:r w:rsidRPr="00CB488F">
        <w:rPr>
          <w:szCs w:val="18"/>
        </w:rPr>
        <w:t>A. Possible case NA</w:t>
      </w:r>
    </w:p>
    <w:p w14:paraId="189E6FAC" w14:textId="318961F4" w:rsidR="005D0F09" w:rsidRPr="00CB488F" w:rsidRDefault="00AE73FB" w:rsidP="005D0F09">
      <w:pPr>
        <w:widowControl w:val="0"/>
        <w:autoSpaceDE w:val="0"/>
        <w:autoSpaceDN w:val="0"/>
        <w:adjustRightInd w:val="0"/>
        <w:rPr>
          <w:rFonts w:eastAsia="Times New Roman" w:cs="Tahoma"/>
          <w:color w:val="000000"/>
          <w:szCs w:val="18"/>
        </w:rPr>
      </w:pPr>
      <w:r w:rsidRPr="00CB488F">
        <w:rPr>
          <w:rFonts w:eastAsia="Times New Roman" w:cs="Tahoma"/>
          <w:color w:val="000000"/>
          <w:szCs w:val="18"/>
        </w:rPr>
        <w:t>B</w:t>
      </w:r>
      <w:r w:rsidR="005D0F09" w:rsidRPr="00CB488F">
        <w:rPr>
          <w:rFonts w:eastAsia="Times New Roman" w:cs="Tahoma"/>
          <w:color w:val="000000"/>
          <w:szCs w:val="18"/>
        </w:rPr>
        <w:t xml:space="preserve">. Probable case: </w:t>
      </w:r>
      <w:r w:rsidR="005D0F09" w:rsidRPr="00CB488F">
        <w:rPr>
          <w:rFonts w:cs="Tahoma"/>
          <w:color w:val="000000"/>
          <w:szCs w:val="18"/>
        </w:rPr>
        <w:t>a</w:t>
      </w:r>
      <w:r w:rsidR="00177F7F">
        <w:rPr>
          <w:rFonts w:cs="Tahoma"/>
          <w:color w:val="000000"/>
          <w:szCs w:val="18"/>
        </w:rPr>
        <w:t>ny</w:t>
      </w:r>
      <w:r w:rsidR="005D0F09" w:rsidRPr="00CB488F">
        <w:rPr>
          <w:rFonts w:cs="Tahoma"/>
          <w:color w:val="000000"/>
          <w:szCs w:val="18"/>
        </w:rPr>
        <w:t xml:space="preserve"> person meeting the clinical criteria with an epidemiological link </w:t>
      </w:r>
    </w:p>
    <w:p w14:paraId="112ED0DC" w14:textId="028DE841" w:rsidR="005D0F09" w:rsidRPr="00CB488F" w:rsidRDefault="00AE73FB" w:rsidP="005D0F09">
      <w:pPr>
        <w:autoSpaceDE w:val="0"/>
        <w:autoSpaceDN w:val="0"/>
        <w:adjustRightInd w:val="0"/>
        <w:spacing w:before="60" w:after="60"/>
        <w:rPr>
          <w:rFonts w:cs="Tahoma"/>
          <w:szCs w:val="18"/>
        </w:rPr>
      </w:pPr>
      <w:r w:rsidRPr="00CB488F">
        <w:rPr>
          <w:rFonts w:cs="Tahoma"/>
          <w:color w:val="000000"/>
          <w:szCs w:val="18"/>
        </w:rPr>
        <w:t>C</w:t>
      </w:r>
      <w:r w:rsidR="005D0F09" w:rsidRPr="00CB488F">
        <w:rPr>
          <w:rFonts w:cs="Tahoma"/>
          <w:color w:val="000000"/>
          <w:szCs w:val="18"/>
        </w:rPr>
        <w:t xml:space="preserve">. </w:t>
      </w:r>
      <w:r w:rsidR="005D0F09" w:rsidRPr="00CB488F">
        <w:rPr>
          <w:rFonts w:cs="Tahoma"/>
          <w:bCs/>
          <w:color w:val="000000"/>
          <w:szCs w:val="18"/>
        </w:rPr>
        <w:t>Confirmed case:</w:t>
      </w:r>
      <w:r w:rsidR="005D0F09" w:rsidRPr="00CB488F">
        <w:rPr>
          <w:rFonts w:cs="Tahoma"/>
          <w:b/>
          <w:bCs/>
          <w:color w:val="000000"/>
          <w:szCs w:val="18"/>
        </w:rPr>
        <w:t xml:space="preserve"> </w:t>
      </w:r>
      <w:r w:rsidR="005D0F09" w:rsidRPr="00CB488F">
        <w:rPr>
          <w:rFonts w:cs="Tahoma"/>
          <w:szCs w:val="18"/>
        </w:rPr>
        <w:t>a</w:t>
      </w:r>
      <w:r w:rsidR="00177F7F">
        <w:rPr>
          <w:rFonts w:cs="Tahoma"/>
          <w:szCs w:val="18"/>
        </w:rPr>
        <w:t>ny</w:t>
      </w:r>
      <w:r w:rsidR="005D0F09" w:rsidRPr="00CB488F">
        <w:rPr>
          <w:rFonts w:cs="Tahoma"/>
          <w:szCs w:val="18"/>
        </w:rPr>
        <w:t xml:space="preserve"> person meeting the clinical and the laboratory criteria</w:t>
      </w:r>
    </w:p>
    <w:p w14:paraId="415C4802" w14:textId="0DB912DA" w:rsidR="00A32747" w:rsidRPr="00CB488F" w:rsidRDefault="00A32747" w:rsidP="005D0F09">
      <w:pPr>
        <w:autoSpaceDE w:val="0"/>
        <w:autoSpaceDN w:val="0"/>
        <w:adjustRightInd w:val="0"/>
        <w:spacing w:before="60" w:after="60"/>
        <w:rPr>
          <w:rFonts w:cs="Tahoma"/>
          <w:szCs w:val="18"/>
        </w:rPr>
      </w:pPr>
    </w:p>
    <w:p w14:paraId="1014DD49" w14:textId="250174BB" w:rsidR="00A32747" w:rsidRPr="00CB488F" w:rsidRDefault="00A32747" w:rsidP="00BC2004">
      <w:pPr>
        <w:autoSpaceDE w:val="0"/>
        <w:autoSpaceDN w:val="0"/>
        <w:adjustRightInd w:val="0"/>
        <w:spacing w:before="60" w:afterLines="60" w:after="144"/>
        <w:rPr>
          <w:rFonts w:cs="Tahoma"/>
          <w:color w:val="000000"/>
          <w:szCs w:val="18"/>
        </w:rPr>
      </w:pPr>
      <w:r w:rsidRPr="00CB488F">
        <w:rPr>
          <w:szCs w:val="18"/>
        </w:rPr>
        <w:lastRenderedPageBreak/>
        <w:t>Note: If the national surveillance system is not capturing clinical symptoms, all laboratory-confirmed individuals should be reported as confirmed cases.</w:t>
      </w:r>
    </w:p>
    <w:p w14:paraId="16918A58" w14:textId="0937FA2E" w:rsidR="00897E7A" w:rsidRPr="00BC2004" w:rsidRDefault="00897E7A" w:rsidP="00BC2004">
      <w:pPr>
        <w:pStyle w:val="Heading3"/>
        <w:spacing w:before="60" w:afterLines="60" w:after="144" w:line="259" w:lineRule="auto"/>
        <w:rPr>
          <w:rFonts w:ascii="Tahoma" w:hAnsi="Tahoma" w:cs="Tahoma"/>
          <w:b/>
          <w:color w:val="auto"/>
          <w:sz w:val="18"/>
          <w:szCs w:val="18"/>
        </w:rPr>
      </w:pPr>
      <w:r w:rsidRPr="00BC2004">
        <w:rPr>
          <w:rFonts w:ascii="Tahoma" w:hAnsi="Tahoma" w:cs="Tahoma"/>
          <w:color w:val="auto"/>
          <w:sz w:val="18"/>
          <w:szCs w:val="18"/>
          <w:u w:val="single"/>
        </w:rPr>
        <w:t>Antimicrobial resistance</w:t>
      </w:r>
      <w:r w:rsidRPr="00BC2004">
        <w:rPr>
          <w:rFonts w:ascii="Tahoma" w:hAnsi="Tahoma" w:cs="Tahoma"/>
          <w:color w:val="auto"/>
          <w:sz w:val="18"/>
          <w:szCs w:val="18"/>
        </w:rPr>
        <w:t xml:space="preserve"> </w:t>
      </w:r>
      <w:r w:rsidRPr="00BC2004">
        <w:rPr>
          <w:rFonts w:ascii="Tahoma" w:hAnsi="Tahoma" w:cs="Tahoma"/>
          <w:color w:val="auto"/>
          <w:sz w:val="18"/>
          <w:szCs w:val="18"/>
        </w:rPr>
        <w:br/>
        <w:t>The results of antimicrobial susceptibility tests must be reported according to the methods and criteria agreed between ECDC and Member States as specified in the EU protocol for harmonised monitoring of antimicrobial resistance in human Salmonella and Campylobacter isolates</w:t>
      </w:r>
      <w:r w:rsidR="00322C19" w:rsidRPr="00BC2004">
        <w:rPr>
          <w:rFonts w:ascii="Tahoma" w:hAnsi="Tahoma" w:cs="Tahoma"/>
          <w:color w:val="auto"/>
          <w:sz w:val="18"/>
          <w:szCs w:val="18"/>
        </w:rPr>
        <w:t>.</w:t>
      </w:r>
      <w:r w:rsidR="00A9199F" w:rsidRPr="00BC2004">
        <w:rPr>
          <w:rStyle w:val="FootnoteReference"/>
          <w:rFonts w:ascii="Tahoma" w:hAnsi="Tahoma" w:cs="Tahoma"/>
          <w:color w:val="auto"/>
          <w:sz w:val="18"/>
          <w:szCs w:val="18"/>
        </w:rPr>
        <w:footnoteReference w:id="27"/>
      </w:r>
    </w:p>
    <w:p w14:paraId="02BB4F53" w14:textId="77777777" w:rsidR="00CB488F" w:rsidRDefault="00CB488F" w:rsidP="00CB488F">
      <w:pPr>
        <w:pStyle w:val="EC-Para"/>
        <w:spacing w:after="0" w:line="240" w:lineRule="auto"/>
        <w:jc w:val="both"/>
        <w:rPr>
          <w:rFonts w:cs="Tahoma"/>
        </w:rPr>
      </w:pPr>
      <w:r>
        <w:rPr>
          <w:rFonts w:cs="Tahoma"/>
        </w:rPr>
        <w:t>------------------------</w:t>
      </w:r>
    </w:p>
    <w:p w14:paraId="0E584A9B" w14:textId="77777777" w:rsidR="00CB488F" w:rsidRDefault="00CB488F" w:rsidP="00CB488F">
      <w:pPr>
        <w:pStyle w:val="EC-Para"/>
        <w:spacing w:after="0" w:line="240" w:lineRule="auto"/>
        <w:jc w:val="both"/>
        <w:rPr>
          <w:lang w:eastAsia="en-US"/>
        </w:rPr>
      </w:pPr>
      <w:r>
        <w:rPr>
          <w:rFonts w:cs="Tahoma"/>
        </w:rPr>
        <w:t>(</w:t>
      </w:r>
      <w:r w:rsidRPr="004B02D3">
        <w:rPr>
          <w:rFonts w:cs="Tahoma"/>
        </w:rPr>
        <w:t>C</w:t>
      </w:r>
      <w:r w:rsidRPr="004B02D3">
        <w:rPr>
          <w:lang w:eastAsia="en-US"/>
        </w:rPr>
        <w:t xml:space="preserve">ompared </w:t>
      </w:r>
      <w:r>
        <w:rPr>
          <w:lang w:eastAsia="en-US"/>
        </w:rPr>
        <w:t>with</w:t>
      </w:r>
      <w:r w:rsidRPr="004B02D3">
        <w:rPr>
          <w:lang w:eastAsia="en-US"/>
        </w:rPr>
        <w:t xml:space="preserve"> the 2008 and 2012 EU case definition, the 2018 EU case definition allows genotypic tests for laboratory confirmation and </w:t>
      </w:r>
      <w:r>
        <w:rPr>
          <w:lang w:eastAsia="en-US"/>
        </w:rPr>
        <w:t>includes a requirement for antimicrobial susceptibility testing and reporting of results.</w:t>
      </w:r>
      <w:r w:rsidRPr="004B02D3">
        <w:rPr>
          <w:lang w:eastAsia="en-US"/>
        </w:rPr>
        <w:t xml:space="preserve"> </w:t>
      </w:r>
      <w:r w:rsidRPr="003B4E4E">
        <w:rPr>
          <w:lang w:eastAsia="en-US"/>
        </w:rPr>
        <w:t>The</w:t>
      </w:r>
      <w:r>
        <w:rPr>
          <w:lang w:eastAsia="en-US"/>
        </w:rPr>
        <w:t xml:space="preserve"> note is also a new addition.)</w:t>
      </w:r>
    </w:p>
    <w:p w14:paraId="031D00D1" w14:textId="77777777" w:rsidR="00CB488F" w:rsidRPr="00A9199F" w:rsidRDefault="00CB488F" w:rsidP="00CB488F">
      <w:pPr>
        <w:rPr>
          <w:highlight w:val="yellow"/>
        </w:rPr>
      </w:pPr>
    </w:p>
    <w:p w14:paraId="00BC9A57" w14:textId="4534D30E" w:rsidR="005D0F09" w:rsidRPr="006C449A" w:rsidRDefault="005D0F09" w:rsidP="00BC2004">
      <w:pPr>
        <w:pStyle w:val="EC-Title-6"/>
      </w:pPr>
      <w:r w:rsidRPr="006C449A">
        <w:t>Case definition of typhoid/paratyphoid fever (</w:t>
      </w:r>
      <w:r w:rsidRPr="003B22EA">
        <w:rPr>
          <w:i/>
          <w:iCs/>
        </w:rPr>
        <w:t xml:space="preserve">Salmonella </w:t>
      </w:r>
      <w:r w:rsidRPr="006C449A">
        <w:t>Typhi/</w:t>
      </w:r>
      <w:proofErr w:type="spellStart"/>
      <w:r w:rsidRPr="006C449A">
        <w:t>Paratyphi</w:t>
      </w:r>
      <w:proofErr w:type="spellEnd"/>
      <w:r w:rsidRPr="006C449A">
        <w:t>)</w:t>
      </w:r>
    </w:p>
    <w:p w14:paraId="7E6C5CB8" w14:textId="547035A1" w:rsidR="005D0F09" w:rsidRPr="006C449A" w:rsidRDefault="003B22EA" w:rsidP="005D0F09">
      <w:pPr>
        <w:kinsoku w:val="0"/>
        <w:autoSpaceDE w:val="0"/>
        <w:autoSpaceDN w:val="0"/>
        <w:adjustRightInd w:val="0"/>
        <w:jc w:val="both"/>
        <w:rPr>
          <w:rFonts w:eastAsia="Arial Unicode MS"/>
          <w:b/>
          <w:i/>
          <w:color w:val="69AE23"/>
          <w:kern w:val="22"/>
          <w:sz w:val="24"/>
        </w:rPr>
      </w:pPr>
      <w:r w:rsidRPr="00D87F86">
        <w:rPr>
          <w:rFonts w:cs="Tahoma"/>
        </w:rPr>
        <w:t>The Surveillance Atlas of Infectious Diseases displays data on</w:t>
      </w:r>
      <w:r>
        <w:rPr>
          <w:rFonts w:cs="Tahoma"/>
        </w:rPr>
        <w:t xml:space="preserve"> salmonellosis</w:t>
      </w:r>
      <w:r w:rsidRPr="00D87F86">
        <w:rPr>
          <w:rFonts w:cs="Tahoma"/>
        </w:rPr>
        <w:t xml:space="preserve"> reported by the EU/EEA countries. Cases should be reported according to the 2018 EU case definition for</w:t>
      </w:r>
      <w:r>
        <w:rPr>
          <w:rFonts w:cs="Tahoma"/>
        </w:rPr>
        <w:t xml:space="preserve"> </w:t>
      </w:r>
      <w:r w:rsidR="00322C19" w:rsidRPr="006C449A">
        <w:rPr>
          <w:rFonts w:eastAsia="Arial Unicode MS" w:cs="Tahoma"/>
          <w:kern w:val="22"/>
          <w:szCs w:val="18"/>
        </w:rPr>
        <w:t>typhoid and paratyphoid fever</w:t>
      </w:r>
      <w:r w:rsidR="00EE0174">
        <w:rPr>
          <w:rFonts w:cs="Tahoma"/>
          <w:i/>
          <w:kern w:val="22"/>
          <w:sz w:val="20"/>
          <w:szCs w:val="20"/>
          <w:vertAlign w:val="superscript"/>
        </w:rPr>
        <w:t>26</w:t>
      </w:r>
      <w:r w:rsidR="005D0F09" w:rsidRPr="006C449A">
        <w:rPr>
          <w:rFonts w:eastAsia="Arial Unicode MS" w:cs="Tahoma"/>
          <w:kern w:val="22"/>
          <w:szCs w:val="18"/>
        </w:rPr>
        <w:t>:</w:t>
      </w:r>
    </w:p>
    <w:p w14:paraId="65A9C096" w14:textId="77777777" w:rsidR="005D0F09" w:rsidRPr="006C449A" w:rsidRDefault="005D0F09" w:rsidP="005D0F09">
      <w:pPr>
        <w:autoSpaceDE w:val="0"/>
        <w:autoSpaceDN w:val="0"/>
        <w:adjustRightInd w:val="0"/>
        <w:spacing w:before="60" w:after="60"/>
        <w:rPr>
          <w:rFonts w:cs="Tahoma"/>
          <w:color w:val="000000"/>
          <w:szCs w:val="18"/>
        </w:rPr>
      </w:pPr>
      <w:r w:rsidRPr="006C449A">
        <w:rPr>
          <w:rFonts w:cs="Tahoma"/>
          <w:b/>
          <w:bCs/>
          <w:color w:val="000000"/>
          <w:szCs w:val="18"/>
        </w:rPr>
        <w:t xml:space="preserve">Clinical criteria </w:t>
      </w:r>
    </w:p>
    <w:p w14:paraId="3C4E30BB" w14:textId="77777777" w:rsidR="005D0F09" w:rsidRPr="006C449A" w:rsidRDefault="005D0F09" w:rsidP="005D0F09">
      <w:pPr>
        <w:autoSpaceDE w:val="0"/>
        <w:autoSpaceDN w:val="0"/>
        <w:adjustRightInd w:val="0"/>
        <w:spacing w:before="60" w:after="60"/>
        <w:rPr>
          <w:rFonts w:cs="Tahoma"/>
          <w:color w:val="000000"/>
          <w:szCs w:val="18"/>
        </w:rPr>
      </w:pPr>
      <w:r w:rsidRPr="006C449A">
        <w:rPr>
          <w:rFonts w:cs="Tahoma"/>
          <w:color w:val="000000"/>
          <w:szCs w:val="18"/>
        </w:rPr>
        <w:t xml:space="preserve">Any person with at least one of the following two: </w:t>
      </w:r>
    </w:p>
    <w:p w14:paraId="1EB0418A" w14:textId="740174EB" w:rsidR="005D0F09" w:rsidRPr="006C449A" w:rsidRDefault="00322C19" w:rsidP="005D0F09">
      <w:pPr>
        <w:autoSpaceDE w:val="0"/>
        <w:autoSpaceDN w:val="0"/>
        <w:adjustRightInd w:val="0"/>
        <w:spacing w:before="60" w:after="60"/>
        <w:rPr>
          <w:rFonts w:cs="Tahoma"/>
          <w:color w:val="000000"/>
          <w:szCs w:val="18"/>
        </w:rPr>
      </w:pPr>
      <w:r w:rsidRPr="006C449A">
        <w:rPr>
          <w:rFonts w:cs="Tahoma"/>
          <w:color w:val="000000"/>
          <w:szCs w:val="18"/>
        </w:rPr>
        <w:t>— Onset of sustained fever</w:t>
      </w:r>
    </w:p>
    <w:p w14:paraId="76EF48B0" w14:textId="1660FB3F" w:rsidR="00322C19" w:rsidRPr="006C449A" w:rsidRDefault="00322C19" w:rsidP="005D0F09">
      <w:pPr>
        <w:autoSpaceDE w:val="0"/>
        <w:autoSpaceDN w:val="0"/>
        <w:adjustRightInd w:val="0"/>
        <w:spacing w:before="60" w:after="60"/>
        <w:rPr>
          <w:rFonts w:cs="Tahoma"/>
          <w:color w:val="000000"/>
          <w:szCs w:val="18"/>
        </w:rPr>
      </w:pPr>
      <w:r w:rsidRPr="006C449A">
        <w:rPr>
          <w:rFonts w:cs="Tahoma"/>
          <w:color w:val="000000"/>
          <w:szCs w:val="18"/>
        </w:rPr>
        <w:t>OR</w:t>
      </w:r>
    </w:p>
    <w:p w14:paraId="6ACF092C" w14:textId="77777777" w:rsidR="005D0F09" w:rsidRPr="006C449A" w:rsidRDefault="005D0F09" w:rsidP="005D0F09">
      <w:pPr>
        <w:autoSpaceDE w:val="0"/>
        <w:autoSpaceDN w:val="0"/>
        <w:adjustRightInd w:val="0"/>
        <w:spacing w:before="60" w:after="60"/>
        <w:rPr>
          <w:rFonts w:cs="Tahoma"/>
          <w:color w:val="000000"/>
          <w:szCs w:val="18"/>
        </w:rPr>
      </w:pPr>
      <w:r w:rsidRPr="006C449A">
        <w:rPr>
          <w:rFonts w:cs="Tahoma"/>
          <w:color w:val="000000"/>
          <w:szCs w:val="18"/>
        </w:rPr>
        <w:t xml:space="preserve">— At least two of the following four: </w:t>
      </w:r>
    </w:p>
    <w:p w14:paraId="239FC61C" w14:textId="0E88CD85" w:rsidR="005D0F09" w:rsidRPr="00A70926" w:rsidRDefault="005D0F09" w:rsidP="000617B1">
      <w:pPr>
        <w:pStyle w:val="ListParagraph"/>
        <w:numPr>
          <w:ilvl w:val="0"/>
          <w:numId w:val="41"/>
        </w:numPr>
        <w:autoSpaceDE w:val="0"/>
        <w:autoSpaceDN w:val="0"/>
        <w:adjustRightInd w:val="0"/>
        <w:spacing w:before="60" w:after="60"/>
        <w:rPr>
          <w:rFonts w:cs="Tahoma"/>
          <w:szCs w:val="18"/>
        </w:rPr>
      </w:pPr>
      <w:proofErr w:type="gramStart"/>
      <w:r w:rsidRPr="00A70926">
        <w:rPr>
          <w:rFonts w:cs="Tahoma"/>
          <w:szCs w:val="18"/>
        </w:rPr>
        <w:t>Headache;</w:t>
      </w:r>
      <w:proofErr w:type="gramEnd"/>
      <w:r w:rsidRPr="00A70926">
        <w:rPr>
          <w:rFonts w:cs="Tahoma"/>
          <w:szCs w:val="18"/>
        </w:rPr>
        <w:t xml:space="preserve"> </w:t>
      </w:r>
    </w:p>
    <w:p w14:paraId="437FF404" w14:textId="77777777" w:rsidR="005D0F09" w:rsidRPr="00A70926" w:rsidRDefault="005D0F09" w:rsidP="000617B1">
      <w:pPr>
        <w:pStyle w:val="ListParagraph"/>
        <w:numPr>
          <w:ilvl w:val="0"/>
          <w:numId w:val="41"/>
        </w:numPr>
        <w:autoSpaceDE w:val="0"/>
        <w:autoSpaceDN w:val="0"/>
        <w:adjustRightInd w:val="0"/>
        <w:spacing w:before="60" w:after="60"/>
        <w:rPr>
          <w:rFonts w:cs="Tahoma"/>
          <w:szCs w:val="18"/>
        </w:rPr>
      </w:pPr>
      <w:r w:rsidRPr="00A70926">
        <w:rPr>
          <w:rFonts w:cs="Tahoma"/>
          <w:szCs w:val="18"/>
        </w:rPr>
        <w:t xml:space="preserve">Relative </w:t>
      </w:r>
      <w:proofErr w:type="gramStart"/>
      <w:r w:rsidRPr="00A70926">
        <w:rPr>
          <w:rFonts w:cs="Tahoma"/>
          <w:szCs w:val="18"/>
        </w:rPr>
        <w:t>bradycardia;</w:t>
      </w:r>
      <w:proofErr w:type="gramEnd"/>
      <w:r w:rsidRPr="00A70926">
        <w:rPr>
          <w:rFonts w:cs="Tahoma"/>
          <w:szCs w:val="18"/>
        </w:rPr>
        <w:t xml:space="preserve"> </w:t>
      </w:r>
    </w:p>
    <w:p w14:paraId="1EC1211C" w14:textId="77777777" w:rsidR="005D0F09" w:rsidRPr="00A70926" w:rsidRDefault="005D0F09" w:rsidP="000617B1">
      <w:pPr>
        <w:pStyle w:val="ListParagraph"/>
        <w:numPr>
          <w:ilvl w:val="0"/>
          <w:numId w:val="41"/>
        </w:numPr>
        <w:autoSpaceDE w:val="0"/>
        <w:autoSpaceDN w:val="0"/>
        <w:adjustRightInd w:val="0"/>
        <w:spacing w:before="60" w:after="60"/>
        <w:rPr>
          <w:rFonts w:cs="Tahoma"/>
          <w:szCs w:val="18"/>
        </w:rPr>
      </w:pPr>
      <w:r w:rsidRPr="00A70926">
        <w:rPr>
          <w:rFonts w:cs="Tahoma"/>
          <w:szCs w:val="18"/>
        </w:rPr>
        <w:t xml:space="preserve">Non-productive </w:t>
      </w:r>
      <w:proofErr w:type="gramStart"/>
      <w:r w:rsidRPr="00A70926">
        <w:rPr>
          <w:rFonts w:cs="Tahoma"/>
          <w:szCs w:val="18"/>
        </w:rPr>
        <w:t>cough;</w:t>
      </w:r>
      <w:proofErr w:type="gramEnd"/>
      <w:r w:rsidRPr="00A70926">
        <w:rPr>
          <w:rFonts w:cs="Tahoma"/>
          <w:szCs w:val="18"/>
        </w:rPr>
        <w:t xml:space="preserve"> </w:t>
      </w:r>
    </w:p>
    <w:p w14:paraId="721FF8F9" w14:textId="77777777" w:rsidR="005D0F09" w:rsidRPr="00A70926" w:rsidRDefault="005D0F09" w:rsidP="000617B1">
      <w:pPr>
        <w:pStyle w:val="ListParagraph"/>
        <w:numPr>
          <w:ilvl w:val="0"/>
          <w:numId w:val="41"/>
        </w:numPr>
        <w:autoSpaceDE w:val="0"/>
        <w:autoSpaceDN w:val="0"/>
        <w:adjustRightInd w:val="0"/>
        <w:spacing w:before="60" w:after="60"/>
        <w:rPr>
          <w:rFonts w:cs="Tahoma"/>
          <w:szCs w:val="18"/>
        </w:rPr>
      </w:pPr>
      <w:r w:rsidRPr="00A70926">
        <w:rPr>
          <w:rFonts w:cs="Tahoma"/>
          <w:szCs w:val="18"/>
        </w:rPr>
        <w:t xml:space="preserve">Diarrhoea, constipation, malaise or abdominal pain. </w:t>
      </w:r>
    </w:p>
    <w:p w14:paraId="310352A1" w14:textId="77777777" w:rsidR="005D0F09" w:rsidRPr="006C449A" w:rsidRDefault="005D0F09" w:rsidP="005D0F09">
      <w:pPr>
        <w:autoSpaceDE w:val="0"/>
        <w:autoSpaceDN w:val="0"/>
        <w:adjustRightInd w:val="0"/>
        <w:spacing w:before="120"/>
        <w:rPr>
          <w:rFonts w:cs="Tahoma"/>
          <w:color w:val="000000"/>
          <w:szCs w:val="18"/>
        </w:rPr>
      </w:pPr>
      <w:r w:rsidRPr="006C449A">
        <w:rPr>
          <w:rFonts w:cs="Tahoma"/>
          <w:b/>
          <w:bCs/>
          <w:color w:val="000000"/>
          <w:szCs w:val="18"/>
        </w:rPr>
        <w:t xml:space="preserve">Laboratory criteria </w:t>
      </w:r>
    </w:p>
    <w:p w14:paraId="4EFD9E5F" w14:textId="4B554DFE" w:rsidR="00322C19" w:rsidRPr="006C449A" w:rsidRDefault="00322C19" w:rsidP="005D0F09">
      <w:pPr>
        <w:autoSpaceDE w:val="0"/>
        <w:autoSpaceDN w:val="0"/>
        <w:adjustRightInd w:val="0"/>
        <w:rPr>
          <w:rFonts w:cs="Tahoma"/>
          <w:color w:val="000000"/>
          <w:szCs w:val="18"/>
        </w:rPr>
      </w:pPr>
      <w:r w:rsidRPr="006C449A">
        <w:rPr>
          <w:rFonts w:cs="Tahoma"/>
          <w:color w:val="000000"/>
          <w:szCs w:val="18"/>
        </w:rPr>
        <w:t>At least one of the following two:</w:t>
      </w:r>
    </w:p>
    <w:p w14:paraId="6785B544" w14:textId="229DDB66" w:rsidR="005D0F09" w:rsidRPr="006C449A" w:rsidRDefault="005D0F09" w:rsidP="005D0F09">
      <w:pPr>
        <w:autoSpaceDE w:val="0"/>
        <w:autoSpaceDN w:val="0"/>
        <w:adjustRightInd w:val="0"/>
        <w:rPr>
          <w:rFonts w:cs="Tahoma"/>
          <w:color w:val="000000"/>
          <w:szCs w:val="18"/>
        </w:rPr>
      </w:pPr>
      <w:r w:rsidRPr="006C449A">
        <w:rPr>
          <w:rFonts w:cs="Tahoma"/>
          <w:color w:val="000000"/>
          <w:szCs w:val="18"/>
        </w:rPr>
        <w:t xml:space="preserve">— Isolation of </w:t>
      </w:r>
      <w:r w:rsidRPr="006C449A">
        <w:rPr>
          <w:rFonts w:cs="Tahoma"/>
          <w:i/>
          <w:iCs/>
          <w:color w:val="000000"/>
          <w:szCs w:val="18"/>
        </w:rPr>
        <w:t xml:space="preserve">Salmonella </w:t>
      </w:r>
      <w:r w:rsidRPr="006C449A">
        <w:rPr>
          <w:rFonts w:cs="Tahoma"/>
          <w:iCs/>
          <w:color w:val="000000"/>
          <w:szCs w:val="18"/>
        </w:rPr>
        <w:t xml:space="preserve">Typhi </w:t>
      </w:r>
      <w:r w:rsidRPr="006C449A">
        <w:rPr>
          <w:rFonts w:cs="Tahoma"/>
          <w:color w:val="000000"/>
          <w:szCs w:val="18"/>
        </w:rPr>
        <w:t xml:space="preserve">or </w:t>
      </w:r>
      <w:proofErr w:type="spellStart"/>
      <w:r w:rsidRPr="006C449A">
        <w:rPr>
          <w:rFonts w:cs="Tahoma"/>
          <w:iCs/>
          <w:color w:val="000000"/>
          <w:szCs w:val="18"/>
        </w:rPr>
        <w:t>Paratyphi</w:t>
      </w:r>
      <w:proofErr w:type="spellEnd"/>
      <w:r w:rsidRPr="006C449A">
        <w:rPr>
          <w:rFonts w:cs="Tahoma"/>
          <w:i/>
          <w:iCs/>
          <w:color w:val="000000"/>
          <w:szCs w:val="18"/>
        </w:rPr>
        <w:t xml:space="preserve"> </w:t>
      </w:r>
      <w:r w:rsidRPr="006C449A">
        <w:rPr>
          <w:rFonts w:cs="Tahoma"/>
          <w:color w:val="000000"/>
          <w:szCs w:val="18"/>
        </w:rPr>
        <w:t xml:space="preserve">from a clinical specimen </w:t>
      </w:r>
    </w:p>
    <w:p w14:paraId="1CF68E88" w14:textId="6141BFAF" w:rsidR="00322C19" w:rsidRPr="006C449A" w:rsidRDefault="00322C19" w:rsidP="005D0F09">
      <w:pPr>
        <w:autoSpaceDE w:val="0"/>
        <w:autoSpaceDN w:val="0"/>
        <w:adjustRightInd w:val="0"/>
        <w:rPr>
          <w:rFonts w:cs="Tahoma"/>
          <w:color w:val="000000"/>
          <w:szCs w:val="18"/>
        </w:rPr>
      </w:pPr>
      <w:r w:rsidRPr="006C449A">
        <w:rPr>
          <w:rFonts w:cs="Tahoma"/>
          <w:color w:val="000000"/>
          <w:szCs w:val="18"/>
        </w:rPr>
        <w:t xml:space="preserve">— Detection of </w:t>
      </w:r>
      <w:r w:rsidRPr="006C449A">
        <w:rPr>
          <w:rFonts w:cs="Tahoma"/>
          <w:i/>
          <w:color w:val="000000"/>
          <w:szCs w:val="18"/>
        </w:rPr>
        <w:t>Salmonella</w:t>
      </w:r>
      <w:r w:rsidRPr="006C449A">
        <w:rPr>
          <w:rFonts w:cs="Tahoma"/>
          <w:color w:val="000000"/>
          <w:szCs w:val="18"/>
        </w:rPr>
        <w:t xml:space="preserve"> Typhi or </w:t>
      </w:r>
      <w:proofErr w:type="spellStart"/>
      <w:r w:rsidRPr="006C449A">
        <w:rPr>
          <w:rFonts w:cs="Tahoma"/>
          <w:color w:val="000000"/>
          <w:szCs w:val="18"/>
        </w:rPr>
        <w:t>Paratyphi</w:t>
      </w:r>
      <w:proofErr w:type="spellEnd"/>
      <w:r w:rsidRPr="006C449A">
        <w:rPr>
          <w:rFonts w:cs="Tahoma"/>
          <w:color w:val="000000"/>
          <w:szCs w:val="18"/>
        </w:rPr>
        <w:t xml:space="preserve"> nucleic acid in a clinical specimen</w:t>
      </w:r>
    </w:p>
    <w:p w14:paraId="0F87D62F" w14:textId="77777777" w:rsidR="005D0F09" w:rsidRPr="006C449A" w:rsidRDefault="005D0F09" w:rsidP="005D0F09">
      <w:pPr>
        <w:autoSpaceDE w:val="0"/>
        <w:autoSpaceDN w:val="0"/>
        <w:adjustRightInd w:val="0"/>
        <w:spacing w:before="120"/>
        <w:rPr>
          <w:rFonts w:cs="Tahoma"/>
          <w:color w:val="000000"/>
          <w:szCs w:val="18"/>
        </w:rPr>
      </w:pPr>
      <w:r w:rsidRPr="006C449A">
        <w:rPr>
          <w:rFonts w:cs="Tahoma"/>
          <w:b/>
          <w:bCs/>
          <w:color w:val="000000"/>
          <w:szCs w:val="18"/>
        </w:rPr>
        <w:t xml:space="preserve">Epidemiological criteria </w:t>
      </w:r>
    </w:p>
    <w:p w14:paraId="693092CD" w14:textId="77777777" w:rsidR="005D0F09" w:rsidRPr="006C449A" w:rsidRDefault="005D0F09" w:rsidP="005D0F09">
      <w:pPr>
        <w:autoSpaceDE w:val="0"/>
        <w:autoSpaceDN w:val="0"/>
        <w:adjustRightInd w:val="0"/>
        <w:spacing w:before="60" w:after="60"/>
        <w:rPr>
          <w:rFonts w:cs="Tahoma"/>
          <w:color w:val="000000"/>
          <w:szCs w:val="18"/>
        </w:rPr>
      </w:pPr>
      <w:r w:rsidRPr="006C449A">
        <w:rPr>
          <w:rFonts w:cs="Tahoma"/>
          <w:color w:val="000000"/>
          <w:szCs w:val="18"/>
        </w:rPr>
        <w:t xml:space="preserve">At least one of the following three epidemiological links: </w:t>
      </w:r>
    </w:p>
    <w:p w14:paraId="077CB87D" w14:textId="77777777" w:rsidR="005D0F09" w:rsidRPr="006C449A" w:rsidRDefault="005D0F09" w:rsidP="005D0F09">
      <w:pPr>
        <w:autoSpaceDE w:val="0"/>
        <w:autoSpaceDN w:val="0"/>
        <w:adjustRightInd w:val="0"/>
        <w:spacing w:before="60" w:after="60"/>
        <w:rPr>
          <w:rFonts w:cs="Tahoma"/>
          <w:color w:val="000000"/>
          <w:szCs w:val="18"/>
        </w:rPr>
      </w:pPr>
      <w:r w:rsidRPr="006C449A">
        <w:rPr>
          <w:rFonts w:cs="Tahoma"/>
          <w:color w:val="000000"/>
          <w:szCs w:val="18"/>
        </w:rPr>
        <w:t xml:space="preserve">— Exposure to a common </w:t>
      </w:r>
      <w:proofErr w:type="gramStart"/>
      <w:r w:rsidRPr="006C449A">
        <w:rPr>
          <w:rFonts w:cs="Tahoma"/>
          <w:color w:val="000000"/>
          <w:szCs w:val="18"/>
        </w:rPr>
        <w:t>source;</w:t>
      </w:r>
      <w:proofErr w:type="gramEnd"/>
      <w:r w:rsidRPr="006C449A">
        <w:rPr>
          <w:rFonts w:cs="Tahoma"/>
          <w:color w:val="000000"/>
          <w:szCs w:val="18"/>
        </w:rPr>
        <w:t xml:space="preserve"> </w:t>
      </w:r>
    </w:p>
    <w:p w14:paraId="56BE4A1B" w14:textId="77777777" w:rsidR="005D0F09" w:rsidRPr="006C449A" w:rsidRDefault="005D0F09" w:rsidP="005D0F09">
      <w:pPr>
        <w:autoSpaceDE w:val="0"/>
        <w:autoSpaceDN w:val="0"/>
        <w:adjustRightInd w:val="0"/>
        <w:spacing w:before="60" w:after="60"/>
        <w:rPr>
          <w:rFonts w:cs="Tahoma"/>
          <w:color w:val="000000"/>
          <w:szCs w:val="18"/>
        </w:rPr>
      </w:pPr>
      <w:r w:rsidRPr="006C449A">
        <w:rPr>
          <w:rFonts w:cs="Tahoma"/>
          <w:color w:val="000000"/>
          <w:szCs w:val="18"/>
        </w:rPr>
        <w:t xml:space="preserve">— Human to human </w:t>
      </w:r>
      <w:proofErr w:type="gramStart"/>
      <w:r w:rsidRPr="006C449A">
        <w:rPr>
          <w:rFonts w:cs="Tahoma"/>
          <w:color w:val="000000"/>
          <w:szCs w:val="18"/>
        </w:rPr>
        <w:t>transmission;</w:t>
      </w:r>
      <w:proofErr w:type="gramEnd"/>
      <w:r w:rsidRPr="006C449A">
        <w:rPr>
          <w:rFonts w:cs="Tahoma"/>
          <w:color w:val="000000"/>
          <w:szCs w:val="18"/>
        </w:rPr>
        <w:t xml:space="preserve"> </w:t>
      </w:r>
    </w:p>
    <w:p w14:paraId="5D2DDE93" w14:textId="77777777" w:rsidR="005D0F09" w:rsidRPr="006C449A" w:rsidRDefault="005D0F09" w:rsidP="005D0F09">
      <w:pPr>
        <w:autoSpaceDE w:val="0"/>
        <w:autoSpaceDN w:val="0"/>
        <w:adjustRightInd w:val="0"/>
        <w:spacing w:before="60" w:after="60"/>
        <w:rPr>
          <w:rFonts w:cs="Tahoma"/>
          <w:color w:val="000000"/>
          <w:szCs w:val="18"/>
        </w:rPr>
      </w:pPr>
      <w:r w:rsidRPr="006C449A">
        <w:rPr>
          <w:rFonts w:cs="Tahoma"/>
          <w:color w:val="000000"/>
          <w:szCs w:val="18"/>
        </w:rPr>
        <w:t xml:space="preserve">— Exposure to contaminated food/drinking water. </w:t>
      </w:r>
    </w:p>
    <w:p w14:paraId="43C09567" w14:textId="77777777" w:rsidR="005D0F09" w:rsidRPr="006C449A" w:rsidRDefault="005D0F09" w:rsidP="005D0F09">
      <w:pPr>
        <w:autoSpaceDE w:val="0"/>
        <w:autoSpaceDN w:val="0"/>
        <w:adjustRightInd w:val="0"/>
        <w:spacing w:before="60" w:after="60"/>
        <w:rPr>
          <w:rFonts w:cs="Tahoma"/>
          <w:b/>
          <w:bCs/>
          <w:color w:val="000000"/>
          <w:szCs w:val="18"/>
        </w:rPr>
      </w:pPr>
    </w:p>
    <w:p w14:paraId="4E306EC1" w14:textId="77777777" w:rsidR="005D0F09" w:rsidRPr="006C449A" w:rsidRDefault="005D0F09" w:rsidP="005D0F09">
      <w:pPr>
        <w:autoSpaceDE w:val="0"/>
        <w:autoSpaceDN w:val="0"/>
        <w:adjustRightInd w:val="0"/>
        <w:spacing w:before="60" w:after="60"/>
        <w:rPr>
          <w:rFonts w:cs="Tahoma"/>
          <w:color w:val="000000"/>
          <w:szCs w:val="18"/>
        </w:rPr>
      </w:pPr>
      <w:r w:rsidRPr="006C449A">
        <w:rPr>
          <w:rFonts w:cs="Tahoma"/>
          <w:b/>
          <w:bCs/>
          <w:color w:val="000000"/>
          <w:szCs w:val="18"/>
        </w:rPr>
        <w:t xml:space="preserve">Case classification </w:t>
      </w:r>
    </w:p>
    <w:p w14:paraId="7D4668B8" w14:textId="64E74DF8" w:rsidR="00322C19" w:rsidRPr="006C449A" w:rsidRDefault="00322C19" w:rsidP="005D0F09">
      <w:pPr>
        <w:autoSpaceDE w:val="0"/>
        <w:autoSpaceDN w:val="0"/>
        <w:adjustRightInd w:val="0"/>
        <w:spacing w:before="60" w:after="60"/>
        <w:rPr>
          <w:rFonts w:cs="Tahoma"/>
          <w:color w:val="000000"/>
          <w:szCs w:val="18"/>
        </w:rPr>
      </w:pPr>
      <w:r w:rsidRPr="006C449A">
        <w:rPr>
          <w:rFonts w:cs="Tahoma"/>
          <w:color w:val="000000"/>
          <w:szCs w:val="18"/>
        </w:rPr>
        <w:t>A. Possible case: NA</w:t>
      </w:r>
    </w:p>
    <w:p w14:paraId="3315AFE4" w14:textId="4C0B8BEE" w:rsidR="005D0F09" w:rsidRPr="006C449A" w:rsidRDefault="00322C19" w:rsidP="005D0F09">
      <w:pPr>
        <w:autoSpaceDE w:val="0"/>
        <w:autoSpaceDN w:val="0"/>
        <w:adjustRightInd w:val="0"/>
        <w:spacing w:before="60" w:after="60"/>
        <w:rPr>
          <w:rFonts w:cs="Tahoma"/>
          <w:color w:val="000000"/>
          <w:szCs w:val="18"/>
        </w:rPr>
      </w:pPr>
      <w:r w:rsidRPr="006C449A">
        <w:rPr>
          <w:rFonts w:cs="Tahoma"/>
          <w:color w:val="000000"/>
          <w:szCs w:val="18"/>
        </w:rPr>
        <w:t>B</w:t>
      </w:r>
      <w:r w:rsidR="005D0F09" w:rsidRPr="006C449A">
        <w:rPr>
          <w:rFonts w:cs="Tahoma"/>
          <w:color w:val="000000"/>
          <w:szCs w:val="18"/>
        </w:rPr>
        <w:t xml:space="preserve">. </w:t>
      </w:r>
      <w:r w:rsidR="005D0F09" w:rsidRPr="006C449A">
        <w:rPr>
          <w:rFonts w:cs="Tahoma"/>
          <w:bCs/>
          <w:color w:val="000000"/>
          <w:szCs w:val="18"/>
        </w:rPr>
        <w:t xml:space="preserve">Probable case: </w:t>
      </w:r>
      <w:r w:rsidR="005D0F09" w:rsidRPr="006C449A">
        <w:rPr>
          <w:rFonts w:cs="Tahoma"/>
          <w:color w:val="000000"/>
          <w:szCs w:val="18"/>
        </w:rPr>
        <w:t>a</w:t>
      </w:r>
      <w:r w:rsidRPr="006C449A">
        <w:rPr>
          <w:rFonts w:cs="Tahoma"/>
          <w:color w:val="000000"/>
          <w:szCs w:val="18"/>
        </w:rPr>
        <w:t>ny</w:t>
      </w:r>
      <w:r w:rsidR="005D0F09" w:rsidRPr="006C449A">
        <w:rPr>
          <w:rFonts w:cs="Tahoma"/>
          <w:color w:val="000000"/>
          <w:szCs w:val="18"/>
        </w:rPr>
        <w:t xml:space="preserve"> person meeting the clinical criteria with an epidemiological link </w:t>
      </w:r>
    </w:p>
    <w:p w14:paraId="62098622" w14:textId="1CA2A7A5" w:rsidR="005D0F09" w:rsidRPr="006C449A" w:rsidRDefault="00322C19" w:rsidP="005D0F09">
      <w:pPr>
        <w:autoSpaceDE w:val="0"/>
        <w:autoSpaceDN w:val="0"/>
        <w:adjustRightInd w:val="0"/>
        <w:spacing w:before="60" w:after="60"/>
        <w:rPr>
          <w:rFonts w:cs="Tahoma"/>
          <w:color w:val="000000"/>
          <w:szCs w:val="18"/>
        </w:rPr>
      </w:pPr>
      <w:r w:rsidRPr="006C449A">
        <w:rPr>
          <w:rFonts w:cs="Tahoma"/>
          <w:color w:val="000000"/>
          <w:szCs w:val="18"/>
        </w:rPr>
        <w:t>C</w:t>
      </w:r>
      <w:r w:rsidR="005D0F09" w:rsidRPr="006C449A">
        <w:rPr>
          <w:rFonts w:cs="Tahoma"/>
          <w:color w:val="000000"/>
          <w:szCs w:val="18"/>
        </w:rPr>
        <w:t xml:space="preserve">. </w:t>
      </w:r>
      <w:r w:rsidR="005D0F09" w:rsidRPr="006C449A">
        <w:rPr>
          <w:rFonts w:cs="Tahoma"/>
          <w:bCs/>
          <w:color w:val="000000"/>
          <w:szCs w:val="18"/>
        </w:rPr>
        <w:t xml:space="preserve">Confirmed case: </w:t>
      </w:r>
      <w:r w:rsidR="005D0F09" w:rsidRPr="006C449A">
        <w:rPr>
          <w:rFonts w:cs="Tahoma"/>
          <w:color w:val="000000"/>
          <w:szCs w:val="18"/>
        </w:rPr>
        <w:t>a</w:t>
      </w:r>
      <w:r w:rsidRPr="006C449A">
        <w:rPr>
          <w:rFonts w:cs="Tahoma"/>
          <w:color w:val="000000"/>
          <w:szCs w:val="18"/>
        </w:rPr>
        <w:t>ny</w:t>
      </w:r>
      <w:r w:rsidR="005D0F09" w:rsidRPr="006C449A">
        <w:rPr>
          <w:rFonts w:cs="Tahoma"/>
          <w:color w:val="000000"/>
          <w:szCs w:val="18"/>
        </w:rPr>
        <w:t xml:space="preserve"> person meeting the clinical and the laboratory criteria</w:t>
      </w:r>
    </w:p>
    <w:p w14:paraId="01DC0807" w14:textId="77777777" w:rsidR="00177F7F" w:rsidRPr="006C449A" w:rsidRDefault="00177F7F" w:rsidP="005D0F09">
      <w:pPr>
        <w:kinsoku w:val="0"/>
        <w:autoSpaceDE w:val="0"/>
        <w:autoSpaceDN w:val="0"/>
        <w:adjustRightInd w:val="0"/>
        <w:jc w:val="both"/>
        <w:rPr>
          <w:rFonts w:eastAsia="Arial Unicode MS"/>
          <w:i/>
          <w:kern w:val="22"/>
          <w:szCs w:val="18"/>
        </w:rPr>
      </w:pPr>
    </w:p>
    <w:p w14:paraId="226BAB0F" w14:textId="5B80FF1B" w:rsidR="005D0F09" w:rsidRDefault="00322C19" w:rsidP="005D0F09">
      <w:pPr>
        <w:kinsoku w:val="0"/>
        <w:autoSpaceDE w:val="0"/>
        <w:autoSpaceDN w:val="0"/>
        <w:adjustRightInd w:val="0"/>
        <w:jc w:val="both"/>
        <w:rPr>
          <w:rFonts w:eastAsia="Arial Unicode MS"/>
          <w:kern w:val="22"/>
          <w:szCs w:val="18"/>
        </w:rPr>
      </w:pPr>
      <w:r w:rsidRPr="006C449A">
        <w:rPr>
          <w:rFonts w:eastAsia="Arial Unicode MS"/>
          <w:kern w:val="22"/>
          <w:szCs w:val="18"/>
        </w:rPr>
        <w:t>Note: If the national surveillance system</w:t>
      </w:r>
      <w:r w:rsidRPr="00322C19">
        <w:rPr>
          <w:rFonts w:eastAsia="Arial Unicode MS"/>
          <w:kern w:val="22"/>
          <w:szCs w:val="18"/>
        </w:rPr>
        <w:t xml:space="preserve"> is not capturing clinical symptoms, all laboratory-confirmed individuals should be reported as confirmed cases.</w:t>
      </w:r>
    </w:p>
    <w:p w14:paraId="1B5A099D" w14:textId="12AFF998" w:rsidR="00177F7F" w:rsidRDefault="00177F7F" w:rsidP="00177F7F">
      <w:pPr>
        <w:pStyle w:val="EC-Para"/>
        <w:spacing w:after="0" w:line="240" w:lineRule="auto"/>
        <w:jc w:val="both"/>
        <w:rPr>
          <w:lang w:eastAsia="en-US"/>
        </w:rPr>
      </w:pPr>
    </w:p>
    <w:p w14:paraId="040704FA" w14:textId="1F178239" w:rsidR="006C449A" w:rsidRDefault="006C449A" w:rsidP="00177F7F">
      <w:pPr>
        <w:pStyle w:val="EC-Para"/>
        <w:spacing w:after="0" w:line="240" w:lineRule="auto"/>
        <w:jc w:val="both"/>
        <w:rPr>
          <w:lang w:eastAsia="en-US"/>
        </w:rPr>
      </w:pPr>
      <w:r>
        <w:rPr>
          <w:lang w:eastAsia="en-US"/>
        </w:rPr>
        <w:t>--------------------------</w:t>
      </w:r>
    </w:p>
    <w:p w14:paraId="292CC9AF" w14:textId="74A9019E" w:rsidR="00177F7F" w:rsidRPr="00B960F7" w:rsidRDefault="00177F7F" w:rsidP="00177F7F">
      <w:pPr>
        <w:pStyle w:val="EC-Para"/>
        <w:spacing w:after="0" w:line="240" w:lineRule="auto"/>
        <w:jc w:val="both"/>
        <w:rPr>
          <w:lang w:eastAsia="en-US"/>
        </w:rPr>
      </w:pPr>
      <w:r>
        <w:rPr>
          <w:lang w:eastAsia="en-US"/>
        </w:rPr>
        <w:lastRenderedPageBreak/>
        <w:t>(Inclusion of genotypic tests for laboratory confirmation and t</w:t>
      </w:r>
      <w:r w:rsidRPr="00B960F7">
        <w:rPr>
          <w:lang w:eastAsia="en-US"/>
        </w:rPr>
        <w:t xml:space="preserve">he </w:t>
      </w:r>
      <w:r>
        <w:rPr>
          <w:lang w:eastAsia="en-US"/>
        </w:rPr>
        <w:t>note are the difference</w:t>
      </w:r>
      <w:r w:rsidR="006C449A">
        <w:rPr>
          <w:lang w:eastAsia="en-US"/>
        </w:rPr>
        <w:t>s</w:t>
      </w:r>
      <w:r>
        <w:rPr>
          <w:lang w:eastAsia="en-US"/>
        </w:rPr>
        <w:t xml:space="preserve"> between the 2018</w:t>
      </w:r>
      <w:r w:rsidRPr="00B960F7">
        <w:rPr>
          <w:lang w:eastAsia="en-US"/>
        </w:rPr>
        <w:t xml:space="preserve"> EU cas</w:t>
      </w:r>
      <w:r>
        <w:rPr>
          <w:lang w:eastAsia="en-US"/>
        </w:rPr>
        <w:t xml:space="preserve">e definition of </w:t>
      </w:r>
      <w:r w:rsidR="006C449A">
        <w:rPr>
          <w:lang w:eastAsia="en-US"/>
        </w:rPr>
        <w:t>typhoid and paratyphoid fevers</w:t>
      </w:r>
      <w:r>
        <w:rPr>
          <w:lang w:eastAsia="en-US"/>
        </w:rPr>
        <w:t xml:space="preserve"> and the</w:t>
      </w:r>
      <w:r w:rsidRPr="00B960F7">
        <w:rPr>
          <w:lang w:eastAsia="en-US"/>
        </w:rPr>
        <w:t xml:space="preserve"> </w:t>
      </w:r>
      <w:r>
        <w:rPr>
          <w:lang w:eastAsia="en-US"/>
        </w:rPr>
        <w:t xml:space="preserve">2012 and </w:t>
      </w:r>
      <w:r w:rsidRPr="00B960F7">
        <w:rPr>
          <w:lang w:eastAsia="en-US"/>
        </w:rPr>
        <w:t xml:space="preserve">2008 </w:t>
      </w:r>
      <w:r>
        <w:rPr>
          <w:lang w:eastAsia="en-US"/>
        </w:rPr>
        <w:t>EU case definitions.)</w:t>
      </w:r>
    </w:p>
    <w:p w14:paraId="7EC7A292" w14:textId="77777777" w:rsidR="00177F7F" w:rsidRDefault="00177F7F" w:rsidP="005D0F09">
      <w:pPr>
        <w:kinsoku w:val="0"/>
        <w:autoSpaceDE w:val="0"/>
        <w:autoSpaceDN w:val="0"/>
        <w:adjustRightInd w:val="0"/>
        <w:jc w:val="both"/>
        <w:rPr>
          <w:rFonts w:eastAsia="Arial Unicode MS"/>
          <w:kern w:val="22"/>
          <w:szCs w:val="18"/>
        </w:rPr>
      </w:pPr>
    </w:p>
    <w:p w14:paraId="178E16B9" w14:textId="77777777" w:rsidR="005D0F09" w:rsidRPr="00C779AF" w:rsidRDefault="005D0F09" w:rsidP="00310D5F">
      <w:pPr>
        <w:pStyle w:val="EC-Title-6"/>
      </w:pPr>
      <w:r>
        <w:t xml:space="preserve">Data collection and analysis </w:t>
      </w:r>
    </w:p>
    <w:p w14:paraId="4A0A11F5" w14:textId="09DFC238" w:rsidR="005D0F09" w:rsidRPr="007B34B1" w:rsidRDefault="003D572C" w:rsidP="006F51BD">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EU/EEA countries. </w:t>
      </w:r>
      <w:r w:rsidR="005D0F09" w:rsidRPr="00E94BBA">
        <w:rPr>
          <w:rFonts w:cs="Tahoma"/>
        </w:rPr>
        <w:t>For the calculation of notification rates, country population</w:t>
      </w:r>
      <w:r w:rsidR="005D0F09" w:rsidRPr="00E94BBA">
        <w:t xml:space="preserve"> denominators by age group were obtained from Eurostat</w:t>
      </w:r>
      <w:r w:rsidR="005D0F09" w:rsidRPr="00E94BBA">
        <w:rPr>
          <w:vertAlign w:val="superscript"/>
        </w:rPr>
        <w:footnoteReference w:id="28"/>
      </w:r>
      <w:r w:rsidR="005D0F09" w:rsidRPr="00E94BBA">
        <w:t xml:space="preserve"> and adjusted according to the percent coverage of the surveillance system generating reports, where this information was available.</w:t>
      </w:r>
      <w:r w:rsidR="005D0F09" w:rsidRPr="00E94BBA">
        <w:rPr>
          <w:rFonts w:cstheme="minorHAnsi"/>
        </w:rPr>
        <w:t xml:space="preserve"> Note that the data published in the Surveillance Atlas might differ from figures in national reports and in official ECDC and EFSA reports due to different dates of reporting, inclusion of cases reflecting different case definitions and the use of different denominators.</w:t>
      </w:r>
    </w:p>
    <w:p w14:paraId="7F5FCA34" w14:textId="77777777" w:rsidR="005D0F09" w:rsidRPr="007B34B1" w:rsidRDefault="005D0F09" w:rsidP="005D0F09">
      <w:pPr>
        <w:kinsoku w:val="0"/>
        <w:autoSpaceDE w:val="0"/>
        <w:autoSpaceDN w:val="0"/>
        <w:adjustRightInd w:val="0"/>
        <w:spacing w:after="120" w:line="200" w:lineRule="atLeast"/>
        <w:jc w:val="both"/>
        <w:rPr>
          <w:rFonts w:eastAsia="Arial Unicode MS"/>
          <w:kern w:val="22"/>
          <w:szCs w:val="18"/>
        </w:rPr>
      </w:pPr>
      <w:r>
        <w:rPr>
          <w:rFonts w:eastAsia="Arial Unicode MS"/>
          <w:kern w:val="22"/>
          <w:szCs w:val="18"/>
        </w:rPr>
        <w:t>When</w:t>
      </w:r>
      <w:r w:rsidRPr="007B34B1">
        <w:rPr>
          <w:rFonts w:eastAsia="Arial Unicode MS"/>
          <w:kern w:val="22"/>
          <w:szCs w:val="18"/>
        </w:rPr>
        <w:t xml:space="preserve"> information for a collected variable was unknown for more than 50% </w:t>
      </w:r>
      <w:r>
        <w:rPr>
          <w:rFonts w:eastAsia="Arial Unicode MS"/>
          <w:kern w:val="22"/>
          <w:szCs w:val="18"/>
        </w:rPr>
        <w:t xml:space="preserve">of cases </w:t>
      </w:r>
      <w:proofErr w:type="gramStart"/>
      <w:r>
        <w:rPr>
          <w:rFonts w:eastAsia="Arial Unicode MS"/>
          <w:kern w:val="22"/>
          <w:szCs w:val="18"/>
        </w:rPr>
        <w:t>in a given</w:t>
      </w:r>
      <w:proofErr w:type="gramEnd"/>
      <w:r>
        <w:rPr>
          <w:rFonts w:eastAsia="Arial Unicode MS"/>
          <w:kern w:val="22"/>
          <w:szCs w:val="18"/>
        </w:rPr>
        <w:t xml:space="preserve"> </w:t>
      </w:r>
      <w:r w:rsidRPr="007B34B1">
        <w:rPr>
          <w:rFonts w:eastAsia="Arial Unicode MS"/>
          <w:kern w:val="22"/>
          <w:szCs w:val="18"/>
        </w:rPr>
        <w:t>geographical region and time period, the corresponding indicator was not calculated and is displayed as “-”</w:t>
      </w:r>
      <w:r>
        <w:rPr>
          <w:rFonts w:eastAsia="Arial Unicode MS"/>
          <w:kern w:val="22"/>
          <w:szCs w:val="18"/>
        </w:rPr>
        <w:t xml:space="preserve"> in the Surveillance Atlas Table</w:t>
      </w:r>
      <w:r w:rsidRPr="007B34B1">
        <w:rPr>
          <w:rFonts w:eastAsia="Arial Unicode MS"/>
          <w:kern w:val="22"/>
          <w:szCs w:val="18"/>
        </w:rPr>
        <w:t xml:space="preserve">. </w:t>
      </w:r>
      <w:r w:rsidRPr="00C51AE7">
        <w:rPr>
          <w:rFonts w:eastAsia="Arial Unicode MS" w:cstheme="minorHAnsi"/>
          <w:kern w:val="22"/>
          <w:szCs w:val="18"/>
        </w:rPr>
        <w:t xml:space="preserve">The </w:t>
      </w:r>
      <w:r>
        <w:rPr>
          <w:rFonts w:eastAsia="Arial Unicode MS" w:cstheme="minorHAnsi"/>
          <w:kern w:val="22"/>
          <w:szCs w:val="18"/>
        </w:rPr>
        <w:t>exceptions to this rule</w:t>
      </w:r>
      <w:r w:rsidRPr="00C51AE7">
        <w:rPr>
          <w:rFonts w:eastAsia="Arial Unicode MS" w:cstheme="minorHAnsi"/>
          <w:kern w:val="22"/>
          <w:szCs w:val="18"/>
        </w:rPr>
        <w:t xml:space="preserve"> are the age-standardised rate and the notification rate for domestic cases, which were calculated when </w:t>
      </w:r>
      <w:r>
        <w:rPr>
          <w:rFonts w:eastAsia="Arial Unicode MS" w:cstheme="minorHAnsi"/>
          <w:kern w:val="22"/>
          <w:szCs w:val="18"/>
        </w:rPr>
        <w:t xml:space="preserve">the completeness </w:t>
      </w:r>
      <w:r w:rsidRPr="00C51AE7">
        <w:rPr>
          <w:rFonts w:eastAsia="Arial Unicode MS" w:cstheme="minorHAnsi"/>
          <w:kern w:val="22"/>
          <w:szCs w:val="18"/>
        </w:rPr>
        <w:t xml:space="preserve">the age resp. </w:t>
      </w:r>
      <w:r>
        <w:rPr>
          <w:rFonts w:eastAsia="Arial Unicode MS" w:cstheme="minorHAnsi"/>
          <w:kern w:val="22"/>
          <w:szCs w:val="18"/>
        </w:rPr>
        <w:t>travel</w:t>
      </w:r>
      <w:r w:rsidRPr="00C51AE7">
        <w:rPr>
          <w:rFonts w:eastAsia="Arial Unicode MS" w:cstheme="minorHAnsi"/>
          <w:kern w:val="22"/>
          <w:szCs w:val="18"/>
        </w:rPr>
        <w:t xml:space="preserve"> information was </w:t>
      </w:r>
      <w:r>
        <w:rPr>
          <w:rFonts w:eastAsia="Arial Unicode MS" w:cstheme="minorHAnsi"/>
          <w:kern w:val="22"/>
          <w:szCs w:val="18"/>
        </w:rPr>
        <w:t>at least 90%</w:t>
      </w:r>
      <w:r w:rsidRPr="00C51AE7">
        <w:rPr>
          <w:rFonts w:eastAsia="Arial Unicode MS" w:cstheme="minorHAnsi"/>
          <w:kern w:val="22"/>
          <w:szCs w:val="18"/>
        </w:rPr>
        <w:t xml:space="preserve">. </w:t>
      </w:r>
      <w:r w:rsidRPr="007B34B1">
        <w:rPr>
          <w:rFonts w:eastAsia="Arial Unicode MS"/>
          <w:kern w:val="22"/>
          <w:szCs w:val="18"/>
        </w:rPr>
        <w:t xml:space="preserve"> </w:t>
      </w:r>
    </w:p>
    <w:p w14:paraId="18DD23CE" w14:textId="77777777" w:rsidR="005D0F09" w:rsidRDefault="005D0F09" w:rsidP="005D0F09">
      <w:pPr>
        <w:kinsoku w:val="0"/>
        <w:autoSpaceDE w:val="0"/>
        <w:autoSpaceDN w:val="0"/>
        <w:adjustRightInd w:val="0"/>
        <w:spacing w:after="120" w:line="200" w:lineRule="atLeast"/>
        <w:jc w:val="both"/>
        <w:rPr>
          <w:rFonts w:eastAsia="Arial Unicode MS" w:cs="Tahoma"/>
          <w:kern w:val="22"/>
          <w:szCs w:val="18"/>
        </w:rPr>
      </w:pPr>
      <w:r w:rsidRPr="007B34B1">
        <w:rPr>
          <w:rFonts w:eastAsia="Arial Unicode MS" w:cs="Tahoma"/>
          <w:kern w:val="22"/>
          <w:szCs w:val="18"/>
        </w:rPr>
        <w:t>Surveillance systems across the EU/EEA countries are heterogeneous</w:t>
      </w:r>
      <w:r>
        <w:rPr>
          <w:rFonts w:eastAsia="Arial Unicode MS" w:cs="Tahoma"/>
          <w:kern w:val="22"/>
          <w:szCs w:val="18"/>
        </w:rPr>
        <w:t xml:space="preserve"> and an overview is displayed in Annex 1</w:t>
      </w:r>
      <w:r w:rsidRPr="007B34B1">
        <w:rPr>
          <w:rFonts w:eastAsia="Arial Unicode MS" w:cs="Tahoma"/>
          <w:kern w:val="22"/>
          <w:szCs w:val="18"/>
        </w:rPr>
        <w:t>.</w:t>
      </w:r>
    </w:p>
    <w:p w14:paraId="03F02967" w14:textId="77777777" w:rsidR="00133F1D" w:rsidRPr="007B34B1" w:rsidRDefault="00133F1D" w:rsidP="005D0F09">
      <w:pPr>
        <w:kinsoku w:val="0"/>
        <w:autoSpaceDE w:val="0"/>
        <w:autoSpaceDN w:val="0"/>
        <w:adjustRightInd w:val="0"/>
        <w:spacing w:after="120" w:line="200" w:lineRule="atLeast"/>
        <w:jc w:val="both"/>
        <w:rPr>
          <w:rFonts w:eastAsia="Arial Unicode MS" w:cs="Tahoma"/>
          <w:kern w:val="22"/>
          <w:szCs w:val="18"/>
        </w:rPr>
      </w:pPr>
    </w:p>
    <w:p w14:paraId="76B35380" w14:textId="77777777" w:rsidR="005D0F09" w:rsidRDefault="005D0F09" w:rsidP="00310D5F">
      <w:pPr>
        <w:pStyle w:val="EC-Title-6"/>
      </w:pPr>
      <w:r w:rsidRPr="002705CF">
        <w:t>Surveillance Atlas indicators</w:t>
      </w:r>
    </w:p>
    <w:p w14:paraId="3DD16DF8" w14:textId="25E26557" w:rsidR="005D0F09" w:rsidRPr="007B34B1" w:rsidRDefault="005D0F09" w:rsidP="005D0F09">
      <w:pPr>
        <w:kinsoku w:val="0"/>
        <w:autoSpaceDE w:val="0"/>
        <w:autoSpaceDN w:val="0"/>
        <w:adjustRightInd w:val="0"/>
        <w:spacing w:after="120" w:line="200" w:lineRule="atLeast"/>
        <w:rPr>
          <w:rFonts w:eastAsia="Arial Unicode MS" w:cs="Tahoma"/>
          <w:kern w:val="22"/>
          <w:szCs w:val="18"/>
        </w:rPr>
      </w:pPr>
      <w:r w:rsidRPr="007B34B1">
        <w:rPr>
          <w:rFonts w:eastAsia="Arial Unicode MS" w:cs="Tahoma"/>
          <w:kern w:val="22"/>
          <w:szCs w:val="18"/>
        </w:rPr>
        <w:t>The Sur</w:t>
      </w:r>
      <w:r>
        <w:rPr>
          <w:rFonts w:eastAsia="Arial Unicode MS" w:cs="Tahoma"/>
          <w:kern w:val="22"/>
          <w:szCs w:val="18"/>
        </w:rPr>
        <w:t xml:space="preserve">veillance Atlas indicators for </w:t>
      </w:r>
      <w:r w:rsidR="00E41C62">
        <w:rPr>
          <w:rFonts w:eastAsia="Arial Unicode MS" w:cs="Tahoma"/>
          <w:kern w:val="22"/>
          <w:szCs w:val="18"/>
        </w:rPr>
        <w:t xml:space="preserve">confirmed </w:t>
      </w:r>
      <w:r w:rsidR="00786095" w:rsidRPr="00786095">
        <w:rPr>
          <w:rFonts w:eastAsia="Arial Unicode MS" w:cs="Tahoma"/>
          <w:kern w:val="22"/>
          <w:szCs w:val="18"/>
        </w:rPr>
        <w:t xml:space="preserve">non-typhoidal salmonellosis </w:t>
      </w:r>
      <w:r w:rsidR="00E41C62">
        <w:rPr>
          <w:rFonts w:eastAsia="Arial Unicode MS" w:cs="Tahoma"/>
          <w:kern w:val="22"/>
          <w:szCs w:val="18"/>
        </w:rPr>
        <w:t>cases</w:t>
      </w:r>
      <w:r w:rsidRPr="007B34B1">
        <w:rPr>
          <w:rFonts w:eastAsia="Arial Unicode MS" w:cs="Tahoma"/>
          <w:kern w:val="22"/>
          <w:szCs w:val="18"/>
        </w:rPr>
        <w:t xml:space="preserve"> are:</w:t>
      </w:r>
    </w:p>
    <w:p w14:paraId="5F3196F9" w14:textId="77777777" w:rsidR="005D0F09" w:rsidRPr="007B34B1" w:rsidRDefault="005D0F09" w:rsidP="000617B1">
      <w:pPr>
        <w:numPr>
          <w:ilvl w:val="0"/>
          <w:numId w:val="43"/>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0C79BFC1" w14:textId="77777777" w:rsidR="005D0F09" w:rsidRPr="007B34B1" w:rsidRDefault="005D0F09" w:rsidP="000617B1">
      <w:pPr>
        <w:numPr>
          <w:ilvl w:val="0"/>
          <w:numId w:val="43"/>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35BDF4CE" w14:textId="77777777" w:rsidR="005D0F09" w:rsidRPr="007B34B1" w:rsidRDefault="005D0F09" w:rsidP="000617B1">
      <w:pPr>
        <w:numPr>
          <w:ilvl w:val="0"/>
          <w:numId w:val="43"/>
        </w:numPr>
        <w:kinsoku w:val="0"/>
        <w:autoSpaceDE w:val="0"/>
        <w:autoSpaceDN w:val="0"/>
        <w:adjustRightInd w:val="0"/>
        <w:spacing w:before="60" w:afterLines="60" w:after="144"/>
        <w:rPr>
          <w:rFonts w:eastAsia="Arial Unicode MS" w:cs="Tahoma"/>
          <w:kern w:val="22"/>
          <w:szCs w:val="18"/>
        </w:rPr>
      </w:pPr>
      <w:r>
        <w:rPr>
          <w:rFonts w:eastAsia="Arial Unicode MS" w:cs="Tahoma"/>
          <w:kern w:val="22"/>
          <w:szCs w:val="18"/>
        </w:rPr>
        <w:t>Age-</w:t>
      </w:r>
      <w:r w:rsidRPr="007B34B1">
        <w:rPr>
          <w:rFonts w:eastAsia="Arial Unicode MS" w:cs="Tahoma"/>
          <w:kern w:val="22"/>
          <w:szCs w:val="18"/>
        </w:rPr>
        <w:t xml:space="preserve">standardised rate per 100 000 </w:t>
      </w:r>
      <w:proofErr w:type="gramStart"/>
      <w:r w:rsidRPr="007B34B1">
        <w:rPr>
          <w:rFonts w:eastAsia="Arial Unicode MS" w:cs="Tahoma"/>
          <w:kern w:val="22"/>
          <w:szCs w:val="18"/>
        </w:rPr>
        <w:t>population;</w:t>
      </w:r>
      <w:proofErr w:type="gramEnd"/>
    </w:p>
    <w:p w14:paraId="53654453" w14:textId="77777777" w:rsidR="005D0F09" w:rsidRPr="007B34B1" w:rsidRDefault="005D0F09" w:rsidP="000617B1">
      <w:pPr>
        <w:numPr>
          <w:ilvl w:val="0"/>
          <w:numId w:val="43"/>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6EFAF48C" w14:textId="77777777" w:rsidR="005D0F09" w:rsidRPr="007B34B1" w:rsidRDefault="005D0F09" w:rsidP="000617B1">
      <w:pPr>
        <w:numPr>
          <w:ilvl w:val="0"/>
          <w:numId w:val="43"/>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cases (%</w:t>
      </w:r>
      <w:proofErr w:type="gramStart"/>
      <w:r w:rsidRPr="007B34B1">
        <w:rPr>
          <w:rFonts w:eastAsia="Arial Unicode MS" w:cs="Tahoma"/>
          <w:kern w:val="22"/>
          <w:szCs w:val="18"/>
        </w:rPr>
        <w:t>);</w:t>
      </w:r>
      <w:proofErr w:type="gramEnd"/>
    </w:p>
    <w:p w14:paraId="2C849B3E" w14:textId="77777777" w:rsidR="005D0F09" w:rsidRPr="007B34B1" w:rsidRDefault="005D0F09" w:rsidP="000617B1">
      <w:pPr>
        <w:numPr>
          <w:ilvl w:val="0"/>
          <w:numId w:val="43"/>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 xml:space="preserve">Number of deaths derived from reporting of outcome of the </w:t>
      </w:r>
      <w:proofErr w:type="gramStart"/>
      <w:r w:rsidRPr="007B34B1">
        <w:rPr>
          <w:rFonts w:eastAsia="Arial Unicode MS" w:cs="Tahoma"/>
          <w:kern w:val="22"/>
          <w:szCs w:val="18"/>
        </w:rPr>
        <w:t>disease;</w:t>
      </w:r>
      <w:proofErr w:type="gramEnd"/>
    </w:p>
    <w:p w14:paraId="76446114" w14:textId="77777777" w:rsidR="005D0F09" w:rsidRPr="007B34B1" w:rsidRDefault="005D0F09" w:rsidP="000617B1">
      <w:pPr>
        <w:numPr>
          <w:ilvl w:val="0"/>
          <w:numId w:val="43"/>
        </w:numPr>
        <w:kinsoku w:val="0"/>
        <w:autoSpaceDE w:val="0"/>
        <w:autoSpaceDN w:val="0"/>
        <w:adjustRightInd w:val="0"/>
        <w:spacing w:before="60" w:afterLines="60" w:after="144"/>
        <w:rPr>
          <w:rFonts w:eastAsia="Arial Unicode MS" w:cs="Tahoma"/>
          <w:kern w:val="22"/>
          <w:szCs w:val="18"/>
        </w:rPr>
      </w:pPr>
      <w:r>
        <w:rPr>
          <w:rFonts w:eastAsia="Arial Unicode MS" w:cs="Tahoma"/>
          <w:kern w:val="22"/>
          <w:szCs w:val="18"/>
        </w:rPr>
        <w:t xml:space="preserve">Case-fatality calculated as proportion of deaths among cases with known information on outcome of the disease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384D2803" w14:textId="77777777" w:rsidR="005D0F09" w:rsidRPr="007B34B1" w:rsidRDefault="005D0F09" w:rsidP="000617B1">
      <w:pPr>
        <w:numPr>
          <w:ilvl w:val="0"/>
          <w:numId w:val="43"/>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0304DCBA" w14:textId="77777777" w:rsidR="005D0F09" w:rsidRPr="007B34B1" w:rsidRDefault="005D0F09" w:rsidP="000617B1">
      <w:pPr>
        <w:numPr>
          <w:ilvl w:val="0"/>
          <w:numId w:val="43"/>
        </w:numPr>
        <w:kinsoku w:val="0"/>
        <w:autoSpaceDE w:val="0"/>
        <w:autoSpaceDN w:val="0"/>
        <w:adjustRightInd w:val="0"/>
        <w:spacing w:before="60" w:afterLines="60" w:after="144"/>
        <w:rPr>
          <w:rFonts w:eastAsia="Arial Unicode MS" w:cs="Tahoma"/>
          <w:kern w:val="22"/>
          <w:szCs w:val="18"/>
        </w:rPr>
      </w:pPr>
      <w:r>
        <w:rPr>
          <w:rFonts w:eastAsia="Arial Unicode MS" w:cs="Tahoma"/>
          <w:kern w:val="22"/>
          <w:szCs w:val="18"/>
        </w:rPr>
        <w:t>Proportion of travel associated</w:t>
      </w:r>
      <w:r w:rsidRPr="007B34B1">
        <w:rPr>
          <w:rFonts w:eastAsia="Arial Unicode MS" w:cs="Tahoma"/>
          <w:kern w:val="22"/>
          <w:szCs w:val="18"/>
        </w:rPr>
        <w:t xml:space="preserve"> cases </w:t>
      </w:r>
      <w:r>
        <w:rPr>
          <w:rFonts w:eastAsia="Arial Unicode MS" w:cs="Tahoma"/>
          <w:kern w:val="22"/>
          <w:szCs w:val="18"/>
        </w:rPr>
        <w:t>among confirmed cases (%</w:t>
      </w:r>
      <w:proofErr w:type="gramStart"/>
      <w:r>
        <w:rPr>
          <w:rFonts w:eastAsia="Arial Unicode MS" w:cs="Tahoma"/>
          <w:kern w:val="22"/>
          <w:szCs w:val="18"/>
        </w:rPr>
        <w:t>)</w:t>
      </w:r>
      <w:r w:rsidRPr="007B34B1">
        <w:rPr>
          <w:rFonts w:eastAsia="Arial Unicode MS" w:cs="Tahoma"/>
          <w:kern w:val="22"/>
          <w:szCs w:val="18"/>
        </w:rPr>
        <w:t>;</w:t>
      </w:r>
      <w:proofErr w:type="gramEnd"/>
    </w:p>
    <w:p w14:paraId="6C9472AE" w14:textId="77777777" w:rsidR="005D0F09" w:rsidRPr="007B34B1" w:rsidRDefault="005D0F09" w:rsidP="00133F1D">
      <w:pPr>
        <w:kinsoku w:val="0"/>
        <w:autoSpaceDE w:val="0"/>
        <w:autoSpaceDN w:val="0"/>
        <w:adjustRightInd w:val="0"/>
        <w:spacing w:before="60" w:afterLines="60" w:after="144"/>
        <w:ind w:left="720"/>
        <w:rPr>
          <w:rFonts w:eastAsia="Arial Unicode MS" w:cs="Tahoma"/>
          <w:kern w:val="22"/>
          <w:szCs w:val="18"/>
        </w:rPr>
      </w:pPr>
    </w:p>
    <w:p w14:paraId="16007660" w14:textId="37A1F772" w:rsidR="005D0F09" w:rsidRPr="00786095" w:rsidRDefault="00786095" w:rsidP="000617B1">
      <w:pPr>
        <w:pStyle w:val="ListParagraph"/>
        <w:numPr>
          <w:ilvl w:val="0"/>
          <w:numId w:val="42"/>
        </w:numPr>
        <w:kinsoku w:val="0"/>
        <w:autoSpaceDE w:val="0"/>
        <w:autoSpaceDN w:val="0"/>
        <w:adjustRightInd w:val="0"/>
        <w:spacing w:before="60" w:afterLines="60" w:after="144"/>
        <w:rPr>
          <w:rFonts w:eastAsia="Arial Unicode MS" w:cs="Tahoma"/>
          <w:kern w:val="22"/>
          <w:szCs w:val="18"/>
        </w:rPr>
      </w:pPr>
      <w:r w:rsidRPr="00786095">
        <w:rPr>
          <w:rFonts w:eastAsia="Arial Unicode MS" w:cs="Tahoma"/>
          <w:kern w:val="22"/>
          <w:szCs w:val="18"/>
          <w:u w:val="single"/>
        </w:rPr>
        <w:t xml:space="preserve">Indicators </w:t>
      </w:r>
      <w:r w:rsidR="005D0F09" w:rsidRPr="00786095">
        <w:rPr>
          <w:rFonts w:eastAsia="Arial Unicode MS" w:cs="Tahoma"/>
          <w:kern w:val="22"/>
          <w:szCs w:val="18"/>
          <w:u w:val="single"/>
        </w:rPr>
        <w:t xml:space="preserve">for confirmed cases of </w:t>
      </w:r>
      <w:r w:rsidR="005D0F09" w:rsidRPr="00786095">
        <w:rPr>
          <w:rFonts w:eastAsia="Arial Unicode MS" w:cs="Tahoma"/>
          <w:i/>
          <w:kern w:val="22"/>
          <w:szCs w:val="18"/>
          <w:u w:val="single"/>
        </w:rPr>
        <w:t>Salmonella</w:t>
      </w:r>
      <w:r w:rsidR="005D0F09" w:rsidRPr="00786095">
        <w:rPr>
          <w:rFonts w:eastAsia="Arial Unicode MS" w:cs="Tahoma"/>
          <w:kern w:val="22"/>
          <w:szCs w:val="18"/>
          <w:u w:val="single"/>
        </w:rPr>
        <w:t xml:space="preserve"> Enteritidis, </w:t>
      </w:r>
      <w:r w:rsidR="005D0F09" w:rsidRPr="00786095">
        <w:rPr>
          <w:rFonts w:eastAsia="Arial Unicode MS" w:cs="Tahoma"/>
          <w:i/>
          <w:kern w:val="22"/>
          <w:szCs w:val="18"/>
          <w:u w:val="single"/>
        </w:rPr>
        <w:t>Salmonella</w:t>
      </w:r>
      <w:r w:rsidR="005D0F09" w:rsidRPr="00786095">
        <w:rPr>
          <w:rFonts w:eastAsia="Arial Unicode MS" w:cs="Tahoma"/>
          <w:kern w:val="22"/>
          <w:szCs w:val="18"/>
          <w:u w:val="single"/>
        </w:rPr>
        <w:t xml:space="preserve"> Typhimurium and typhoid and paratyphoid fever</w:t>
      </w:r>
      <w:r w:rsidRPr="00786095">
        <w:rPr>
          <w:rFonts w:eastAsia="Arial Unicode MS" w:cs="Tahoma"/>
          <w:kern w:val="22"/>
          <w:szCs w:val="18"/>
          <w:u w:val="single"/>
        </w:rPr>
        <w:t xml:space="preserve"> cases are</w:t>
      </w:r>
      <w:r w:rsidR="005D0F09" w:rsidRPr="00786095">
        <w:rPr>
          <w:rFonts w:eastAsia="Arial Unicode MS" w:cs="Tahoma"/>
          <w:kern w:val="22"/>
          <w:szCs w:val="18"/>
        </w:rPr>
        <w:t>:</w:t>
      </w:r>
    </w:p>
    <w:p w14:paraId="227BDDAD" w14:textId="77777777" w:rsidR="005D0F09" w:rsidRPr="007B34B1" w:rsidRDefault="005D0F09" w:rsidP="000617B1">
      <w:pPr>
        <w:numPr>
          <w:ilvl w:val="0"/>
          <w:numId w:val="5"/>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04F4080C" w14:textId="77777777" w:rsidR="005D0F09" w:rsidRPr="007B34B1" w:rsidRDefault="005D0F09" w:rsidP="000617B1">
      <w:pPr>
        <w:numPr>
          <w:ilvl w:val="0"/>
          <w:numId w:val="5"/>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20E571CE" w14:textId="77777777" w:rsidR="005D0F09" w:rsidRPr="007B34B1" w:rsidRDefault="005D0F09" w:rsidP="000617B1">
      <w:pPr>
        <w:numPr>
          <w:ilvl w:val="0"/>
          <w:numId w:val="5"/>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w:t>
      </w:r>
      <w:r w:rsidRPr="007B34B1">
        <w:rPr>
          <w:rFonts w:eastAsia="Arial Unicode MS" w:cs="Tahoma"/>
          <w:kern w:val="22"/>
          <w:szCs w:val="18"/>
        </w:rPr>
        <w:t xml:space="preserve">standardised rate per 100 000 </w:t>
      </w:r>
      <w:proofErr w:type="gramStart"/>
      <w:r w:rsidRPr="007B34B1">
        <w:rPr>
          <w:rFonts w:eastAsia="Arial Unicode MS" w:cs="Tahoma"/>
          <w:kern w:val="22"/>
          <w:szCs w:val="18"/>
        </w:rPr>
        <w:t>population;</w:t>
      </w:r>
      <w:proofErr w:type="gramEnd"/>
    </w:p>
    <w:p w14:paraId="1D4B9D37" w14:textId="3918C484" w:rsidR="00E643F1" w:rsidRDefault="005D0F09" w:rsidP="000617B1">
      <w:pPr>
        <w:numPr>
          <w:ilvl w:val="0"/>
          <w:numId w:val="5"/>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 xml:space="preserve">Proportion of </w:t>
      </w:r>
      <w:r>
        <w:rPr>
          <w:rFonts w:eastAsia="Arial Unicode MS" w:cs="Tahoma"/>
          <w:kern w:val="22"/>
          <w:szCs w:val="18"/>
        </w:rPr>
        <w:t>travel-associated</w:t>
      </w:r>
      <w:r w:rsidRPr="007B34B1">
        <w:rPr>
          <w:rFonts w:eastAsia="Arial Unicode MS" w:cs="Tahoma"/>
          <w:kern w:val="22"/>
          <w:szCs w:val="18"/>
        </w:rPr>
        <w:t xml:space="preserve"> cases </w:t>
      </w:r>
      <w:r>
        <w:rPr>
          <w:rFonts w:eastAsia="Arial Unicode MS" w:cs="Tahoma"/>
          <w:kern w:val="22"/>
          <w:szCs w:val="18"/>
        </w:rPr>
        <w:t>among</w:t>
      </w:r>
      <w:r w:rsidRPr="007B34B1">
        <w:rPr>
          <w:rFonts w:eastAsia="Arial Unicode MS" w:cs="Tahoma"/>
          <w:kern w:val="22"/>
          <w:szCs w:val="18"/>
        </w:rPr>
        <w:t xml:space="preserve"> all reported </w:t>
      </w:r>
      <w:r>
        <w:rPr>
          <w:rFonts w:eastAsia="Arial Unicode MS" w:cs="Tahoma"/>
          <w:kern w:val="22"/>
          <w:szCs w:val="18"/>
        </w:rPr>
        <w:t xml:space="preserve">confirmed </w:t>
      </w:r>
      <w:r w:rsidRPr="007B34B1">
        <w:rPr>
          <w:rFonts w:eastAsia="Arial Unicode MS" w:cs="Tahoma"/>
          <w:kern w:val="22"/>
          <w:szCs w:val="18"/>
        </w:rPr>
        <w:t>cases</w:t>
      </w:r>
      <w:r>
        <w:rPr>
          <w:rFonts w:eastAsia="Arial Unicode MS" w:cs="Tahoma"/>
          <w:kern w:val="22"/>
          <w:szCs w:val="18"/>
        </w:rPr>
        <w:t xml:space="preserve"> (%)</w:t>
      </w:r>
      <w:r w:rsidRPr="007B34B1">
        <w:rPr>
          <w:rFonts w:eastAsia="Arial Unicode MS" w:cs="Tahoma"/>
          <w:kern w:val="22"/>
          <w:szCs w:val="18"/>
        </w:rPr>
        <w:t>.</w:t>
      </w:r>
    </w:p>
    <w:p w14:paraId="0637C16B" w14:textId="66D0B040" w:rsidR="00E643F1" w:rsidRDefault="00E643F1">
      <w:pPr>
        <w:rPr>
          <w:rFonts w:eastAsia="Arial Unicode MS" w:cs="Tahoma"/>
          <w:kern w:val="22"/>
          <w:szCs w:val="18"/>
        </w:rPr>
      </w:pPr>
    </w:p>
    <w:p w14:paraId="07CF1DC0" w14:textId="1F45A2DC" w:rsidR="005D0F09" w:rsidRPr="00442092" w:rsidRDefault="008B6376" w:rsidP="000617B1">
      <w:pPr>
        <w:pStyle w:val="ListParagraph"/>
        <w:numPr>
          <w:ilvl w:val="0"/>
          <w:numId w:val="42"/>
        </w:numPr>
        <w:kinsoku w:val="0"/>
        <w:autoSpaceDE w:val="0"/>
        <w:autoSpaceDN w:val="0"/>
        <w:adjustRightInd w:val="0"/>
        <w:spacing w:before="60" w:after="60"/>
        <w:rPr>
          <w:rFonts w:eastAsia="Arial Unicode MS" w:cs="Tahoma"/>
          <w:kern w:val="22"/>
          <w:szCs w:val="18"/>
        </w:rPr>
      </w:pPr>
      <w:r w:rsidRPr="00442092">
        <w:rPr>
          <w:rFonts w:eastAsia="Arial Unicode MS" w:cs="Tahoma"/>
          <w:kern w:val="22"/>
          <w:szCs w:val="18"/>
          <w:u w:val="single"/>
        </w:rPr>
        <w:t xml:space="preserve">Indicators </w:t>
      </w:r>
      <w:r w:rsidR="005D0F09" w:rsidRPr="00442092">
        <w:rPr>
          <w:rFonts w:eastAsia="Arial Unicode MS" w:cs="Tahoma"/>
          <w:kern w:val="22"/>
          <w:szCs w:val="18"/>
          <w:u w:val="single"/>
        </w:rPr>
        <w:t xml:space="preserve">for cases of a selected </w:t>
      </w:r>
      <w:r w:rsidR="005D0F09" w:rsidRPr="00442092">
        <w:rPr>
          <w:rFonts w:eastAsia="Arial Unicode MS" w:cs="Tahoma"/>
          <w:i/>
          <w:kern w:val="22"/>
          <w:szCs w:val="18"/>
          <w:u w:val="single"/>
        </w:rPr>
        <w:t>Salmonella</w:t>
      </w:r>
      <w:r w:rsidR="005D0F09" w:rsidRPr="00442092">
        <w:rPr>
          <w:rFonts w:eastAsia="Arial Unicode MS" w:cs="Tahoma"/>
          <w:kern w:val="22"/>
          <w:szCs w:val="18"/>
          <w:u w:val="single"/>
        </w:rPr>
        <w:t xml:space="preserve"> serotype</w:t>
      </w:r>
      <w:r w:rsidRPr="00442092">
        <w:rPr>
          <w:rFonts w:eastAsia="Arial Unicode MS" w:cs="Tahoma"/>
          <w:kern w:val="22"/>
          <w:szCs w:val="18"/>
          <w:u w:val="single"/>
        </w:rPr>
        <w:t>s are</w:t>
      </w:r>
      <w:r w:rsidR="005D0F09" w:rsidRPr="00442092">
        <w:rPr>
          <w:rFonts w:eastAsia="Arial Unicode MS" w:cs="Tahoma"/>
          <w:kern w:val="22"/>
          <w:szCs w:val="18"/>
        </w:rPr>
        <w:t>:</w:t>
      </w:r>
    </w:p>
    <w:p w14:paraId="5095E08C" w14:textId="77777777" w:rsidR="005D0F09" w:rsidRPr="007B34B1" w:rsidRDefault="005D0F09" w:rsidP="000617B1">
      <w:pPr>
        <w:numPr>
          <w:ilvl w:val="0"/>
          <w:numId w:val="38"/>
        </w:numPr>
        <w:kinsoku w:val="0"/>
        <w:autoSpaceDE w:val="0"/>
        <w:autoSpaceDN w:val="0"/>
        <w:adjustRightInd w:val="0"/>
        <w:spacing w:before="60" w:after="60"/>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20D44A94" w14:textId="77777777" w:rsidR="005D0F09" w:rsidRDefault="005D0F09" w:rsidP="000617B1">
      <w:pPr>
        <w:numPr>
          <w:ilvl w:val="0"/>
          <w:numId w:val="38"/>
        </w:numPr>
        <w:kinsoku w:val="0"/>
        <w:autoSpaceDE w:val="0"/>
        <w:autoSpaceDN w:val="0"/>
        <w:adjustRightInd w:val="0"/>
        <w:spacing w:before="60" w:after="60"/>
        <w:rPr>
          <w:rFonts w:eastAsia="Arial Unicode MS" w:cs="Tahoma"/>
          <w:kern w:val="22"/>
          <w:szCs w:val="18"/>
        </w:rPr>
      </w:pPr>
      <w:r w:rsidRPr="007B34B1">
        <w:rPr>
          <w:rFonts w:eastAsia="Arial Unicode MS" w:cs="Tahoma"/>
          <w:kern w:val="22"/>
          <w:szCs w:val="18"/>
        </w:rPr>
        <w:t>Notificat</w:t>
      </w:r>
      <w:r>
        <w:rPr>
          <w:rFonts w:eastAsia="Arial Unicode MS" w:cs="Tahoma"/>
          <w:kern w:val="22"/>
          <w:szCs w:val="18"/>
        </w:rPr>
        <w:t xml:space="preserve">ion rate per 100 000 </w:t>
      </w:r>
      <w:proofErr w:type="gramStart"/>
      <w:r>
        <w:rPr>
          <w:rFonts w:eastAsia="Arial Unicode MS" w:cs="Tahoma"/>
          <w:kern w:val="22"/>
          <w:szCs w:val="18"/>
        </w:rPr>
        <w:t>population;</w:t>
      </w:r>
      <w:proofErr w:type="gramEnd"/>
    </w:p>
    <w:p w14:paraId="0B3DE2F1" w14:textId="77777777" w:rsidR="005D0F09" w:rsidRPr="007B34B1" w:rsidRDefault="005D0F09" w:rsidP="000617B1">
      <w:pPr>
        <w:numPr>
          <w:ilvl w:val="0"/>
          <w:numId w:val="38"/>
        </w:numPr>
        <w:kinsoku w:val="0"/>
        <w:autoSpaceDE w:val="0"/>
        <w:autoSpaceDN w:val="0"/>
        <w:adjustRightInd w:val="0"/>
        <w:spacing w:before="60" w:after="60"/>
        <w:rPr>
          <w:rFonts w:eastAsia="Arial Unicode MS" w:cs="Tahoma"/>
          <w:kern w:val="22"/>
          <w:szCs w:val="18"/>
        </w:rPr>
      </w:pPr>
      <w:r w:rsidRPr="007B34B1">
        <w:rPr>
          <w:rFonts w:eastAsia="Arial Unicode MS" w:cs="Tahoma"/>
          <w:kern w:val="22"/>
          <w:szCs w:val="18"/>
        </w:rPr>
        <w:t>Number of deaths</w:t>
      </w:r>
      <w:r>
        <w:rPr>
          <w:rFonts w:eastAsia="Arial Unicode MS" w:cs="Tahoma"/>
          <w:kern w:val="22"/>
          <w:szCs w:val="18"/>
        </w:rPr>
        <w:t>.</w:t>
      </w:r>
    </w:p>
    <w:p w14:paraId="161D0196" w14:textId="77777777" w:rsidR="005D0F09" w:rsidRPr="007B34B1" w:rsidRDefault="005D0F09" w:rsidP="00E643F1">
      <w:pPr>
        <w:kinsoku w:val="0"/>
        <w:autoSpaceDE w:val="0"/>
        <w:autoSpaceDN w:val="0"/>
        <w:adjustRightInd w:val="0"/>
        <w:spacing w:before="60" w:after="60"/>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71D28366" w14:textId="77777777" w:rsidR="005D0F09" w:rsidRPr="007B34B1" w:rsidRDefault="005D0F09" w:rsidP="00E643F1">
      <w:pPr>
        <w:numPr>
          <w:ilvl w:val="0"/>
          <w:numId w:val="1"/>
        </w:numPr>
        <w:kinsoku w:val="0"/>
        <w:autoSpaceDE w:val="0"/>
        <w:autoSpaceDN w:val="0"/>
        <w:adjustRightInd w:val="0"/>
        <w:spacing w:before="60" w:after="60"/>
        <w:rPr>
          <w:rFonts w:eastAsia="Arial Unicode MS" w:cs="Tahoma"/>
          <w:kern w:val="22"/>
          <w:szCs w:val="18"/>
        </w:rPr>
      </w:pPr>
      <w:r w:rsidRPr="007B34B1">
        <w:rPr>
          <w:rFonts w:eastAsia="Arial Unicode MS" w:cs="Tahoma"/>
          <w:kern w:val="22"/>
          <w:szCs w:val="18"/>
        </w:rPr>
        <w:lastRenderedPageBreak/>
        <w:t>age groups (0-4, 5-14, 15-24, 25-44, 45-64, 65 years and above</w:t>
      </w:r>
      <w:proofErr w:type="gramStart"/>
      <w:r w:rsidRPr="007B34B1">
        <w:rPr>
          <w:rFonts w:eastAsia="Arial Unicode MS" w:cs="Tahoma"/>
          <w:kern w:val="22"/>
          <w:szCs w:val="18"/>
        </w:rPr>
        <w:t>);</w:t>
      </w:r>
      <w:proofErr w:type="gramEnd"/>
    </w:p>
    <w:p w14:paraId="3407CAD4" w14:textId="77777777" w:rsidR="005D0F09" w:rsidRPr="007B34B1" w:rsidRDefault="005D0F09" w:rsidP="00E643F1">
      <w:pPr>
        <w:numPr>
          <w:ilvl w:val="0"/>
          <w:numId w:val="1"/>
        </w:numPr>
        <w:kinsoku w:val="0"/>
        <w:autoSpaceDE w:val="0"/>
        <w:autoSpaceDN w:val="0"/>
        <w:adjustRightInd w:val="0"/>
        <w:spacing w:before="60" w:after="60"/>
        <w:rPr>
          <w:rFonts w:eastAsia="Arial Unicode MS" w:cs="Tahoma"/>
          <w:kern w:val="22"/>
          <w:szCs w:val="18"/>
        </w:rPr>
      </w:pPr>
      <w:proofErr w:type="gramStart"/>
      <w:r w:rsidRPr="007B34B1">
        <w:rPr>
          <w:rFonts w:eastAsia="Arial Unicode MS" w:cs="Tahoma"/>
          <w:kern w:val="22"/>
          <w:szCs w:val="18"/>
        </w:rPr>
        <w:t>gender;</w:t>
      </w:r>
      <w:proofErr w:type="gramEnd"/>
    </w:p>
    <w:p w14:paraId="29FCFAB6" w14:textId="77777777" w:rsidR="005D0F09" w:rsidRDefault="005D0F09" w:rsidP="00E643F1">
      <w:pPr>
        <w:kinsoku w:val="0"/>
        <w:autoSpaceDE w:val="0"/>
        <w:autoSpaceDN w:val="0"/>
        <w:adjustRightInd w:val="0"/>
        <w:spacing w:before="60" w:after="60"/>
        <w:rPr>
          <w:rFonts w:eastAsia="Arial Unicode MS" w:cs="Tahoma"/>
          <w:kern w:val="22"/>
          <w:szCs w:val="18"/>
        </w:rPr>
      </w:pPr>
    </w:p>
    <w:p w14:paraId="692AEDD5" w14:textId="77777777" w:rsidR="005D0F09" w:rsidRDefault="005D0F09" w:rsidP="00E643F1">
      <w:pPr>
        <w:kinsoku w:val="0"/>
        <w:autoSpaceDE w:val="0"/>
        <w:autoSpaceDN w:val="0"/>
        <w:adjustRightInd w:val="0"/>
        <w:spacing w:before="60" w:after="60"/>
        <w:rPr>
          <w:rFonts w:eastAsia="Arial Unicode MS" w:cs="Tahoma"/>
          <w:kern w:val="22"/>
          <w:szCs w:val="18"/>
        </w:rPr>
      </w:pPr>
      <w:r>
        <w:rPr>
          <w:rFonts w:eastAsia="Arial Unicode MS" w:cs="Tahoma"/>
          <w:kern w:val="22"/>
          <w:szCs w:val="18"/>
        </w:rPr>
        <w:t xml:space="preserve">In addition, the data may be displayed in the bar or pie chart as follows: </w:t>
      </w:r>
    </w:p>
    <w:p w14:paraId="2EF2FCCA" w14:textId="77777777" w:rsidR="005D0F09" w:rsidRDefault="005D0F09" w:rsidP="000617B1">
      <w:pPr>
        <w:pStyle w:val="ListParagraph"/>
        <w:numPr>
          <w:ilvl w:val="0"/>
          <w:numId w:val="6"/>
        </w:numPr>
        <w:kinsoku w:val="0"/>
        <w:autoSpaceDE w:val="0"/>
        <w:autoSpaceDN w:val="0"/>
        <w:adjustRightInd w:val="0"/>
        <w:spacing w:before="60" w:after="60"/>
        <w:rPr>
          <w:rFonts w:eastAsia="Arial Unicode MS" w:cs="Tahoma"/>
          <w:kern w:val="22"/>
          <w:szCs w:val="18"/>
          <w:lang w:eastAsia="ko-KR"/>
        </w:rPr>
      </w:pPr>
      <w:r>
        <w:rPr>
          <w:rFonts w:eastAsia="Arial Unicode MS" w:cs="Tahoma"/>
          <w:kern w:val="22"/>
          <w:szCs w:val="18"/>
          <w:lang w:eastAsia="ko-KR"/>
        </w:rPr>
        <w:t>f</w:t>
      </w:r>
      <w:r w:rsidRPr="00060A03">
        <w:rPr>
          <w:rFonts w:eastAsia="Arial Unicode MS" w:cs="Tahoma"/>
          <w:kern w:val="22"/>
          <w:szCs w:val="18"/>
          <w:lang w:eastAsia="ko-KR"/>
        </w:rPr>
        <w:t xml:space="preserve">or </w:t>
      </w:r>
      <w:r w:rsidRPr="00060A03">
        <w:rPr>
          <w:rFonts w:eastAsia="Arial Unicode MS" w:cs="Tahoma"/>
          <w:kern w:val="22"/>
          <w:szCs w:val="18"/>
          <w:u w:val="single"/>
          <w:lang w:eastAsia="ko-KR"/>
        </w:rPr>
        <w:t>salmonellosis confirmed cases</w:t>
      </w:r>
      <w:r>
        <w:rPr>
          <w:rFonts w:eastAsia="Arial Unicode MS" w:cs="Tahoma"/>
          <w:kern w:val="22"/>
          <w:szCs w:val="18"/>
          <w:lang w:eastAsia="ko-KR"/>
        </w:rPr>
        <w:t xml:space="preserve"> by:</w:t>
      </w:r>
    </w:p>
    <w:p w14:paraId="3AD8A740" w14:textId="77777777" w:rsidR="005D0F09" w:rsidRDefault="005D0F09" w:rsidP="000617B1">
      <w:pPr>
        <w:pStyle w:val="ListParagraph"/>
        <w:numPr>
          <w:ilvl w:val="0"/>
          <w:numId w:val="7"/>
        </w:numPr>
        <w:kinsoku w:val="0"/>
        <w:autoSpaceDE w:val="0"/>
        <w:autoSpaceDN w:val="0"/>
        <w:adjustRightInd w:val="0"/>
        <w:spacing w:before="60" w:after="60"/>
        <w:rPr>
          <w:rFonts w:eastAsia="Arial Unicode MS" w:cs="Tahoma"/>
          <w:kern w:val="22"/>
          <w:szCs w:val="18"/>
          <w:lang w:eastAsia="ko-KR"/>
        </w:rPr>
      </w:pPr>
      <w:r w:rsidRPr="00060A03">
        <w:rPr>
          <w:rFonts w:eastAsia="Arial Unicode MS" w:cs="Tahoma"/>
          <w:kern w:val="22"/>
          <w:szCs w:val="18"/>
          <w:lang w:eastAsia="ko-KR"/>
        </w:rPr>
        <w:t xml:space="preserve"> </w:t>
      </w:r>
      <w:r>
        <w:rPr>
          <w:rFonts w:eastAsia="Arial Unicode MS" w:cs="Tahoma"/>
          <w:kern w:val="22"/>
          <w:szCs w:val="18"/>
          <w:lang w:eastAsia="ko-KR"/>
        </w:rPr>
        <w:t xml:space="preserve">most frequent </w:t>
      </w:r>
      <w:proofErr w:type="gramStart"/>
      <w:r>
        <w:rPr>
          <w:rFonts w:eastAsia="Arial Unicode MS" w:cs="Tahoma"/>
          <w:kern w:val="22"/>
          <w:szCs w:val="18"/>
          <w:lang w:eastAsia="ko-KR"/>
        </w:rPr>
        <w:t>serotypes;</w:t>
      </w:r>
      <w:proofErr w:type="gramEnd"/>
    </w:p>
    <w:p w14:paraId="2495223C" w14:textId="77777777" w:rsidR="005D0F09" w:rsidRPr="00060A03" w:rsidRDefault="005D0F09" w:rsidP="000617B1">
      <w:pPr>
        <w:pStyle w:val="ListParagraph"/>
        <w:numPr>
          <w:ilvl w:val="0"/>
          <w:numId w:val="6"/>
        </w:numPr>
        <w:kinsoku w:val="0"/>
        <w:autoSpaceDE w:val="0"/>
        <w:autoSpaceDN w:val="0"/>
        <w:adjustRightInd w:val="0"/>
        <w:spacing w:before="60" w:after="60"/>
        <w:rPr>
          <w:rFonts w:eastAsia="Arial Unicode MS" w:cs="Tahoma"/>
          <w:kern w:val="22"/>
          <w:szCs w:val="18"/>
          <w:lang w:eastAsia="ko-KR"/>
        </w:rPr>
      </w:pPr>
      <w:r>
        <w:rPr>
          <w:rFonts w:eastAsia="Arial Unicode MS" w:cs="Tahoma"/>
          <w:kern w:val="22"/>
          <w:szCs w:val="18"/>
          <w:lang w:eastAsia="ko-KR"/>
        </w:rPr>
        <w:t>f</w:t>
      </w:r>
      <w:r w:rsidRPr="00060A03">
        <w:rPr>
          <w:rFonts w:eastAsia="Arial Unicode MS" w:cs="Tahoma"/>
          <w:kern w:val="22"/>
          <w:szCs w:val="18"/>
          <w:lang w:eastAsia="ko-KR"/>
        </w:rPr>
        <w:t xml:space="preserve">or </w:t>
      </w:r>
      <w:r w:rsidRPr="00060A03">
        <w:rPr>
          <w:rFonts w:eastAsia="Arial Unicode MS" w:cs="Tahoma"/>
          <w:i/>
          <w:kern w:val="22"/>
          <w:szCs w:val="18"/>
          <w:u w:val="single"/>
          <w:lang w:eastAsia="ko-KR"/>
        </w:rPr>
        <w:t>Salmonella</w:t>
      </w:r>
      <w:r w:rsidRPr="00060A03">
        <w:rPr>
          <w:rFonts w:eastAsia="Arial Unicode MS" w:cs="Tahoma"/>
          <w:kern w:val="22"/>
          <w:szCs w:val="18"/>
          <w:u w:val="single"/>
          <w:lang w:eastAsia="ko-KR"/>
        </w:rPr>
        <w:t xml:space="preserve"> Enteritidis and </w:t>
      </w:r>
      <w:r w:rsidRPr="00060A03">
        <w:rPr>
          <w:rFonts w:eastAsia="Arial Unicode MS" w:cs="Tahoma"/>
          <w:i/>
          <w:kern w:val="22"/>
          <w:szCs w:val="18"/>
          <w:u w:val="single"/>
          <w:lang w:eastAsia="ko-KR"/>
        </w:rPr>
        <w:t>Salmonella</w:t>
      </w:r>
      <w:r w:rsidRPr="00060A03">
        <w:rPr>
          <w:rFonts w:eastAsia="Arial Unicode MS" w:cs="Tahoma"/>
          <w:kern w:val="22"/>
          <w:szCs w:val="18"/>
          <w:u w:val="single"/>
          <w:lang w:eastAsia="ko-KR"/>
        </w:rPr>
        <w:t xml:space="preserve"> Typhimurium confirmed cases</w:t>
      </w:r>
      <w:r>
        <w:rPr>
          <w:rFonts w:eastAsia="Arial Unicode MS" w:cs="Tahoma"/>
          <w:kern w:val="22"/>
          <w:szCs w:val="18"/>
          <w:lang w:eastAsia="ko-KR"/>
        </w:rPr>
        <w:t xml:space="preserve"> by</w:t>
      </w:r>
      <w:r>
        <w:rPr>
          <w:rFonts w:eastAsia="Arial Unicode MS" w:cs="Tahoma"/>
          <w:kern w:val="22"/>
          <w:szCs w:val="18"/>
          <w:u w:val="single"/>
          <w:lang w:eastAsia="ko-KR"/>
        </w:rPr>
        <w:t>:</w:t>
      </w:r>
    </w:p>
    <w:p w14:paraId="084F256D" w14:textId="77777777" w:rsidR="005D0F09" w:rsidRPr="007B34B1" w:rsidRDefault="005D0F09" w:rsidP="000617B1">
      <w:pPr>
        <w:pStyle w:val="ListParagraph"/>
        <w:numPr>
          <w:ilvl w:val="0"/>
          <w:numId w:val="6"/>
        </w:numPr>
        <w:kinsoku w:val="0"/>
        <w:autoSpaceDE w:val="0"/>
        <w:autoSpaceDN w:val="0"/>
        <w:adjustRightInd w:val="0"/>
        <w:spacing w:before="60" w:after="60"/>
        <w:ind w:left="1080"/>
        <w:rPr>
          <w:rFonts w:eastAsia="Arial Unicode MS" w:cs="Tahoma"/>
          <w:kern w:val="22"/>
          <w:szCs w:val="18"/>
          <w:lang w:eastAsia="ko-KR"/>
        </w:rPr>
      </w:pPr>
      <w:proofErr w:type="spellStart"/>
      <w:proofErr w:type="gramStart"/>
      <w:r>
        <w:rPr>
          <w:rFonts w:eastAsia="Arial Unicode MS" w:cs="Tahoma"/>
          <w:kern w:val="22"/>
          <w:szCs w:val="18"/>
          <w:lang w:eastAsia="ko-KR"/>
        </w:rPr>
        <w:t>phagetype</w:t>
      </w:r>
      <w:proofErr w:type="spellEnd"/>
      <w:r>
        <w:rPr>
          <w:rFonts w:eastAsia="Arial Unicode MS" w:cs="Tahoma"/>
          <w:kern w:val="22"/>
          <w:szCs w:val="18"/>
          <w:lang w:eastAsia="ko-KR"/>
        </w:rPr>
        <w:t>;</w:t>
      </w:r>
      <w:proofErr w:type="gramEnd"/>
    </w:p>
    <w:p w14:paraId="5F5B80F7" w14:textId="77777777" w:rsidR="005D0F09" w:rsidRDefault="005D0F09" w:rsidP="00E643F1">
      <w:pPr>
        <w:numPr>
          <w:ilvl w:val="0"/>
          <w:numId w:val="1"/>
        </w:numPr>
        <w:kinsoku w:val="0"/>
        <w:autoSpaceDE w:val="0"/>
        <w:autoSpaceDN w:val="0"/>
        <w:adjustRightInd w:val="0"/>
        <w:spacing w:before="60" w:after="60"/>
        <w:ind w:left="1080"/>
        <w:rPr>
          <w:rFonts w:eastAsia="Arial Unicode MS" w:cs="Tahoma"/>
          <w:kern w:val="22"/>
          <w:szCs w:val="18"/>
        </w:rPr>
      </w:pPr>
      <w:r>
        <w:rPr>
          <w:rFonts w:eastAsia="Arial Unicode MS" w:cs="Tahoma"/>
          <w:kern w:val="22"/>
          <w:szCs w:val="18"/>
        </w:rPr>
        <w:t xml:space="preserve">travel-associated </w:t>
      </w:r>
      <w:proofErr w:type="gramStart"/>
      <w:r>
        <w:rPr>
          <w:rFonts w:eastAsia="Arial Unicode MS" w:cs="Tahoma"/>
          <w:kern w:val="22"/>
          <w:szCs w:val="18"/>
        </w:rPr>
        <w:t>cases</w:t>
      </w:r>
      <w:r w:rsidRPr="007B34B1">
        <w:rPr>
          <w:rFonts w:eastAsia="Arial Unicode MS" w:cs="Tahoma"/>
          <w:kern w:val="22"/>
          <w:szCs w:val="18"/>
        </w:rPr>
        <w:t>;</w:t>
      </w:r>
      <w:proofErr w:type="gramEnd"/>
    </w:p>
    <w:p w14:paraId="546F70AD" w14:textId="77777777" w:rsidR="005D0F09" w:rsidRPr="00060A03" w:rsidRDefault="005D0F09" w:rsidP="00E643F1">
      <w:pPr>
        <w:numPr>
          <w:ilvl w:val="0"/>
          <w:numId w:val="1"/>
        </w:numPr>
        <w:kinsoku w:val="0"/>
        <w:autoSpaceDE w:val="0"/>
        <w:autoSpaceDN w:val="0"/>
        <w:adjustRightInd w:val="0"/>
        <w:spacing w:before="60" w:after="60"/>
        <w:rPr>
          <w:rFonts w:eastAsia="Arial Unicode MS" w:cs="Tahoma"/>
          <w:kern w:val="22"/>
          <w:szCs w:val="18"/>
        </w:rPr>
      </w:pPr>
      <w:r>
        <w:rPr>
          <w:rFonts w:eastAsia="Arial Unicode MS" w:cs="Tahoma"/>
          <w:kern w:val="22"/>
          <w:szCs w:val="18"/>
        </w:rPr>
        <w:t>f</w:t>
      </w:r>
      <w:r w:rsidRPr="00060A03">
        <w:rPr>
          <w:rFonts w:eastAsia="Arial Unicode MS" w:cs="Tahoma"/>
          <w:kern w:val="22"/>
          <w:szCs w:val="18"/>
        </w:rPr>
        <w:t xml:space="preserve">or </w:t>
      </w:r>
      <w:r w:rsidRPr="00060A03">
        <w:rPr>
          <w:rFonts w:eastAsia="Arial Unicode MS" w:cs="Tahoma"/>
          <w:kern w:val="22"/>
          <w:szCs w:val="18"/>
          <w:u w:val="single"/>
        </w:rPr>
        <w:t>typhoid and paratyphoid fever cases</w:t>
      </w:r>
      <w:r>
        <w:rPr>
          <w:rFonts w:eastAsia="Arial Unicode MS" w:cs="Tahoma"/>
          <w:kern w:val="22"/>
          <w:szCs w:val="18"/>
        </w:rPr>
        <w:t xml:space="preserve"> by</w:t>
      </w:r>
      <w:r>
        <w:rPr>
          <w:rFonts w:eastAsia="Arial Unicode MS" w:cs="Tahoma"/>
          <w:kern w:val="22"/>
          <w:szCs w:val="18"/>
          <w:u w:val="single"/>
        </w:rPr>
        <w:t>:</w:t>
      </w:r>
      <w:r>
        <w:rPr>
          <w:rFonts w:eastAsia="Arial Unicode MS" w:cs="Tahoma"/>
          <w:kern w:val="22"/>
          <w:szCs w:val="18"/>
        </w:rPr>
        <w:t xml:space="preserve"> </w:t>
      </w:r>
    </w:p>
    <w:p w14:paraId="52427ABB" w14:textId="77777777" w:rsidR="005D0F09" w:rsidRPr="007B34B1" w:rsidRDefault="005D0F09" w:rsidP="000617B1">
      <w:pPr>
        <w:numPr>
          <w:ilvl w:val="0"/>
          <w:numId w:val="8"/>
        </w:numPr>
        <w:kinsoku w:val="0"/>
        <w:autoSpaceDE w:val="0"/>
        <w:autoSpaceDN w:val="0"/>
        <w:adjustRightInd w:val="0"/>
        <w:spacing w:before="60" w:after="60"/>
        <w:rPr>
          <w:rFonts w:eastAsia="Arial Unicode MS" w:cs="Tahoma"/>
          <w:kern w:val="22"/>
          <w:szCs w:val="18"/>
        </w:rPr>
      </w:pPr>
      <w:proofErr w:type="gramStart"/>
      <w:r w:rsidRPr="007B34B1">
        <w:rPr>
          <w:rFonts w:eastAsia="Arial Unicode MS" w:cs="Tahoma"/>
          <w:kern w:val="22"/>
          <w:szCs w:val="18"/>
        </w:rPr>
        <w:t>serotype;</w:t>
      </w:r>
      <w:proofErr w:type="gramEnd"/>
    </w:p>
    <w:p w14:paraId="5B6B48A0" w14:textId="77777777" w:rsidR="005D0F09" w:rsidRDefault="005D0F09" w:rsidP="000617B1">
      <w:pPr>
        <w:numPr>
          <w:ilvl w:val="0"/>
          <w:numId w:val="8"/>
        </w:numPr>
        <w:kinsoku w:val="0"/>
        <w:autoSpaceDE w:val="0"/>
        <w:autoSpaceDN w:val="0"/>
        <w:adjustRightInd w:val="0"/>
        <w:spacing w:before="60" w:after="60"/>
        <w:rPr>
          <w:rFonts w:eastAsia="Arial Unicode MS" w:cs="Tahoma"/>
          <w:kern w:val="22"/>
          <w:szCs w:val="18"/>
        </w:rPr>
      </w:pPr>
      <w:r w:rsidRPr="007B34B1">
        <w:rPr>
          <w:rFonts w:eastAsia="Arial Unicode MS" w:cs="Tahoma"/>
          <w:kern w:val="22"/>
          <w:szCs w:val="18"/>
        </w:rPr>
        <w:t>probable country of infection.</w:t>
      </w:r>
    </w:p>
    <w:p w14:paraId="3DCE0328" w14:textId="77777777" w:rsidR="005D0F09" w:rsidRPr="007B34B1" w:rsidRDefault="005D0F09" w:rsidP="005D0F09">
      <w:pPr>
        <w:kinsoku w:val="0"/>
        <w:autoSpaceDE w:val="0"/>
        <w:autoSpaceDN w:val="0"/>
        <w:adjustRightInd w:val="0"/>
        <w:spacing w:line="200" w:lineRule="atLeast"/>
        <w:rPr>
          <w:rFonts w:eastAsia="Arial Unicode MS" w:cs="Tahoma"/>
          <w:kern w:val="22"/>
          <w:szCs w:val="18"/>
        </w:rPr>
      </w:pPr>
    </w:p>
    <w:p w14:paraId="235BF7FD" w14:textId="77777777" w:rsidR="005D0F09" w:rsidRPr="007B34B1" w:rsidRDefault="005D0F09" w:rsidP="005D0F09">
      <w:pPr>
        <w:widowControl w:val="0"/>
        <w:spacing w:before="120" w:after="120"/>
        <w:outlineLvl w:val="2"/>
        <w:rPr>
          <w:rFonts w:eastAsia="Arial Unicode MS"/>
          <w:kern w:val="22"/>
          <w:szCs w:val="18"/>
        </w:rPr>
      </w:pPr>
      <w:r w:rsidRPr="007B34B1">
        <w:rPr>
          <w:rFonts w:eastAsia="Arial Unicode MS"/>
          <w:kern w:val="22"/>
          <w:szCs w:val="18"/>
        </w:rPr>
        <w:t xml:space="preserve">Symbols used in the Surveillance Atlas: </w:t>
      </w:r>
    </w:p>
    <w:tbl>
      <w:tblPr>
        <w:tblStyle w:val="TableGrid"/>
        <w:tblW w:w="0" w:type="auto"/>
        <w:tblLook w:val="04A0" w:firstRow="1" w:lastRow="0" w:firstColumn="1" w:lastColumn="0" w:noHBand="0" w:noVBand="1"/>
      </w:tblPr>
      <w:tblGrid>
        <w:gridCol w:w="1101"/>
        <w:gridCol w:w="5103"/>
      </w:tblGrid>
      <w:tr w:rsidR="005D0F09" w:rsidRPr="007B34B1" w14:paraId="149027C7" w14:textId="77777777" w:rsidTr="00686942">
        <w:tc>
          <w:tcPr>
            <w:tcW w:w="1101" w:type="dxa"/>
          </w:tcPr>
          <w:p w14:paraId="1A457250" w14:textId="77777777" w:rsidR="005D0F09" w:rsidRPr="007B34B1" w:rsidRDefault="005D0F09" w:rsidP="00686942">
            <w:pPr>
              <w:kinsoku w:val="0"/>
              <w:autoSpaceDE w:val="0"/>
              <w:autoSpaceDN w:val="0"/>
              <w:adjustRightInd w:val="0"/>
              <w:spacing w:after="120" w:line="200" w:lineRule="atLeast"/>
              <w:rPr>
                <w:rFonts w:eastAsia="Arial Unicode MS"/>
                <w:kern w:val="22"/>
                <w:szCs w:val="18"/>
              </w:rPr>
            </w:pPr>
            <w:r w:rsidRPr="007B34B1">
              <w:rPr>
                <w:rFonts w:eastAsia="Arial Unicode MS"/>
                <w:kern w:val="22"/>
                <w:szCs w:val="18"/>
              </w:rPr>
              <w:t>Symbol</w:t>
            </w:r>
          </w:p>
        </w:tc>
        <w:tc>
          <w:tcPr>
            <w:tcW w:w="5103" w:type="dxa"/>
          </w:tcPr>
          <w:p w14:paraId="753F32E3" w14:textId="77777777" w:rsidR="005D0F09" w:rsidRPr="007B34B1" w:rsidRDefault="005D0F09" w:rsidP="00686942">
            <w:pPr>
              <w:kinsoku w:val="0"/>
              <w:autoSpaceDE w:val="0"/>
              <w:autoSpaceDN w:val="0"/>
              <w:adjustRightInd w:val="0"/>
              <w:spacing w:after="120" w:line="200" w:lineRule="atLeast"/>
              <w:rPr>
                <w:rFonts w:eastAsia="Arial Unicode MS"/>
                <w:kern w:val="22"/>
                <w:szCs w:val="18"/>
              </w:rPr>
            </w:pPr>
            <w:r w:rsidRPr="007B34B1">
              <w:rPr>
                <w:rFonts w:eastAsia="Arial Unicode MS"/>
                <w:kern w:val="22"/>
                <w:szCs w:val="18"/>
              </w:rPr>
              <w:t>Comment</w:t>
            </w:r>
          </w:p>
        </w:tc>
      </w:tr>
      <w:tr w:rsidR="005D0F09" w:rsidRPr="007B34B1" w14:paraId="1B3E5454" w14:textId="77777777" w:rsidTr="00686942">
        <w:tc>
          <w:tcPr>
            <w:tcW w:w="1101" w:type="dxa"/>
          </w:tcPr>
          <w:p w14:paraId="7952B3C3" w14:textId="77777777" w:rsidR="005D0F09" w:rsidRPr="007B34B1" w:rsidRDefault="005D0F09" w:rsidP="00686942">
            <w:pPr>
              <w:kinsoku w:val="0"/>
              <w:autoSpaceDE w:val="0"/>
              <w:autoSpaceDN w:val="0"/>
              <w:adjustRightInd w:val="0"/>
              <w:spacing w:after="120" w:line="200" w:lineRule="atLeast"/>
              <w:jc w:val="center"/>
              <w:rPr>
                <w:rFonts w:eastAsia="Arial Unicode MS"/>
                <w:b/>
                <w:kern w:val="22"/>
                <w:szCs w:val="18"/>
              </w:rPr>
            </w:pPr>
            <w:r w:rsidRPr="007B34B1">
              <w:rPr>
                <w:rFonts w:eastAsia="Arial Unicode MS"/>
                <w:b/>
                <w:kern w:val="22"/>
                <w:szCs w:val="18"/>
              </w:rPr>
              <w:t>-</w:t>
            </w:r>
          </w:p>
        </w:tc>
        <w:tc>
          <w:tcPr>
            <w:tcW w:w="5103" w:type="dxa"/>
          </w:tcPr>
          <w:p w14:paraId="74C74210" w14:textId="77777777" w:rsidR="005D0F09" w:rsidRPr="007B34B1" w:rsidRDefault="005D0F09" w:rsidP="00686942">
            <w:pPr>
              <w:kinsoku w:val="0"/>
              <w:autoSpaceDE w:val="0"/>
              <w:autoSpaceDN w:val="0"/>
              <w:adjustRightInd w:val="0"/>
              <w:spacing w:after="120" w:line="200" w:lineRule="atLeast"/>
              <w:rPr>
                <w:rFonts w:eastAsia="Arial Unicode MS"/>
                <w:kern w:val="22"/>
                <w:szCs w:val="18"/>
              </w:rPr>
            </w:pPr>
            <w:r w:rsidRPr="007B34B1">
              <w:rPr>
                <w:rFonts w:eastAsia="Arial Unicode MS"/>
                <w:kern w:val="22"/>
                <w:szCs w:val="18"/>
              </w:rPr>
              <w:t xml:space="preserve">Indicator is not calculated for </w:t>
            </w:r>
            <w:r>
              <w:rPr>
                <w:rFonts w:eastAsia="Arial Unicode MS"/>
                <w:kern w:val="22"/>
                <w:szCs w:val="18"/>
              </w:rPr>
              <w:t>a</w:t>
            </w:r>
            <w:r w:rsidRPr="007B34B1">
              <w:rPr>
                <w:rFonts w:eastAsia="Arial Unicode MS"/>
                <w:kern w:val="22"/>
                <w:szCs w:val="18"/>
              </w:rPr>
              <w:t xml:space="preserve"> </w:t>
            </w:r>
            <w:r>
              <w:rPr>
                <w:rFonts w:eastAsia="Arial Unicode MS"/>
                <w:kern w:val="22"/>
                <w:szCs w:val="18"/>
              </w:rPr>
              <w:t>given</w:t>
            </w:r>
            <w:r w:rsidRPr="007B34B1">
              <w:rPr>
                <w:rFonts w:eastAsia="Arial Unicode MS"/>
                <w:kern w:val="22"/>
                <w:szCs w:val="18"/>
              </w:rPr>
              <w:t xml:space="preserve"> geographical resolution and </w:t>
            </w:r>
            <w:proofErr w:type="gramStart"/>
            <w:r w:rsidRPr="007B34B1">
              <w:rPr>
                <w:rFonts w:eastAsia="Arial Unicode MS"/>
                <w:kern w:val="22"/>
                <w:szCs w:val="18"/>
              </w:rPr>
              <w:t>time period</w:t>
            </w:r>
            <w:proofErr w:type="gramEnd"/>
            <w:r>
              <w:rPr>
                <w:rFonts w:eastAsia="Arial Unicode MS"/>
                <w:kern w:val="22"/>
                <w:szCs w:val="18"/>
              </w:rPr>
              <w:t>.</w:t>
            </w:r>
          </w:p>
        </w:tc>
      </w:tr>
      <w:tr w:rsidR="005D0F09" w:rsidRPr="007B34B1" w14:paraId="5879C5F0" w14:textId="77777777" w:rsidTr="00686942">
        <w:tc>
          <w:tcPr>
            <w:tcW w:w="1101" w:type="dxa"/>
          </w:tcPr>
          <w:p w14:paraId="4135DF60" w14:textId="77777777" w:rsidR="005D0F09" w:rsidRPr="007B34B1" w:rsidRDefault="005D0F09" w:rsidP="00686942">
            <w:pPr>
              <w:kinsoku w:val="0"/>
              <w:autoSpaceDE w:val="0"/>
              <w:autoSpaceDN w:val="0"/>
              <w:adjustRightInd w:val="0"/>
              <w:spacing w:after="120" w:line="200" w:lineRule="atLeast"/>
              <w:jc w:val="center"/>
              <w:rPr>
                <w:rFonts w:eastAsia="Arial Unicode MS"/>
                <w:b/>
                <w:kern w:val="22"/>
                <w:szCs w:val="18"/>
              </w:rPr>
            </w:pPr>
            <w:r w:rsidRPr="007B34B1">
              <w:rPr>
                <w:rFonts w:eastAsia="Arial Unicode MS"/>
                <w:b/>
                <w:kern w:val="22"/>
                <w:szCs w:val="18"/>
              </w:rPr>
              <w:t>.</w:t>
            </w:r>
          </w:p>
        </w:tc>
        <w:tc>
          <w:tcPr>
            <w:tcW w:w="5103" w:type="dxa"/>
          </w:tcPr>
          <w:p w14:paraId="4AC73CF1" w14:textId="77777777" w:rsidR="005D0F09" w:rsidRPr="007B34B1" w:rsidRDefault="005D0F09" w:rsidP="00686942">
            <w:pPr>
              <w:kinsoku w:val="0"/>
              <w:autoSpaceDE w:val="0"/>
              <w:autoSpaceDN w:val="0"/>
              <w:adjustRightInd w:val="0"/>
              <w:spacing w:after="120" w:line="200" w:lineRule="atLeast"/>
              <w:rPr>
                <w:rFonts w:eastAsia="Arial Unicode MS"/>
                <w:kern w:val="22"/>
                <w:szCs w:val="18"/>
              </w:rPr>
            </w:pPr>
            <w:r w:rsidRPr="007B34B1">
              <w:rPr>
                <w:rFonts w:eastAsia="Arial Unicode MS"/>
                <w:kern w:val="22"/>
                <w:szCs w:val="18"/>
              </w:rPr>
              <w:t xml:space="preserve">Missing data. Data are not reported to </w:t>
            </w:r>
            <w:proofErr w:type="spellStart"/>
            <w:r w:rsidRPr="007B34B1">
              <w:rPr>
                <w:rFonts w:eastAsia="Arial Unicode MS"/>
                <w:kern w:val="22"/>
                <w:szCs w:val="18"/>
              </w:rPr>
              <w:t>TESSy</w:t>
            </w:r>
            <w:proofErr w:type="spellEnd"/>
            <w:r w:rsidRPr="007B34B1">
              <w:rPr>
                <w:rFonts w:eastAsia="Arial Unicode MS"/>
                <w:kern w:val="22"/>
                <w:szCs w:val="18"/>
              </w:rPr>
              <w:t xml:space="preserve"> for the related </w:t>
            </w:r>
            <w:proofErr w:type="gramStart"/>
            <w:r w:rsidRPr="007B34B1">
              <w:rPr>
                <w:rFonts w:eastAsia="Arial Unicode MS"/>
                <w:kern w:val="22"/>
                <w:szCs w:val="18"/>
              </w:rPr>
              <w:t>time period</w:t>
            </w:r>
            <w:proofErr w:type="gramEnd"/>
            <w:r w:rsidRPr="007B34B1">
              <w:rPr>
                <w:rFonts w:eastAsia="Arial Unicode MS"/>
                <w:kern w:val="22"/>
                <w:szCs w:val="18"/>
              </w:rPr>
              <w:t>.</w:t>
            </w:r>
          </w:p>
        </w:tc>
      </w:tr>
    </w:tbl>
    <w:p w14:paraId="52AB609A" w14:textId="77777777" w:rsidR="005D0F09" w:rsidRPr="007B34B1" w:rsidRDefault="005D0F09" w:rsidP="005D0F09">
      <w:pPr>
        <w:kinsoku w:val="0"/>
        <w:autoSpaceDE w:val="0"/>
        <w:autoSpaceDN w:val="0"/>
        <w:adjustRightInd w:val="0"/>
        <w:spacing w:after="120" w:line="200" w:lineRule="atLeast"/>
        <w:rPr>
          <w:rFonts w:eastAsia="Arial Unicode MS"/>
          <w:kern w:val="22"/>
          <w:szCs w:val="18"/>
        </w:rPr>
      </w:pPr>
    </w:p>
    <w:p w14:paraId="13A5DAAD" w14:textId="77777777" w:rsidR="005D0F09" w:rsidRPr="00B50513" w:rsidRDefault="005D0F09" w:rsidP="00B50513">
      <w:pPr>
        <w:pStyle w:val="EC-Title-6"/>
      </w:pPr>
      <w:r w:rsidRPr="00B50513">
        <w:t>Data quality</w:t>
      </w:r>
    </w:p>
    <w:p w14:paraId="5CC2D372" w14:textId="02233335" w:rsidR="005D0F09" w:rsidRDefault="005D0F09" w:rsidP="005D0F09">
      <w:pPr>
        <w:autoSpaceDE w:val="0"/>
        <w:autoSpaceDN w:val="0"/>
        <w:adjustRightInd w:val="0"/>
        <w:jc w:val="both"/>
        <w:rPr>
          <w:rFonts w:eastAsia="Arial Unicode MS" w:cs="Tahoma"/>
          <w:kern w:val="22"/>
          <w:szCs w:val="18"/>
        </w:rPr>
      </w:pPr>
      <w:r w:rsidRPr="009E3B9F">
        <w:rPr>
          <w:rFonts w:eastAsia="Arial Unicode MS" w:cs="Tahoma"/>
          <w:kern w:val="22"/>
          <w:szCs w:val="18"/>
        </w:rPr>
        <w:t xml:space="preserve">EU/EEA countries reporting data on </w:t>
      </w:r>
      <w:r>
        <w:rPr>
          <w:rFonts w:eastAsia="Arial Unicode MS" w:cs="Tahoma"/>
          <w:kern w:val="22"/>
          <w:szCs w:val="18"/>
        </w:rPr>
        <w:t>salmonellosis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3936A9E3" w14:textId="77777777" w:rsidR="005D0F09" w:rsidRDefault="005D0F09" w:rsidP="005D0F09">
      <w:pPr>
        <w:autoSpaceDE w:val="0"/>
        <w:autoSpaceDN w:val="0"/>
        <w:adjustRightInd w:val="0"/>
        <w:jc w:val="both"/>
        <w:rPr>
          <w:rFonts w:eastAsia="Arial Unicode MS" w:cs="Tahoma"/>
          <w:kern w:val="22"/>
          <w:szCs w:val="18"/>
        </w:rPr>
      </w:pPr>
    </w:p>
    <w:p w14:paraId="01202B68" w14:textId="77777777" w:rsidR="005D0F09" w:rsidRDefault="005D0F09" w:rsidP="005D0F09">
      <w:pPr>
        <w:autoSpaceDE w:val="0"/>
        <w:autoSpaceDN w:val="0"/>
        <w:adjustRightInd w:val="0"/>
        <w:jc w:val="both"/>
        <w:rPr>
          <w:rFonts w:eastAsia="Arial Unicode MS" w:cs="Tahoma"/>
          <w:kern w:val="22"/>
          <w:szCs w:val="18"/>
        </w:rPr>
      </w:pPr>
      <w:r>
        <w:rPr>
          <w:rFonts w:eastAsia="Arial Unicode MS" w:cs="Tahoma"/>
          <w:kern w:val="22"/>
          <w:szCs w:val="18"/>
        </w:rPr>
        <w:t>The Surveillance Atlas indicators for data quality of confirmed salmonellosis cases are:</w:t>
      </w:r>
    </w:p>
    <w:p w14:paraId="4A2DE243" w14:textId="77777777" w:rsidR="005D0F09" w:rsidRPr="00E95571" w:rsidRDefault="005D0F09"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5D4E07FF" w14:textId="77777777" w:rsidR="005D0F09"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159596E8" w14:textId="77777777" w:rsidR="005D0F09"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26CB10E2" w14:textId="77777777" w:rsidR="005D0F09"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travel-associated (%</w:t>
      </w:r>
      <w:proofErr w:type="gramStart"/>
      <w:r>
        <w:rPr>
          <w:rFonts w:eastAsia="Arial Unicode MS" w:cs="Tahoma"/>
          <w:kern w:val="22"/>
          <w:szCs w:val="18"/>
        </w:rPr>
        <w:t>);</w:t>
      </w:r>
      <w:proofErr w:type="gramEnd"/>
    </w:p>
    <w:p w14:paraId="57537655" w14:textId="77777777" w:rsidR="005D0F09"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37EF789D" w14:textId="60AB425E" w:rsidR="00B50513"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serotype (%)</w:t>
      </w:r>
      <w:r w:rsidR="00B50513">
        <w:rPr>
          <w:rFonts w:eastAsia="Arial Unicode MS" w:cs="Tahoma"/>
          <w:kern w:val="22"/>
          <w:szCs w:val="18"/>
        </w:rPr>
        <w:t>.</w:t>
      </w:r>
    </w:p>
    <w:p w14:paraId="251E0C28" w14:textId="0834A5FE" w:rsidR="00B50513" w:rsidRDefault="00B50513">
      <w:pPr>
        <w:rPr>
          <w:rFonts w:eastAsia="Arial Unicode MS" w:cs="Tahoma"/>
          <w:kern w:val="22"/>
          <w:szCs w:val="18"/>
        </w:rPr>
      </w:pPr>
    </w:p>
    <w:p w14:paraId="78F301CA" w14:textId="77777777" w:rsidR="005D0F09" w:rsidRPr="00AE61F9" w:rsidRDefault="005D0F09" w:rsidP="005D0F09">
      <w:pPr>
        <w:pStyle w:val="EC-Title-6"/>
        <w:outlineLvl w:val="1"/>
        <w:rPr>
          <w:rFonts w:cs="Tahoma"/>
        </w:rPr>
      </w:pPr>
      <w:r w:rsidRPr="00AE61F9">
        <w:rPr>
          <w:rFonts w:cs="Tahoma"/>
        </w:rPr>
        <w:t>Interpretation</w:t>
      </w:r>
    </w:p>
    <w:p w14:paraId="1D988BA9" w14:textId="4FE2E10F" w:rsidR="005D0F09" w:rsidRDefault="005D0F09" w:rsidP="005D0F09">
      <w:pPr>
        <w:kinsoku w:val="0"/>
        <w:autoSpaceDE w:val="0"/>
        <w:autoSpaceDN w:val="0"/>
        <w:adjustRightInd w:val="0"/>
        <w:spacing w:after="120" w:line="200" w:lineRule="atLeast"/>
        <w:jc w:val="both"/>
        <w:rPr>
          <w:rFonts w:eastAsia="Arial Unicode MS" w:cs="Tahoma"/>
          <w:kern w:val="22"/>
          <w:szCs w:val="18"/>
        </w:rPr>
      </w:pPr>
      <w:r>
        <w:rPr>
          <w:rFonts w:eastAsia="Arial Unicode MS" w:cs="Tahoma"/>
          <w:kern w:val="22"/>
          <w:szCs w:val="18"/>
        </w:rPr>
        <w:t xml:space="preserve">The results shown in the Atlas </w:t>
      </w:r>
      <w:r w:rsidRPr="006B2F19">
        <w:rPr>
          <w:rFonts w:eastAsia="Arial Unicode MS" w:cs="Tahoma"/>
          <w:kern w:val="22"/>
          <w:szCs w:val="18"/>
        </w:rPr>
        <w:t xml:space="preserve">should be interpreted with caution and </w:t>
      </w:r>
      <w:proofErr w:type="gramStart"/>
      <w:r w:rsidRPr="006B2F19">
        <w:rPr>
          <w:rFonts w:eastAsia="Arial Unicode MS" w:cs="Tahoma"/>
          <w:kern w:val="22"/>
          <w:szCs w:val="18"/>
        </w:rPr>
        <w:t>taking into account</w:t>
      </w:r>
      <w:proofErr w:type="gramEnd"/>
      <w:r w:rsidRPr="006B2F19">
        <w:rPr>
          <w:rFonts w:eastAsia="Arial Unicode MS" w:cs="Tahoma"/>
          <w:kern w:val="22"/>
          <w:szCs w:val="18"/>
        </w:rPr>
        <w:t xml:space="preserve"> data quality issues and differences </w:t>
      </w:r>
      <w:r>
        <w:rPr>
          <w:rFonts w:eastAsia="Arial Unicode MS" w:cs="Tahoma"/>
          <w:kern w:val="22"/>
          <w:szCs w:val="18"/>
        </w:rPr>
        <w:t>between</w:t>
      </w:r>
      <w:r w:rsidRPr="006B2F19">
        <w:rPr>
          <w:rFonts w:eastAsia="Arial Unicode MS" w:cs="Tahoma"/>
          <w:kern w:val="22"/>
          <w:szCs w:val="18"/>
        </w:rPr>
        <w:t xml:space="preserve"> Member State surveillance systems. </w:t>
      </w:r>
      <w:proofErr w:type="gramStart"/>
      <w:r>
        <w:rPr>
          <w:rFonts w:eastAsia="Arial Unicode MS" w:cs="Tahoma"/>
          <w:kern w:val="22"/>
          <w:szCs w:val="18"/>
        </w:rPr>
        <w:t>P</w:t>
      </w:r>
      <w:r w:rsidRPr="006B2F19">
        <w:rPr>
          <w:rFonts w:eastAsia="Arial Unicode MS" w:cs="Tahoma"/>
          <w:kern w:val="22"/>
          <w:szCs w:val="18"/>
        </w:rPr>
        <w:t>articular caution</w:t>
      </w:r>
      <w:proofErr w:type="gramEnd"/>
      <w:r w:rsidRPr="006B2F19">
        <w:rPr>
          <w:rFonts w:eastAsia="Arial Unicode MS" w:cs="Tahoma"/>
          <w:kern w:val="22"/>
          <w:szCs w:val="18"/>
        </w:rPr>
        <w:t xml:space="preserve"> is required when interpreting data on </w:t>
      </w:r>
      <w:r w:rsidRPr="007B34B1">
        <w:rPr>
          <w:rFonts w:eastAsia="Arial Unicode MS" w:cs="Tahoma"/>
          <w:kern w:val="22"/>
          <w:szCs w:val="18"/>
        </w:rPr>
        <w:t>e.g. hospitalisation, outcome, importation or serotype</w:t>
      </w:r>
      <w:r w:rsidRPr="006B2F19">
        <w:rPr>
          <w:rFonts w:eastAsia="Arial Unicode MS" w:cs="Tahoma"/>
          <w:kern w:val="22"/>
          <w:szCs w:val="18"/>
        </w:rPr>
        <w:t xml:space="preserve"> for which completeness var</w:t>
      </w:r>
      <w:r>
        <w:rPr>
          <w:rFonts w:eastAsia="Arial Unicode MS" w:cs="Tahoma"/>
          <w:kern w:val="22"/>
          <w:szCs w:val="18"/>
        </w:rPr>
        <w:t>ies</w:t>
      </w:r>
      <w:r w:rsidRPr="006B2F19">
        <w:rPr>
          <w:rFonts w:eastAsia="Arial Unicode MS" w:cs="Tahoma"/>
          <w:kern w:val="22"/>
          <w:szCs w:val="18"/>
        </w:rPr>
        <w:t xml:space="preserve"> </w:t>
      </w:r>
      <w:r>
        <w:rPr>
          <w:rFonts w:eastAsia="Arial Unicode MS" w:cs="Tahoma"/>
          <w:kern w:val="22"/>
          <w:szCs w:val="18"/>
        </w:rPr>
        <w:t>between</w:t>
      </w:r>
      <w:r w:rsidRPr="007B34B1">
        <w:rPr>
          <w:rFonts w:eastAsia="Arial Unicode MS" w:cs="Tahoma"/>
          <w:kern w:val="22"/>
          <w:szCs w:val="18"/>
        </w:rPr>
        <w:t xml:space="preserve"> countries and years</w:t>
      </w:r>
      <w:r w:rsidRPr="006B2F19">
        <w:rPr>
          <w:rFonts w:eastAsia="Arial Unicode MS" w:cs="Tahoma"/>
          <w:kern w:val="22"/>
          <w:szCs w:val="18"/>
        </w:rPr>
        <w:t xml:space="preserve">. Even if data completeness is high for some variables, this does not reflect the level of case under-ascertainment or under-reporting which </w:t>
      </w:r>
      <w:r>
        <w:rPr>
          <w:rFonts w:eastAsia="Arial Unicode MS" w:cs="Tahoma"/>
          <w:kern w:val="22"/>
          <w:szCs w:val="18"/>
        </w:rPr>
        <w:t>may</w:t>
      </w:r>
      <w:r w:rsidRPr="006B2F19">
        <w:rPr>
          <w:rFonts w:eastAsia="Arial Unicode MS" w:cs="Tahoma"/>
          <w:kern w:val="22"/>
          <w:szCs w:val="18"/>
        </w:rPr>
        <w:t xml:space="preserve"> differ between countries depending on the characteristics of their surveillance systems. Hence, the reader should refrain from making direct comparisons between countries without </w:t>
      </w:r>
      <w:r w:rsidR="00A835D3" w:rsidRPr="006B2F19">
        <w:rPr>
          <w:rFonts w:eastAsia="Arial Unicode MS" w:cs="Tahoma"/>
          <w:kern w:val="22"/>
          <w:szCs w:val="18"/>
        </w:rPr>
        <w:t>considering</w:t>
      </w:r>
      <w:r w:rsidRPr="006B2F19">
        <w:rPr>
          <w:rFonts w:eastAsia="Arial Unicode MS" w:cs="Tahoma"/>
          <w:kern w:val="22"/>
          <w:szCs w:val="18"/>
        </w:rPr>
        <w:t xml:space="preserve"> all these limitations in the data.</w:t>
      </w:r>
    </w:p>
    <w:p w14:paraId="646B7F19" w14:textId="77777777" w:rsidR="003A6E26" w:rsidRDefault="003A6E26" w:rsidP="005D0F09">
      <w:pPr>
        <w:kinsoku w:val="0"/>
        <w:autoSpaceDE w:val="0"/>
        <w:autoSpaceDN w:val="0"/>
        <w:adjustRightInd w:val="0"/>
        <w:spacing w:after="120" w:line="200" w:lineRule="atLeast"/>
        <w:jc w:val="both"/>
        <w:rPr>
          <w:rFonts w:eastAsia="Arial Unicode MS" w:cs="Tahoma"/>
          <w:kern w:val="22"/>
          <w:szCs w:val="18"/>
        </w:rPr>
      </w:pPr>
    </w:p>
    <w:p w14:paraId="00328DD1" w14:textId="77777777" w:rsidR="005D0F09" w:rsidRPr="007B34B1" w:rsidRDefault="005D0F09" w:rsidP="00B50513">
      <w:pPr>
        <w:pStyle w:val="EC-Title-6"/>
        <w:rPr>
          <w:lang w:val="en-US"/>
        </w:rPr>
      </w:pPr>
      <w:r w:rsidRPr="007B34B1">
        <w:rPr>
          <w:lang w:val="en-US"/>
        </w:rPr>
        <w:t>Non-typhoidal salmonellosis</w:t>
      </w:r>
    </w:p>
    <w:p w14:paraId="520EF5EB" w14:textId="56BDA62E" w:rsidR="00B01B0A" w:rsidRDefault="005D0F09" w:rsidP="00B01B0A">
      <w:pPr>
        <w:kinsoku w:val="0"/>
        <w:autoSpaceDE w:val="0"/>
        <w:autoSpaceDN w:val="0"/>
        <w:adjustRightInd w:val="0"/>
        <w:spacing w:after="120" w:line="200" w:lineRule="atLeast"/>
        <w:jc w:val="both"/>
        <w:rPr>
          <w:rFonts w:eastAsia="Arial Unicode MS" w:cs="Tahoma"/>
          <w:kern w:val="22"/>
          <w:szCs w:val="18"/>
        </w:rPr>
      </w:pPr>
      <w:r>
        <w:rPr>
          <w:rFonts w:eastAsia="Arial Unicode MS" w:cs="Tahoma"/>
          <w:kern w:val="22"/>
          <w:szCs w:val="18"/>
        </w:rPr>
        <w:t>N</w:t>
      </w:r>
      <w:r w:rsidRPr="007B34B1">
        <w:rPr>
          <w:rFonts w:eastAsia="Arial Unicode MS" w:cs="Tahoma"/>
          <w:kern w:val="22"/>
          <w:szCs w:val="18"/>
        </w:rPr>
        <w:t xml:space="preserve">otification of non-typhoidal salmonellosis is mandatory in </w:t>
      </w:r>
      <w:r w:rsidR="007F0D01">
        <w:rPr>
          <w:rFonts w:eastAsia="Arial Unicode MS" w:cs="Tahoma"/>
          <w:kern w:val="22"/>
          <w:szCs w:val="18"/>
        </w:rPr>
        <w:t>2</w:t>
      </w:r>
      <w:r w:rsidR="003B591D">
        <w:rPr>
          <w:rFonts w:eastAsia="Arial Unicode MS" w:cs="Tahoma"/>
          <w:kern w:val="22"/>
          <w:szCs w:val="18"/>
        </w:rPr>
        <w:t>7</w:t>
      </w:r>
      <w:r>
        <w:rPr>
          <w:rFonts w:eastAsia="Arial Unicode MS" w:cs="Tahoma"/>
          <w:kern w:val="22"/>
          <w:szCs w:val="18"/>
        </w:rPr>
        <w:t xml:space="preserve"> of EU</w:t>
      </w:r>
      <w:r w:rsidR="00A06129">
        <w:rPr>
          <w:rFonts w:eastAsia="Arial Unicode MS" w:cs="Tahoma"/>
          <w:kern w:val="22"/>
          <w:szCs w:val="18"/>
        </w:rPr>
        <w:t>-EEA countries</w:t>
      </w:r>
      <w:r>
        <w:rPr>
          <w:rFonts w:eastAsia="Arial Unicode MS" w:cs="Tahoma"/>
          <w:kern w:val="22"/>
          <w:szCs w:val="18"/>
        </w:rPr>
        <w:t xml:space="preserve">. In </w:t>
      </w:r>
      <w:r w:rsidR="003B591D">
        <w:rPr>
          <w:rFonts w:eastAsia="Arial Unicode MS" w:cs="Tahoma"/>
          <w:kern w:val="22"/>
          <w:szCs w:val="18"/>
        </w:rPr>
        <w:t>three</w:t>
      </w:r>
      <w:r w:rsidR="00AA4762">
        <w:rPr>
          <w:rFonts w:eastAsia="Arial Unicode MS" w:cs="Tahoma"/>
          <w:kern w:val="22"/>
          <w:szCs w:val="18"/>
        </w:rPr>
        <w:t xml:space="preserve"> </w:t>
      </w:r>
      <w:r w:rsidR="003B591D">
        <w:rPr>
          <w:rFonts w:eastAsia="Arial Unicode MS" w:cs="Tahoma"/>
          <w:kern w:val="22"/>
          <w:szCs w:val="18"/>
        </w:rPr>
        <w:t xml:space="preserve">EU </w:t>
      </w:r>
      <w:r>
        <w:rPr>
          <w:rFonts w:eastAsia="Arial Unicode MS" w:cs="Tahoma"/>
          <w:kern w:val="22"/>
          <w:szCs w:val="18"/>
        </w:rPr>
        <w:t>Member States,</w:t>
      </w:r>
      <w:r w:rsidRPr="007B34B1">
        <w:rPr>
          <w:rFonts w:eastAsia="Arial Unicode MS" w:cs="Tahoma"/>
          <w:kern w:val="22"/>
          <w:szCs w:val="18"/>
        </w:rPr>
        <w:t xml:space="preserve"> reporting is voluntary (Belgium, France, </w:t>
      </w:r>
      <w:r>
        <w:rPr>
          <w:rFonts w:eastAsia="Arial Unicode MS" w:cs="Tahoma"/>
          <w:kern w:val="22"/>
          <w:szCs w:val="18"/>
        </w:rPr>
        <w:t>and</w:t>
      </w:r>
      <w:r w:rsidRPr="007B34B1">
        <w:rPr>
          <w:rFonts w:eastAsia="Arial Unicode MS" w:cs="Tahoma"/>
          <w:kern w:val="22"/>
          <w:szCs w:val="18"/>
        </w:rPr>
        <w:t xml:space="preserve"> the Netherlands). The surveillance systems for salmonellosis have </w:t>
      </w:r>
      <w:r w:rsidR="00EF7CCF">
        <w:rPr>
          <w:rFonts w:eastAsia="Arial Unicode MS" w:cs="Tahoma"/>
          <w:kern w:val="22"/>
          <w:szCs w:val="18"/>
        </w:rPr>
        <w:t xml:space="preserve">full </w:t>
      </w:r>
      <w:r w:rsidRPr="007B34B1">
        <w:rPr>
          <w:rFonts w:eastAsia="Arial Unicode MS" w:cs="Tahoma"/>
          <w:kern w:val="22"/>
          <w:szCs w:val="18"/>
        </w:rPr>
        <w:t xml:space="preserve">national coverage in all Member States except </w:t>
      </w:r>
      <w:r>
        <w:rPr>
          <w:rFonts w:eastAsia="Arial Unicode MS" w:cs="Tahoma"/>
          <w:kern w:val="22"/>
          <w:szCs w:val="18"/>
        </w:rPr>
        <w:t>in</w:t>
      </w:r>
      <w:r w:rsidRPr="007B34B1">
        <w:rPr>
          <w:rFonts w:eastAsia="Arial Unicode MS" w:cs="Tahoma"/>
          <w:kern w:val="22"/>
          <w:szCs w:val="18"/>
        </w:rPr>
        <w:t xml:space="preserve"> </w:t>
      </w:r>
      <w:r w:rsidR="009E754B">
        <w:rPr>
          <w:rFonts w:eastAsia="Arial Unicode MS" w:cs="Tahoma"/>
          <w:kern w:val="22"/>
          <w:szCs w:val="18"/>
        </w:rPr>
        <w:t>three</w:t>
      </w:r>
      <w:r w:rsidR="007860BA" w:rsidRPr="007B34B1">
        <w:rPr>
          <w:rFonts w:eastAsia="Arial Unicode MS" w:cs="Tahoma"/>
          <w:kern w:val="22"/>
          <w:szCs w:val="18"/>
        </w:rPr>
        <w:t xml:space="preserve"> </w:t>
      </w:r>
      <w:r w:rsidRPr="007B34B1">
        <w:rPr>
          <w:rFonts w:eastAsia="Arial Unicode MS" w:cs="Tahoma"/>
          <w:kern w:val="22"/>
          <w:szCs w:val="18"/>
        </w:rPr>
        <w:t>(</w:t>
      </w:r>
      <w:r w:rsidR="007860BA">
        <w:rPr>
          <w:rFonts w:eastAsia="Arial Unicode MS" w:cs="Tahoma"/>
          <w:kern w:val="22"/>
          <w:szCs w:val="18"/>
        </w:rPr>
        <w:t xml:space="preserve">Belgium, </w:t>
      </w:r>
      <w:r w:rsidRPr="007B34B1">
        <w:rPr>
          <w:rFonts w:eastAsia="Arial Unicode MS" w:cs="Tahoma"/>
          <w:kern w:val="22"/>
          <w:szCs w:val="18"/>
        </w:rPr>
        <w:t xml:space="preserve">the Netherlands and Spain). The </w:t>
      </w:r>
      <w:r>
        <w:rPr>
          <w:rFonts w:eastAsia="Arial Unicode MS" w:cs="Tahoma"/>
          <w:kern w:val="22"/>
          <w:szCs w:val="18"/>
        </w:rPr>
        <w:t xml:space="preserve">population </w:t>
      </w:r>
      <w:r w:rsidRPr="007B34B1">
        <w:rPr>
          <w:rFonts w:eastAsia="Arial Unicode MS" w:cs="Tahoma"/>
          <w:kern w:val="22"/>
          <w:szCs w:val="18"/>
        </w:rPr>
        <w:t xml:space="preserve">coverage </w:t>
      </w:r>
      <w:r>
        <w:rPr>
          <w:rFonts w:eastAsia="Arial Unicode MS" w:cs="Tahoma"/>
          <w:kern w:val="22"/>
          <w:szCs w:val="18"/>
        </w:rPr>
        <w:t xml:space="preserve">in </w:t>
      </w:r>
      <w:r w:rsidR="00A32FE1" w:rsidRPr="006D7508">
        <w:rPr>
          <w:rFonts w:eastAsia="Arial Unicode MS" w:cs="Tahoma"/>
          <w:kern w:val="22"/>
          <w:szCs w:val="18"/>
        </w:rPr>
        <w:t>202</w:t>
      </w:r>
      <w:r w:rsidR="00F27A8B">
        <w:rPr>
          <w:rFonts w:eastAsia="Arial Unicode MS" w:cs="Tahoma"/>
          <w:kern w:val="22"/>
          <w:szCs w:val="18"/>
        </w:rPr>
        <w:t>2</w:t>
      </w:r>
      <w:r w:rsidR="00AC63C1">
        <w:rPr>
          <w:rFonts w:eastAsia="Arial Unicode MS" w:cs="Tahoma"/>
          <w:kern w:val="22"/>
          <w:szCs w:val="18"/>
        </w:rPr>
        <w:t>-2023</w:t>
      </w:r>
      <w:r w:rsidR="00073747">
        <w:rPr>
          <w:rFonts w:eastAsia="Arial Unicode MS" w:cs="Tahoma"/>
          <w:kern w:val="22"/>
          <w:szCs w:val="18"/>
        </w:rPr>
        <w:t xml:space="preserve"> </w:t>
      </w:r>
      <w:r w:rsidRPr="007B34B1">
        <w:rPr>
          <w:rFonts w:eastAsia="Arial Unicode MS" w:cs="Tahoma"/>
          <w:kern w:val="22"/>
          <w:szCs w:val="18"/>
        </w:rPr>
        <w:t>is estimated to be</w:t>
      </w:r>
      <w:r w:rsidR="00616CFB">
        <w:rPr>
          <w:rFonts w:eastAsia="Arial Unicode MS" w:cs="Tahoma"/>
          <w:kern w:val="22"/>
          <w:szCs w:val="18"/>
        </w:rPr>
        <w:t xml:space="preserve"> 85% in Belgium,</w:t>
      </w:r>
      <w:r w:rsidRPr="007B34B1">
        <w:rPr>
          <w:rFonts w:eastAsia="Arial Unicode MS" w:cs="Tahoma"/>
          <w:kern w:val="22"/>
          <w:szCs w:val="18"/>
        </w:rPr>
        <w:t xml:space="preserve"> 64% in the Netherlands</w:t>
      </w:r>
      <w:r w:rsidR="002F1E0F">
        <w:rPr>
          <w:rFonts w:eastAsia="Arial Unicode MS" w:cs="Tahoma"/>
          <w:kern w:val="22"/>
          <w:szCs w:val="18"/>
        </w:rPr>
        <w:t xml:space="preserve"> in all reporting years</w:t>
      </w:r>
      <w:r w:rsidR="003043E3">
        <w:rPr>
          <w:rFonts w:eastAsia="Arial Unicode MS" w:cs="Tahoma"/>
          <w:kern w:val="22"/>
          <w:szCs w:val="18"/>
        </w:rPr>
        <w:t>,</w:t>
      </w:r>
      <w:r w:rsidR="00F27A8B">
        <w:rPr>
          <w:rFonts w:eastAsia="Arial Unicode MS" w:cs="Tahoma"/>
          <w:kern w:val="22"/>
          <w:szCs w:val="18"/>
        </w:rPr>
        <w:t xml:space="preserve"> and </w:t>
      </w:r>
      <w:r w:rsidR="00E7003B">
        <w:rPr>
          <w:rFonts w:eastAsia="Arial Unicode MS" w:cs="Tahoma"/>
          <w:kern w:val="22"/>
          <w:szCs w:val="18"/>
        </w:rPr>
        <w:t>80%</w:t>
      </w:r>
      <w:r w:rsidR="00002AAC">
        <w:rPr>
          <w:rFonts w:eastAsia="Arial Unicode MS" w:cs="Tahoma"/>
          <w:kern w:val="22"/>
          <w:szCs w:val="18"/>
        </w:rPr>
        <w:t xml:space="preserve"> </w:t>
      </w:r>
      <w:r w:rsidR="00002AAC">
        <w:rPr>
          <w:rFonts w:eastAsia="Arial Unicode MS" w:cs="Tahoma"/>
          <w:kern w:val="22"/>
          <w:szCs w:val="18"/>
        </w:rPr>
        <w:lastRenderedPageBreak/>
        <w:t xml:space="preserve">and </w:t>
      </w:r>
      <w:r w:rsidR="00F27A8B">
        <w:rPr>
          <w:rFonts w:eastAsia="Arial Unicode MS" w:cs="Tahoma"/>
          <w:kern w:val="22"/>
          <w:szCs w:val="18"/>
        </w:rPr>
        <w:t>73% in Spain</w:t>
      </w:r>
      <w:r w:rsidR="00B03F47">
        <w:rPr>
          <w:rFonts w:eastAsia="Arial Unicode MS" w:cs="Tahoma"/>
          <w:kern w:val="22"/>
          <w:szCs w:val="18"/>
        </w:rPr>
        <w:t xml:space="preserve"> in </w:t>
      </w:r>
      <w:r w:rsidR="00002AAC">
        <w:rPr>
          <w:rFonts w:eastAsia="Arial Unicode MS" w:cs="Tahoma"/>
          <w:kern w:val="22"/>
          <w:szCs w:val="18"/>
        </w:rPr>
        <w:t xml:space="preserve">2023 and </w:t>
      </w:r>
      <w:r w:rsidR="00B03F47">
        <w:rPr>
          <w:rFonts w:eastAsia="Arial Unicode MS" w:cs="Tahoma"/>
          <w:kern w:val="22"/>
          <w:szCs w:val="18"/>
        </w:rPr>
        <w:t>2021-2022</w:t>
      </w:r>
      <w:r w:rsidR="00002AAC">
        <w:rPr>
          <w:rFonts w:eastAsia="Arial Unicode MS" w:cs="Tahoma"/>
          <w:kern w:val="22"/>
          <w:szCs w:val="18"/>
        </w:rPr>
        <w:t>, respectively</w:t>
      </w:r>
      <w:r>
        <w:rPr>
          <w:rFonts w:eastAsia="Arial Unicode MS" w:cs="Tahoma"/>
          <w:kern w:val="22"/>
          <w:szCs w:val="18"/>
        </w:rPr>
        <w:t>.</w:t>
      </w:r>
      <w:r w:rsidRPr="007B34B1">
        <w:rPr>
          <w:rFonts w:eastAsia="Arial Unicode MS" w:cs="Tahoma"/>
          <w:kern w:val="22"/>
          <w:szCs w:val="18"/>
        </w:rPr>
        <w:t xml:space="preserve"> </w:t>
      </w:r>
      <w:r w:rsidR="0067174C" w:rsidRPr="007D59F7">
        <w:t>These</w:t>
      </w:r>
      <w:r w:rsidR="0067174C" w:rsidRPr="00E23A35">
        <w:t xml:space="preserve"> proportions were used when calculating </w:t>
      </w:r>
      <w:r w:rsidR="0067174C">
        <w:t xml:space="preserve">the national </w:t>
      </w:r>
      <w:r w:rsidR="0067174C" w:rsidRPr="00E23A35">
        <w:t>notification rates for these</w:t>
      </w:r>
      <w:r w:rsidR="0067174C">
        <w:t xml:space="preserve"> </w:t>
      </w:r>
      <w:r w:rsidR="0067174C" w:rsidRPr="00E23A35">
        <w:t>Member States</w:t>
      </w:r>
      <w:r w:rsidR="0067174C">
        <w:t>.</w:t>
      </w:r>
      <w:r w:rsidR="0067174C" w:rsidRPr="007F0D01">
        <w:rPr>
          <w:rFonts w:eastAsia="Arial Unicode MS" w:cs="Tahoma"/>
          <w:kern w:val="22"/>
          <w:szCs w:val="18"/>
        </w:rPr>
        <w:t xml:space="preserve"> </w:t>
      </w:r>
      <w:r w:rsidR="007F0D01" w:rsidRPr="007F0D01">
        <w:rPr>
          <w:rFonts w:eastAsia="Arial Unicode MS" w:cs="Tahoma"/>
          <w:kern w:val="22"/>
          <w:szCs w:val="18"/>
        </w:rPr>
        <w:t>In Belgium, a change in the surveillance was made in 2015 and rates before this date are not displayed.</w:t>
      </w:r>
      <w:r w:rsidR="00D15919">
        <w:rPr>
          <w:rFonts w:eastAsia="Arial Unicode MS" w:cs="Tahoma"/>
          <w:kern w:val="22"/>
          <w:szCs w:val="18"/>
        </w:rPr>
        <w:t xml:space="preserve"> </w:t>
      </w:r>
      <w:r w:rsidR="00FB180B" w:rsidRPr="007B34B1">
        <w:rPr>
          <w:rFonts w:eastAsia="Arial Unicode MS" w:cs="Tahoma"/>
          <w:kern w:val="22"/>
          <w:szCs w:val="18"/>
        </w:rPr>
        <w:t xml:space="preserve">No information on estimated coverage was provided by </w:t>
      </w:r>
      <w:r w:rsidR="00FB180B">
        <w:rPr>
          <w:rFonts w:eastAsia="Arial Unicode MS" w:cs="Tahoma"/>
          <w:kern w:val="22"/>
          <w:szCs w:val="18"/>
        </w:rPr>
        <w:t>Spain prior 2021</w:t>
      </w:r>
      <w:r w:rsidR="00FB180B" w:rsidRPr="007B34B1">
        <w:rPr>
          <w:rFonts w:eastAsia="Arial Unicode MS" w:cs="Tahoma"/>
          <w:kern w:val="22"/>
          <w:szCs w:val="18"/>
        </w:rPr>
        <w:t xml:space="preserve">, </w:t>
      </w:r>
      <w:r w:rsidR="00C7247D">
        <w:rPr>
          <w:rFonts w:eastAsia="Arial Unicode MS" w:cs="Tahoma"/>
          <w:kern w:val="22"/>
          <w:szCs w:val="18"/>
        </w:rPr>
        <w:t>so</w:t>
      </w:r>
      <w:r w:rsidR="00C7247D" w:rsidRPr="007B34B1">
        <w:rPr>
          <w:rFonts w:eastAsia="Arial Unicode MS" w:cs="Tahoma"/>
          <w:kern w:val="22"/>
          <w:szCs w:val="18"/>
        </w:rPr>
        <w:t xml:space="preserve"> </w:t>
      </w:r>
      <w:r w:rsidR="00C7247D">
        <w:rPr>
          <w:rFonts w:eastAsia="Arial Unicode MS" w:cs="Tahoma"/>
          <w:kern w:val="22"/>
          <w:szCs w:val="18"/>
        </w:rPr>
        <w:t>notification</w:t>
      </w:r>
      <w:r w:rsidR="00FB180B" w:rsidRPr="007B34B1">
        <w:rPr>
          <w:rFonts w:eastAsia="Arial Unicode MS" w:cs="Tahoma"/>
          <w:kern w:val="22"/>
          <w:szCs w:val="18"/>
        </w:rPr>
        <w:t xml:space="preserve"> rate</w:t>
      </w:r>
      <w:r w:rsidR="00FB180B">
        <w:rPr>
          <w:rFonts w:eastAsia="Arial Unicode MS" w:cs="Tahoma"/>
          <w:kern w:val="22"/>
          <w:szCs w:val="18"/>
        </w:rPr>
        <w:t>s</w:t>
      </w:r>
      <w:r w:rsidR="00FB180B" w:rsidRPr="007B34B1">
        <w:rPr>
          <w:rFonts w:eastAsia="Arial Unicode MS" w:cs="Tahoma"/>
          <w:kern w:val="22"/>
          <w:szCs w:val="18"/>
        </w:rPr>
        <w:t xml:space="preserve"> w</w:t>
      </w:r>
      <w:r w:rsidR="00FB180B">
        <w:rPr>
          <w:rFonts w:eastAsia="Arial Unicode MS" w:cs="Tahoma"/>
          <w:kern w:val="22"/>
          <w:szCs w:val="18"/>
        </w:rPr>
        <w:t>ere</w:t>
      </w:r>
      <w:r w:rsidR="00FB180B" w:rsidRPr="007B34B1">
        <w:rPr>
          <w:rFonts w:eastAsia="Arial Unicode MS" w:cs="Tahoma"/>
          <w:kern w:val="22"/>
          <w:szCs w:val="18"/>
        </w:rPr>
        <w:t xml:space="preserve"> </w:t>
      </w:r>
      <w:r w:rsidR="00886228">
        <w:rPr>
          <w:rFonts w:eastAsia="Arial Unicode MS" w:cs="Tahoma"/>
          <w:kern w:val="22"/>
          <w:szCs w:val="18"/>
        </w:rPr>
        <w:t xml:space="preserve">not </w:t>
      </w:r>
      <w:r w:rsidR="00FB180B" w:rsidRPr="007B34B1">
        <w:rPr>
          <w:rFonts w:eastAsia="Arial Unicode MS" w:cs="Tahoma"/>
          <w:kern w:val="22"/>
          <w:szCs w:val="18"/>
        </w:rPr>
        <w:t>calculated.</w:t>
      </w:r>
      <w:r w:rsidR="00FB180B">
        <w:rPr>
          <w:rFonts w:eastAsia="Arial Unicode MS" w:cs="Tahoma"/>
          <w:kern w:val="22"/>
          <w:szCs w:val="18"/>
        </w:rPr>
        <w:t xml:space="preserve"> </w:t>
      </w:r>
      <w:r w:rsidR="00C658E9" w:rsidRPr="00C658E9">
        <w:rPr>
          <w:rFonts w:eastAsia="Arial Unicode MS" w:cs="Tahoma"/>
          <w:kern w:val="22"/>
          <w:szCs w:val="18"/>
        </w:rPr>
        <w:t xml:space="preserve">All countries report case-based data except Bulgaria which reports aggregated data. </w:t>
      </w:r>
      <w:r w:rsidR="00C96C10">
        <w:t>Aggregated</w:t>
      </w:r>
      <w:r w:rsidR="00C96C10" w:rsidRPr="004C1587">
        <w:t xml:space="preserve"> reporting format w</w:t>
      </w:r>
      <w:r w:rsidR="00C96C10">
        <w:t>as</w:t>
      </w:r>
      <w:r w:rsidR="00C96C10" w:rsidRPr="004C1587">
        <w:t xml:space="preserve"> included to calculate numbers of cases</w:t>
      </w:r>
      <w:r w:rsidR="00C96C10">
        <w:t xml:space="preserve"> and </w:t>
      </w:r>
      <w:r w:rsidR="00C96C10" w:rsidRPr="004C1587">
        <w:t xml:space="preserve">notification rates, </w:t>
      </w:r>
      <w:r w:rsidR="00C96C10">
        <w:t xml:space="preserve">as well as </w:t>
      </w:r>
      <w:r w:rsidR="00C96C10" w:rsidRPr="004C1587">
        <w:t xml:space="preserve">disease trends, </w:t>
      </w:r>
      <w:r w:rsidR="00C96C10">
        <w:t>a</w:t>
      </w:r>
      <w:r w:rsidR="00C96C10" w:rsidRPr="004C1587">
        <w:t>ge and gender distributions</w:t>
      </w:r>
      <w:r w:rsidR="00C96C10">
        <w:t xml:space="preserve"> when this data was available</w:t>
      </w:r>
      <w:r w:rsidR="00C96C10" w:rsidRPr="004C1587">
        <w:t>.</w:t>
      </w:r>
    </w:p>
    <w:p w14:paraId="75001309" w14:textId="24B64111" w:rsidR="00E07946" w:rsidRDefault="00E07946" w:rsidP="00B01B0A">
      <w:pPr>
        <w:kinsoku w:val="0"/>
        <w:autoSpaceDE w:val="0"/>
        <w:autoSpaceDN w:val="0"/>
        <w:adjustRightInd w:val="0"/>
        <w:spacing w:after="120" w:line="200" w:lineRule="atLeast"/>
        <w:jc w:val="both"/>
        <w:rPr>
          <w:rFonts w:eastAsia="Arial Unicode MS" w:cs="Tahoma"/>
          <w:kern w:val="22"/>
          <w:szCs w:val="18"/>
        </w:rPr>
      </w:pPr>
      <w:r w:rsidRPr="002E0B1E">
        <w:rPr>
          <w:rFonts w:eastAsia="Arial Unicode MS" w:cs="Tahoma"/>
          <w:kern w:val="22"/>
          <w:szCs w:val="18"/>
        </w:rPr>
        <w:t xml:space="preserve">The COVID-19 pandemic significantly impacted on the surveillance </w:t>
      </w:r>
      <w:r>
        <w:rPr>
          <w:rFonts w:eastAsia="Arial Unicode MS" w:cs="Tahoma"/>
          <w:kern w:val="22"/>
          <w:szCs w:val="18"/>
        </w:rPr>
        <w:t>data for</w:t>
      </w:r>
      <w:r w:rsidRPr="002E0B1E">
        <w:rPr>
          <w:rFonts w:eastAsia="Arial Unicode MS" w:cs="Tahoma"/>
          <w:kern w:val="22"/>
          <w:szCs w:val="18"/>
        </w:rPr>
        <w:t xml:space="preserve"> </w:t>
      </w:r>
      <w:r>
        <w:rPr>
          <w:rFonts w:eastAsia="Arial Unicode MS" w:cs="Tahoma"/>
          <w:kern w:val="22"/>
          <w:szCs w:val="18"/>
        </w:rPr>
        <w:t>salmonellosis</w:t>
      </w:r>
      <w:r w:rsidRPr="002E0B1E">
        <w:rPr>
          <w:rFonts w:eastAsia="Arial Unicode MS" w:cs="Tahoma"/>
          <w:kern w:val="22"/>
          <w:szCs w:val="18"/>
        </w:rPr>
        <w:t xml:space="preserve"> in 2020</w:t>
      </w:r>
      <w:r w:rsidR="007860BA">
        <w:rPr>
          <w:rFonts w:eastAsia="Arial Unicode MS" w:cs="Tahoma"/>
          <w:kern w:val="22"/>
          <w:szCs w:val="18"/>
        </w:rPr>
        <w:t>-202</w:t>
      </w:r>
      <w:r w:rsidR="00DD57CC">
        <w:rPr>
          <w:rFonts w:eastAsia="Arial Unicode MS" w:cs="Tahoma"/>
          <w:kern w:val="22"/>
          <w:szCs w:val="18"/>
        </w:rPr>
        <w:t>2</w:t>
      </w:r>
      <w:r w:rsidRPr="002E0B1E">
        <w:rPr>
          <w:rFonts w:eastAsia="Arial Unicode MS" w:cs="Tahoma"/>
          <w:kern w:val="22"/>
          <w:szCs w:val="18"/>
        </w:rPr>
        <w:t xml:space="preserve">. Factors mentioned by countries resulting in lower case numbers were e.g. people avoiding </w:t>
      </w:r>
      <w:proofErr w:type="gramStart"/>
      <w:r w:rsidRPr="002E0B1E">
        <w:rPr>
          <w:rFonts w:eastAsia="Arial Unicode MS" w:cs="Tahoma"/>
          <w:kern w:val="22"/>
          <w:szCs w:val="18"/>
        </w:rPr>
        <w:t>to seek</w:t>
      </w:r>
      <w:proofErr w:type="gramEnd"/>
      <w:r w:rsidRPr="002E0B1E">
        <w:rPr>
          <w:rFonts w:eastAsia="Arial Unicode MS" w:cs="Tahoma"/>
          <w:kern w:val="22"/>
          <w:szCs w:val="18"/>
        </w:rPr>
        <w:t xml:space="preserve"> medical care for mild symptoms </w:t>
      </w:r>
      <w:r w:rsidRPr="001C4E99">
        <w:rPr>
          <w:rFonts w:eastAsia="Arial Unicode MS" w:cs="Tahoma"/>
          <w:kern w:val="22"/>
          <w:szCs w:val="18"/>
        </w:rPr>
        <w:t>due to risk of exposure to COVID-19 in health care facilities</w:t>
      </w:r>
      <w:r w:rsidRPr="002E0B1E">
        <w:rPr>
          <w:rFonts w:eastAsia="Arial Unicode MS" w:cs="Tahoma"/>
          <w:kern w:val="22"/>
          <w:szCs w:val="18"/>
        </w:rPr>
        <w:t xml:space="preserve">, limited </w:t>
      </w:r>
      <w:r>
        <w:rPr>
          <w:rFonts w:eastAsia="Arial Unicode MS" w:cs="Tahoma"/>
          <w:kern w:val="22"/>
          <w:szCs w:val="18"/>
        </w:rPr>
        <w:t xml:space="preserve">laboratory capacity due to reallocation </w:t>
      </w:r>
      <w:r>
        <w:rPr>
          <w:rFonts w:eastAsia="Arial Unicode MS" w:cs="Tahoma"/>
          <w:kern w:val="22"/>
          <w:szCs w:val="18"/>
        </w:rPr>
        <w:t>of resources to SARS-CoV-2, fewer restaurant visits, increased hand washing</w:t>
      </w:r>
      <w:r w:rsidRPr="002E0B1E">
        <w:rPr>
          <w:rFonts w:eastAsia="Arial Unicode MS" w:cs="Tahoma"/>
          <w:kern w:val="22"/>
          <w:szCs w:val="18"/>
        </w:rPr>
        <w:t>, less travel due to travel restriction etc.</w:t>
      </w:r>
    </w:p>
    <w:p w14:paraId="782654D5" w14:textId="5FDF72A6" w:rsidR="005D0F09" w:rsidRDefault="005D0F09" w:rsidP="005D0F09">
      <w:pPr>
        <w:spacing w:after="120" w:line="200" w:lineRule="atLeast"/>
        <w:jc w:val="both"/>
        <w:rPr>
          <w:rFonts w:cs="Tahoma"/>
          <w:color w:val="000000"/>
          <w:szCs w:val="18"/>
        </w:rPr>
      </w:pPr>
      <w:r w:rsidRPr="007B34B1">
        <w:rPr>
          <w:rFonts w:cs="Tahoma"/>
          <w:color w:val="000000"/>
          <w:szCs w:val="18"/>
        </w:rPr>
        <w:t>The observed differences in hospitalisation rates across the EU/EEA countries</w:t>
      </w:r>
      <w:r>
        <w:rPr>
          <w:rFonts w:cs="Tahoma"/>
          <w:color w:val="000000"/>
          <w:szCs w:val="18"/>
        </w:rPr>
        <w:t xml:space="preserve"> are more likely to</w:t>
      </w:r>
      <w:r w:rsidRPr="007B34B1">
        <w:rPr>
          <w:rFonts w:cs="Tahoma"/>
          <w:color w:val="000000"/>
          <w:szCs w:val="18"/>
        </w:rPr>
        <w:t xml:space="preserve"> reflect the diversity in national </w:t>
      </w:r>
      <w:r>
        <w:rPr>
          <w:rFonts w:cs="Tahoma"/>
          <w:color w:val="000000"/>
          <w:szCs w:val="18"/>
        </w:rPr>
        <w:t xml:space="preserve">healthcare and </w:t>
      </w:r>
      <w:r w:rsidRPr="007B34B1">
        <w:rPr>
          <w:rFonts w:cs="Tahoma"/>
          <w:color w:val="000000"/>
          <w:szCs w:val="18"/>
        </w:rPr>
        <w:t>surveillance systems than differences in the severity of the disease. Interestingly, the countries reporting the highest proportions of hospitalised cases (</w:t>
      </w:r>
      <w:r>
        <w:rPr>
          <w:rFonts w:cs="Tahoma"/>
          <w:color w:val="000000"/>
          <w:szCs w:val="18"/>
        </w:rPr>
        <w:t>&gt;</w:t>
      </w:r>
      <w:r w:rsidRPr="007B34B1">
        <w:rPr>
          <w:rFonts w:cs="Tahoma"/>
          <w:color w:val="000000"/>
          <w:szCs w:val="18"/>
        </w:rPr>
        <w:t xml:space="preserve">80%) also </w:t>
      </w:r>
      <w:r>
        <w:rPr>
          <w:rFonts w:cs="Tahoma"/>
          <w:color w:val="000000"/>
          <w:szCs w:val="18"/>
        </w:rPr>
        <w:t>reported</w:t>
      </w:r>
      <w:r w:rsidRPr="007B34B1">
        <w:rPr>
          <w:rFonts w:cs="Tahoma"/>
          <w:color w:val="000000"/>
          <w:szCs w:val="18"/>
        </w:rPr>
        <w:t xml:space="preserve"> the lowest notification rates o</w:t>
      </w:r>
      <w:r>
        <w:rPr>
          <w:rFonts w:cs="Tahoma"/>
          <w:color w:val="000000"/>
          <w:szCs w:val="18"/>
        </w:rPr>
        <w:t>f salmonellosis, which suggests that</w:t>
      </w:r>
      <w:r w:rsidRPr="007B34B1">
        <w:rPr>
          <w:rFonts w:cs="Tahoma"/>
          <w:color w:val="000000"/>
          <w:szCs w:val="18"/>
        </w:rPr>
        <w:t xml:space="preserve"> surveillance systems in th</w:t>
      </w:r>
      <w:r>
        <w:rPr>
          <w:rFonts w:cs="Tahoma"/>
          <w:color w:val="000000"/>
          <w:szCs w:val="18"/>
        </w:rPr>
        <w:t>o</w:t>
      </w:r>
      <w:r w:rsidRPr="007B34B1">
        <w:rPr>
          <w:rFonts w:cs="Tahoma"/>
          <w:color w:val="000000"/>
          <w:szCs w:val="18"/>
        </w:rPr>
        <w:t>se countries primarily focus on the more severe cases.</w:t>
      </w:r>
    </w:p>
    <w:p w14:paraId="0EC4A2D6" w14:textId="77777777" w:rsidR="003A6E26" w:rsidRPr="007B34B1" w:rsidRDefault="003A6E26" w:rsidP="005D0F09">
      <w:pPr>
        <w:spacing w:after="120" w:line="200" w:lineRule="atLeast"/>
        <w:jc w:val="both"/>
        <w:rPr>
          <w:rFonts w:cs="Tahoma"/>
          <w:color w:val="000000"/>
          <w:szCs w:val="18"/>
        </w:rPr>
      </w:pPr>
    </w:p>
    <w:p w14:paraId="71916709" w14:textId="77777777" w:rsidR="005D0F09" w:rsidRPr="0086238E" w:rsidRDefault="005D0F09" w:rsidP="003A6E26">
      <w:pPr>
        <w:pStyle w:val="EC-Title-6"/>
      </w:pPr>
      <w:r w:rsidRPr="007B34B1">
        <w:rPr>
          <w:lang w:val="en-US"/>
        </w:rPr>
        <w:t>Typhoid and paratyphoid fever</w:t>
      </w:r>
    </w:p>
    <w:p w14:paraId="2B1D952B" w14:textId="00804B0E" w:rsidR="00E07946" w:rsidRDefault="005D0F09" w:rsidP="005D0F09">
      <w:pPr>
        <w:autoSpaceDE w:val="0"/>
        <w:autoSpaceDN w:val="0"/>
        <w:adjustRightInd w:val="0"/>
        <w:spacing w:after="120" w:line="200" w:lineRule="atLeast"/>
        <w:jc w:val="both"/>
      </w:pPr>
      <w:r>
        <w:rPr>
          <w:szCs w:val="18"/>
        </w:rPr>
        <w:t>Typhoid and paratyphoid fever</w:t>
      </w:r>
      <w:r>
        <w:rPr>
          <w:rFonts w:eastAsia="Arial Unicode MS" w:cs="Tahoma"/>
          <w:kern w:val="22"/>
          <w:szCs w:val="18"/>
        </w:rPr>
        <w:t xml:space="preserve"> is under mandatory notification in all EU/EEA </w:t>
      </w:r>
      <w:r w:rsidR="006B32B2">
        <w:rPr>
          <w:rFonts w:eastAsia="Arial Unicode MS" w:cs="Tahoma"/>
          <w:kern w:val="22"/>
          <w:szCs w:val="18"/>
        </w:rPr>
        <w:t>countries</w:t>
      </w:r>
      <w:r>
        <w:rPr>
          <w:rFonts w:eastAsia="Arial Unicode MS" w:cs="Tahoma"/>
          <w:kern w:val="22"/>
          <w:szCs w:val="18"/>
        </w:rPr>
        <w:t xml:space="preserve">. </w:t>
      </w:r>
      <w:r w:rsidRPr="007B34B1">
        <w:rPr>
          <w:rFonts w:eastAsia="Arial Unicode MS" w:cs="Tahoma"/>
          <w:kern w:val="22"/>
          <w:szCs w:val="18"/>
        </w:rPr>
        <w:t>The surveillance systems have</w:t>
      </w:r>
      <w:r w:rsidR="00377DED">
        <w:rPr>
          <w:rFonts w:eastAsia="Arial Unicode MS" w:cs="Tahoma"/>
          <w:kern w:val="22"/>
          <w:szCs w:val="18"/>
        </w:rPr>
        <w:t xml:space="preserve"> full</w:t>
      </w:r>
      <w:r w:rsidRPr="007B34B1">
        <w:rPr>
          <w:rFonts w:eastAsia="Arial Unicode MS" w:cs="Tahoma"/>
          <w:kern w:val="22"/>
          <w:szCs w:val="18"/>
        </w:rPr>
        <w:t xml:space="preserve"> national coverage in all </w:t>
      </w:r>
      <w:r>
        <w:rPr>
          <w:rFonts w:eastAsia="Arial Unicode MS" w:cs="Tahoma"/>
          <w:kern w:val="22"/>
          <w:szCs w:val="18"/>
        </w:rPr>
        <w:t xml:space="preserve">but </w:t>
      </w:r>
      <w:r w:rsidR="006B32B2">
        <w:rPr>
          <w:rFonts w:eastAsia="Arial Unicode MS" w:cs="Tahoma"/>
          <w:kern w:val="22"/>
          <w:szCs w:val="18"/>
        </w:rPr>
        <w:t>t</w:t>
      </w:r>
      <w:r w:rsidR="007F2246">
        <w:rPr>
          <w:rFonts w:eastAsia="Arial Unicode MS" w:cs="Tahoma"/>
          <w:kern w:val="22"/>
          <w:szCs w:val="18"/>
        </w:rPr>
        <w:t>wo</w:t>
      </w:r>
      <w:r w:rsidR="00882FA3">
        <w:rPr>
          <w:rFonts w:eastAsia="Arial Unicode MS" w:cs="Tahoma"/>
          <w:kern w:val="22"/>
          <w:szCs w:val="18"/>
        </w:rPr>
        <w:t xml:space="preserve"> </w:t>
      </w:r>
      <w:r w:rsidR="006B32B2">
        <w:rPr>
          <w:rFonts w:eastAsia="Arial Unicode MS" w:cs="Tahoma"/>
          <w:kern w:val="22"/>
          <w:szCs w:val="18"/>
        </w:rPr>
        <w:t xml:space="preserve">EU </w:t>
      </w:r>
      <w:r w:rsidRPr="007B34B1">
        <w:rPr>
          <w:rFonts w:eastAsia="Arial Unicode MS" w:cs="Tahoma"/>
          <w:kern w:val="22"/>
          <w:szCs w:val="18"/>
        </w:rPr>
        <w:t>Member States (</w:t>
      </w:r>
      <w:r w:rsidR="00882FA3">
        <w:rPr>
          <w:rFonts w:eastAsia="Arial Unicode MS" w:cs="Tahoma"/>
          <w:kern w:val="22"/>
          <w:szCs w:val="18"/>
        </w:rPr>
        <w:t>Belgium</w:t>
      </w:r>
      <w:r w:rsidR="007F2246">
        <w:rPr>
          <w:rFonts w:eastAsia="Arial Unicode MS" w:cs="Tahoma"/>
          <w:kern w:val="22"/>
          <w:szCs w:val="18"/>
        </w:rPr>
        <w:t xml:space="preserve"> and</w:t>
      </w:r>
      <w:r w:rsidR="00882FA3">
        <w:rPr>
          <w:rFonts w:eastAsia="Arial Unicode MS" w:cs="Tahoma"/>
          <w:kern w:val="22"/>
          <w:szCs w:val="18"/>
        </w:rPr>
        <w:t xml:space="preserve"> </w:t>
      </w:r>
      <w:r w:rsidRPr="007B34B1">
        <w:rPr>
          <w:rFonts w:eastAsia="Arial Unicode MS" w:cs="Tahoma"/>
          <w:kern w:val="22"/>
          <w:szCs w:val="18"/>
        </w:rPr>
        <w:t xml:space="preserve">the Netherlands). The </w:t>
      </w:r>
      <w:r>
        <w:rPr>
          <w:rFonts w:eastAsia="Arial Unicode MS" w:cs="Tahoma"/>
          <w:kern w:val="22"/>
          <w:szCs w:val="18"/>
        </w:rPr>
        <w:t xml:space="preserve">population </w:t>
      </w:r>
      <w:r w:rsidRPr="007B34B1">
        <w:rPr>
          <w:rFonts w:eastAsia="Arial Unicode MS" w:cs="Tahoma"/>
          <w:kern w:val="22"/>
          <w:szCs w:val="18"/>
        </w:rPr>
        <w:t xml:space="preserve">coverage is estimated to be </w:t>
      </w:r>
      <w:r w:rsidR="00882FA3">
        <w:rPr>
          <w:rFonts w:eastAsia="Arial Unicode MS" w:cs="Tahoma"/>
          <w:kern w:val="22"/>
          <w:szCs w:val="18"/>
        </w:rPr>
        <w:t>85% in Belgium</w:t>
      </w:r>
      <w:r w:rsidR="00972E0F">
        <w:rPr>
          <w:rFonts w:eastAsia="Arial Unicode MS" w:cs="Tahoma"/>
          <w:kern w:val="22"/>
          <w:szCs w:val="18"/>
        </w:rPr>
        <w:t xml:space="preserve"> in 202</w:t>
      </w:r>
      <w:r w:rsidR="0095671E">
        <w:rPr>
          <w:rFonts w:eastAsia="Arial Unicode MS" w:cs="Tahoma"/>
          <w:kern w:val="22"/>
          <w:szCs w:val="18"/>
        </w:rPr>
        <w:t>2</w:t>
      </w:r>
      <w:r w:rsidR="00972E0F">
        <w:rPr>
          <w:rFonts w:eastAsia="Arial Unicode MS" w:cs="Tahoma"/>
          <w:kern w:val="22"/>
          <w:szCs w:val="18"/>
        </w:rPr>
        <w:t>-202</w:t>
      </w:r>
      <w:r w:rsidR="0095671E">
        <w:rPr>
          <w:rFonts w:eastAsia="Arial Unicode MS" w:cs="Tahoma"/>
          <w:kern w:val="22"/>
          <w:szCs w:val="18"/>
        </w:rPr>
        <w:t>3</w:t>
      </w:r>
      <w:r w:rsidR="00882FA3">
        <w:rPr>
          <w:rFonts w:eastAsia="Arial Unicode MS" w:cs="Tahoma"/>
          <w:kern w:val="22"/>
          <w:szCs w:val="18"/>
        </w:rPr>
        <w:t xml:space="preserve">, </w:t>
      </w:r>
      <w:r w:rsidRPr="007B34B1">
        <w:rPr>
          <w:rFonts w:eastAsia="Arial Unicode MS" w:cs="Tahoma"/>
          <w:kern w:val="22"/>
          <w:szCs w:val="18"/>
        </w:rPr>
        <w:t>64% in the Netherlands</w:t>
      </w:r>
      <w:r w:rsidR="00972E0F">
        <w:rPr>
          <w:rFonts w:eastAsia="Arial Unicode MS" w:cs="Tahoma"/>
          <w:kern w:val="22"/>
          <w:szCs w:val="18"/>
        </w:rPr>
        <w:t xml:space="preserve"> for all reporting years</w:t>
      </w:r>
      <w:r>
        <w:rPr>
          <w:rFonts w:eastAsia="Arial Unicode MS" w:cs="Tahoma"/>
          <w:kern w:val="22"/>
          <w:szCs w:val="18"/>
        </w:rPr>
        <w:t>.</w:t>
      </w:r>
      <w:r w:rsidRPr="007B34B1">
        <w:rPr>
          <w:rFonts w:eastAsia="Arial Unicode MS" w:cs="Tahoma"/>
          <w:kern w:val="22"/>
          <w:szCs w:val="18"/>
        </w:rPr>
        <w:t xml:space="preserve"> </w:t>
      </w:r>
      <w:r w:rsidR="007F2246" w:rsidRPr="007D59F7">
        <w:t>These</w:t>
      </w:r>
      <w:r w:rsidR="007F2246" w:rsidRPr="00E23A35">
        <w:t xml:space="preserve"> proportions were used when calculating </w:t>
      </w:r>
      <w:r w:rsidR="007F2246">
        <w:t xml:space="preserve">the national </w:t>
      </w:r>
      <w:r w:rsidR="007F2246" w:rsidRPr="00E23A35">
        <w:t xml:space="preserve">notification rates for these </w:t>
      </w:r>
      <w:r w:rsidR="007F2246">
        <w:t xml:space="preserve">two </w:t>
      </w:r>
      <w:r w:rsidR="007F2246" w:rsidRPr="00E23A35">
        <w:t>Member States</w:t>
      </w:r>
      <w:proofErr w:type="gramStart"/>
      <w:r w:rsidR="00C158DC">
        <w:t xml:space="preserve">. </w:t>
      </w:r>
      <w:r w:rsidRPr="007B34B1">
        <w:rPr>
          <w:rFonts w:eastAsia="Arial Unicode MS" w:cs="Tahoma"/>
          <w:kern w:val="22"/>
          <w:szCs w:val="18"/>
        </w:rPr>
        <w:t>.</w:t>
      </w:r>
      <w:proofErr w:type="gramEnd"/>
      <w:r w:rsidRPr="007B34B1">
        <w:rPr>
          <w:rFonts w:eastAsia="Arial Unicode MS" w:cs="Tahoma"/>
          <w:kern w:val="22"/>
          <w:szCs w:val="18"/>
        </w:rPr>
        <w:t xml:space="preserve"> No information on estimated coverage was provided by </w:t>
      </w:r>
      <w:r>
        <w:rPr>
          <w:rFonts w:eastAsia="Arial Unicode MS" w:cs="Tahoma"/>
          <w:kern w:val="22"/>
          <w:szCs w:val="18"/>
        </w:rPr>
        <w:t>Spain</w:t>
      </w:r>
      <w:r w:rsidR="00A32638">
        <w:rPr>
          <w:rFonts w:eastAsia="Arial Unicode MS" w:cs="Tahoma"/>
          <w:kern w:val="22"/>
          <w:szCs w:val="18"/>
        </w:rPr>
        <w:t xml:space="preserve"> prior 2021</w:t>
      </w:r>
      <w:r w:rsidRPr="007B34B1">
        <w:rPr>
          <w:rFonts w:eastAsia="Arial Unicode MS" w:cs="Tahoma"/>
          <w:kern w:val="22"/>
          <w:szCs w:val="18"/>
        </w:rPr>
        <w:t xml:space="preserve">, </w:t>
      </w:r>
      <w:r w:rsidR="00377DED">
        <w:rPr>
          <w:rFonts w:eastAsia="Arial Unicode MS" w:cs="Tahoma"/>
          <w:kern w:val="22"/>
          <w:szCs w:val="18"/>
        </w:rPr>
        <w:t xml:space="preserve">so </w:t>
      </w:r>
      <w:r w:rsidRPr="007B34B1">
        <w:rPr>
          <w:rFonts w:eastAsia="Arial Unicode MS" w:cs="Tahoma"/>
          <w:kern w:val="22"/>
          <w:szCs w:val="18"/>
        </w:rPr>
        <w:t>notification rate</w:t>
      </w:r>
      <w:r>
        <w:rPr>
          <w:rFonts w:eastAsia="Arial Unicode MS" w:cs="Tahoma"/>
          <w:kern w:val="22"/>
          <w:szCs w:val="18"/>
        </w:rPr>
        <w:t>s</w:t>
      </w:r>
      <w:r w:rsidR="00377DED">
        <w:rPr>
          <w:rFonts w:eastAsia="Arial Unicode MS" w:cs="Tahoma"/>
          <w:kern w:val="22"/>
          <w:szCs w:val="18"/>
        </w:rPr>
        <w:t xml:space="preserve"> were not calculated. </w:t>
      </w:r>
      <w:r w:rsidR="00377DED" w:rsidRPr="00C658E9">
        <w:rPr>
          <w:rFonts w:eastAsia="Arial Unicode MS" w:cs="Tahoma"/>
          <w:kern w:val="22"/>
          <w:szCs w:val="18"/>
        </w:rPr>
        <w:t>All countries report case-based data except Bulgaria which reports aggregated data</w:t>
      </w:r>
      <w:r w:rsidR="00377DED">
        <w:rPr>
          <w:szCs w:val="18"/>
        </w:rPr>
        <w:t xml:space="preserve"> </w:t>
      </w:r>
      <w:r>
        <w:rPr>
          <w:szCs w:val="18"/>
        </w:rPr>
        <w:t>for salmonellosis from which typhoid and paratyphoid cases cannot be distinguished.</w:t>
      </w:r>
      <w:r w:rsidR="002E0B1E" w:rsidRPr="002E0B1E">
        <w:t xml:space="preserve"> </w:t>
      </w:r>
    </w:p>
    <w:p w14:paraId="722AC79E" w14:textId="4986A3FA" w:rsidR="005D0F09" w:rsidRDefault="002E0B1E" w:rsidP="005D0F09">
      <w:pPr>
        <w:autoSpaceDE w:val="0"/>
        <w:autoSpaceDN w:val="0"/>
        <w:adjustRightInd w:val="0"/>
        <w:spacing w:after="120" w:line="200" w:lineRule="atLeast"/>
        <w:jc w:val="both"/>
        <w:rPr>
          <w:szCs w:val="18"/>
        </w:rPr>
      </w:pPr>
      <w:r w:rsidRPr="002E0B1E">
        <w:rPr>
          <w:szCs w:val="18"/>
        </w:rPr>
        <w:t xml:space="preserve">The COVID-19 pandemic </w:t>
      </w:r>
      <w:r w:rsidR="00793312">
        <w:rPr>
          <w:szCs w:val="18"/>
        </w:rPr>
        <w:t xml:space="preserve">and </w:t>
      </w:r>
      <w:r w:rsidR="00CD0865">
        <w:rPr>
          <w:szCs w:val="18"/>
        </w:rPr>
        <w:t xml:space="preserve">the withdrawal of the United Kingdom from the EU </w:t>
      </w:r>
      <w:r w:rsidR="00CE7583">
        <w:rPr>
          <w:szCs w:val="18"/>
        </w:rPr>
        <w:t xml:space="preserve">in 2020 </w:t>
      </w:r>
      <w:r w:rsidRPr="002E0B1E">
        <w:rPr>
          <w:szCs w:val="18"/>
        </w:rPr>
        <w:t xml:space="preserve">significantly impacted on the surveillance </w:t>
      </w:r>
      <w:r w:rsidR="002B3D57">
        <w:rPr>
          <w:szCs w:val="18"/>
        </w:rPr>
        <w:t xml:space="preserve">data for </w:t>
      </w:r>
      <w:r>
        <w:rPr>
          <w:szCs w:val="18"/>
        </w:rPr>
        <w:t>typhoid and paratyphoid fever</w:t>
      </w:r>
      <w:r w:rsidRPr="002E0B1E">
        <w:rPr>
          <w:szCs w:val="18"/>
        </w:rPr>
        <w:t xml:space="preserve"> in 2020</w:t>
      </w:r>
      <w:r w:rsidR="00882FA3">
        <w:rPr>
          <w:szCs w:val="18"/>
        </w:rPr>
        <w:t>-2021</w:t>
      </w:r>
      <w:r w:rsidRPr="002E0B1E">
        <w:rPr>
          <w:szCs w:val="18"/>
        </w:rPr>
        <w:t xml:space="preserve">. </w:t>
      </w:r>
      <w:r>
        <w:rPr>
          <w:szCs w:val="18"/>
        </w:rPr>
        <w:t xml:space="preserve">Travel restrictions most likely had the highest impact on reducing the case numbers in the EU/EEA. </w:t>
      </w:r>
    </w:p>
    <w:p w14:paraId="387B7801" w14:textId="77777777" w:rsidR="002853AD" w:rsidRDefault="002853AD" w:rsidP="005D0F09">
      <w:pPr>
        <w:pStyle w:val="EC-Title-6"/>
        <w:outlineLvl w:val="1"/>
        <w:rPr>
          <w:rFonts w:cs="Tahoma"/>
        </w:rPr>
      </w:pPr>
    </w:p>
    <w:p w14:paraId="174D643C" w14:textId="7ECA0BC4" w:rsidR="005D0F09" w:rsidRPr="00AC07C2" w:rsidRDefault="005D0F09" w:rsidP="005D0F09">
      <w:pPr>
        <w:pStyle w:val="EC-Title-6"/>
        <w:outlineLvl w:val="1"/>
        <w:rPr>
          <w:rFonts w:cs="Tahoma"/>
        </w:rPr>
      </w:pPr>
      <w:r w:rsidRPr="00AC07C2">
        <w:rPr>
          <w:rFonts w:cs="Tahoma"/>
        </w:rPr>
        <w:t>Reports published by ECDC on salmonellosis</w:t>
      </w:r>
      <w:r w:rsidR="00C225D9">
        <w:rPr>
          <w:rFonts w:cs="Tahoma"/>
        </w:rPr>
        <w:t xml:space="preserve"> and typhoid/paratyphoid fever</w:t>
      </w:r>
      <w:r w:rsidRPr="00AC07C2">
        <w:rPr>
          <w:rFonts w:cs="Tahoma"/>
        </w:rPr>
        <w:t xml:space="preserve"> </w:t>
      </w:r>
    </w:p>
    <w:p w14:paraId="0F0B0C52" w14:textId="77777777" w:rsidR="005D0F09" w:rsidRPr="007B34B1" w:rsidRDefault="005D0F09" w:rsidP="005D0F09">
      <w:pPr>
        <w:kinsoku w:val="0"/>
        <w:autoSpaceDE w:val="0"/>
        <w:autoSpaceDN w:val="0"/>
        <w:adjustRightInd w:val="0"/>
        <w:spacing w:after="120" w:line="200" w:lineRule="atLeast"/>
        <w:jc w:val="both"/>
        <w:rPr>
          <w:rFonts w:eastAsia="Arial Unicode MS"/>
          <w:kern w:val="22"/>
          <w:szCs w:val="18"/>
        </w:rPr>
      </w:pPr>
      <w:r w:rsidRPr="007B34B1">
        <w:rPr>
          <w:rFonts w:eastAsia="Arial Unicode MS"/>
          <w:kern w:val="22"/>
          <w:szCs w:val="18"/>
        </w:rPr>
        <w:t xml:space="preserve">More information is available in ECDC reports. </w:t>
      </w:r>
      <w:r>
        <w:rPr>
          <w:rFonts w:eastAsia="Arial Unicode MS"/>
          <w:kern w:val="22"/>
          <w:szCs w:val="18"/>
        </w:rPr>
        <w:t>L</w:t>
      </w:r>
      <w:r w:rsidRPr="007B34B1">
        <w:rPr>
          <w:rFonts w:eastAsia="Arial Unicode MS"/>
          <w:kern w:val="22"/>
          <w:szCs w:val="18"/>
        </w:rPr>
        <w:t xml:space="preserve">ater retrievals of data related to the same period may result in slightly different numbers as countries have the possibility to update data retrospectively. Therefore, the data presented in the reports might slightly differ </w:t>
      </w:r>
      <w:r>
        <w:rPr>
          <w:rFonts w:eastAsia="Arial Unicode MS"/>
          <w:kern w:val="22"/>
          <w:szCs w:val="18"/>
        </w:rPr>
        <w:t>from</w:t>
      </w:r>
      <w:r w:rsidRPr="007B34B1">
        <w:rPr>
          <w:rFonts w:eastAsia="Arial Unicode MS"/>
          <w:kern w:val="22"/>
          <w:szCs w:val="18"/>
        </w:rPr>
        <w:t xml:space="preserve"> th</w:t>
      </w:r>
      <w:r>
        <w:rPr>
          <w:rFonts w:eastAsia="Arial Unicode MS"/>
          <w:kern w:val="22"/>
          <w:szCs w:val="18"/>
        </w:rPr>
        <w:t>ose</w:t>
      </w:r>
      <w:r w:rsidRPr="007B34B1">
        <w:rPr>
          <w:rFonts w:eastAsia="Arial Unicode MS"/>
          <w:kern w:val="22"/>
          <w:szCs w:val="18"/>
        </w:rPr>
        <w:t xml:space="preserve"> presented in the Surveillance Atlas.</w:t>
      </w:r>
    </w:p>
    <w:p w14:paraId="1A0F37AF" w14:textId="77777777" w:rsidR="00B83EEE" w:rsidRPr="00A10E7D" w:rsidRDefault="00B83EEE" w:rsidP="00B83EEE">
      <w:pPr>
        <w:pStyle w:val="EC-Para"/>
        <w:spacing w:after="0"/>
        <w:rPr>
          <w:rFonts w:eastAsiaTheme="minorHAnsi" w:cs="Tahoma"/>
          <w:b/>
          <w:lang w:eastAsia="en-US"/>
        </w:rPr>
      </w:pPr>
      <w:r w:rsidRPr="00A10E7D">
        <w:rPr>
          <w:rFonts w:eastAsiaTheme="minorHAnsi" w:cs="Tahoma"/>
          <w:b/>
          <w:lang w:eastAsia="en-US"/>
        </w:rPr>
        <w:t>Annual epidemiological report for 202</w:t>
      </w:r>
      <w:r>
        <w:rPr>
          <w:rFonts w:eastAsiaTheme="minorHAnsi" w:cs="Tahoma"/>
          <w:b/>
          <w:lang w:eastAsia="en-US"/>
        </w:rPr>
        <w:t>2</w:t>
      </w:r>
      <w:r w:rsidRPr="00A10E7D">
        <w:rPr>
          <w:rFonts w:eastAsiaTheme="minorHAnsi" w:cs="Tahoma"/>
          <w:b/>
          <w:lang w:eastAsia="en-US"/>
        </w:rPr>
        <w:t xml:space="preserve"> – Salmonellosis:</w:t>
      </w:r>
    </w:p>
    <w:p w14:paraId="54D7F9BB" w14:textId="77777777" w:rsidR="00B83EEE" w:rsidRPr="00A10E7D" w:rsidRDefault="00000000" w:rsidP="00B83EEE">
      <w:pPr>
        <w:pStyle w:val="EC-Para"/>
        <w:spacing w:after="0"/>
      </w:pPr>
      <w:hyperlink r:id="rId59" w:history="1">
        <w:r w:rsidR="00B83EEE" w:rsidRPr="00A10E7D">
          <w:rPr>
            <w:rStyle w:val="Hyperlink"/>
            <w:sz w:val="18"/>
          </w:rPr>
          <w:t>Annual epidemiological report 2022 - Salmonellosis (europa.eu)</w:t>
        </w:r>
      </w:hyperlink>
    </w:p>
    <w:p w14:paraId="7C946DDF" w14:textId="77777777" w:rsidR="00B83EEE" w:rsidRDefault="00B83EEE" w:rsidP="00B83EEE">
      <w:pPr>
        <w:pStyle w:val="EC-Para"/>
        <w:spacing w:after="0"/>
      </w:pPr>
    </w:p>
    <w:p w14:paraId="6547F647" w14:textId="4932B692" w:rsidR="00B83EEE" w:rsidRPr="00CD4DE9" w:rsidRDefault="00B83EEE" w:rsidP="00B83EEE">
      <w:pPr>
        <w:pStyle w:val="EC-Para"/>
        <w:spacing w:after="0"/>
        <w:rPr>
          <w:rFonts w:eastAsiaTheme="minorHAnsi" w:cs="Tahoma"/>
          <w:b/>
          <w:lang w:eastAsia="en-US"/>
        </w:rPr>
      </w:pPr>
      <w:r w:rsidRPr="00CD4DE9">
        <w:rPr>
          <w:rFonts w:eastAsiaTheme="minorHAnsi" w:cs="Tahoma"/>
          <w:b/>
          <w:lang w:eastAsia="en-US"/>
        </w:rPr>
        <w:t>Annual epidemiological report for 20</w:t>
      </w:r>
      <w:r w:rsidR="002431DA">
        <w:rPr>
          <w:rFonts w:eastAsiaTheme="minorHAnsi" w:cs="Tahoma"/>
          <w:b/>
          <w:lang w:eastAsia="en-US"/>
        </w:rPr>
        <w:t>21</w:t>
      </w:r>
      <w:r w:rsidRPr="00CD4DE9">
        <w:rPr>
          <w:rFonts w:eastAsiaTheme="minorHAnsi" w:cs="Tahoma"/>
          <w:b/>
          <w:lang w:eastAsia="en-US"/>
        </w:rPr>
        <w:t xml:space="preserve"> – Typhoid and paratyphoid fever:</w:t>
      </w:r>
    </w:p>
    <w:p w14:paraId="51424DBC" w14:textId="07D3B914" w:rsidR="002431DA" w:rsidRDefault="00000000" w:rsidP="00A1421E">
      <w:pPr>
        <w:pStyle w:val="EC-Para"/>
        <w:spacing w:after="0"/>
        <w:jc w:val="both"/>
        <w:rPr>
          <w:rFonts w:eastAsiaTheme="minorEastAsia" w:cstheme="minorBidi"/>
          <w:kern w:val="0"/>
          <w:szCs w:val="22"/>
          <w:lang w:eastAsia="en-US"/>
        </w:rPr>
      </w:pPr>
      <w:hyperlink r:id="rId60" w:history="1">
        <w:r w:rsidR="002431DA" w:rsidRPr="00D277DE">
          <w:rPr>
            <w:rStyle w:val="Hyperlink"/>
            <w:rFonts w:eastAsiaTheme="minorEastAsia" w:cstheme="minorBidi"/>
            <w:kern w:val="0"/>
            <w:sz w:val="18"/>
            <w:szCs w:val="22"/>
            <w:lang w:eastAsia="en-US"/>
          </w:rPr>
          <w:t>https://www.ecdc.europa.eu/sites/default/files/documents/AER-Typhoid-paratyphoid-2021.pdf</w:t>
        </w:r>
      </w:hyperlink>
    </w:p>
    <w:p w14:paraId="616D44BA" w14:textId="77777777" w:rsidR="002431DA" w:rsidRDefault="002431DA" w:rsidP="00A1421E">
      <w:pPr>
        <w:pStyle w:val="EC-Para"/>
        <w:spacing w:after="0"/>
        <w:jc w:val="both"/>
        <w:rPr>
          <w:rFonts w:eastAsiaTheme="minorEastAsia" w:cstheme="minorBidi"/>
          <w:kern w:val="0"/>
          <w:szCs w:val="22"/>
          <w:lang w:eastAsia="en-US"/>
        </w:rPr>
      </w:pPr>
    </w:p>
    <w:p w14:paraId="2F987F7A" w14:textId="7D9F4028" w:rsidR="00A1421E" w:rsidRPr="00CD4DE9" w:rsidRDefault="00A1421E" w:rsidP="00A1421E">
      <w:pPr>
        <w:pStyle w:val="EC-Para"/>
        <w:spacing w:after="0"/>
        <w:jc w:val="both"/>
        <w:rPr>
          <w:b/>
        </w:rPr>
      </w:pPr>
      <w:r w:rsidRPr="00CD4DE9">
        <w:rPr>
          <w:b/>
        </w:rPr>
        <w:t>EFSA and ECDC (European Food Safety Authority and European Centre for Disease Prevention and Control), 202</w:t>
      </w:r>
      <w:r w:rsidR="00411FB0">
        <w:rPr>
          <w:b/>
        </w:rPr>
        <w:t>3</w:t>
      </w:r>
      <w:r w:rsidRPr="00CD4DE9">
        <w:rPr>
          <w:b/>
        </w:rPr>
        <w:t>. The European Union One Health 202</w:t>
      </w:r>
      <w:r w:rsidR="00411FB0">
        <w:rPr>
          <w:b/>
        </w:rPr>
        <w:t>2</w:t>
      </w:r>
      <w:r w:rsidRPr="00CD4DE9">
        <w:rPr>
          <w:b/>
        </w:rPr>
        <w:t xml:space="preserve"> Zoonoses Report</w:t>
      </w:r>
      <w:r w:rsidR="00097994">
        <w:rPr>
          <w:b/>
        </w:rPr>
        <w:t xml:space="preserve"> (December 2023)</w:t>
      </w:r>
      <w:r w:rsidRPr="00CD4DE9">
        <w:rPr>
          <w:b/>
        </w:rPr>
        <w:t>:</w:t>
      </w:r>
    </w:p>
    <w:p w14:paraId="5BDCAE3C" w14:textId="77777777" w:rsidR="00411FB0" w:rsidRDefault="00000000" w:rsidP="00411FB0">
      <w:pPr>
        <w:pStyle w:val="EC-Para"/>
        <w:spacing w:after="0"/>
        <w:rPr>
          <w:color w:val="69AE23"/>
        </w:rPr>
      </w:pPr>
      <w:hyperlink r:id="rId61" w:history="1">
        <w:r w:rsidR="00411FB0" w:rsidRPr="008D42C9">
          <w:rPr>
            <w:rStyle w:val="Hyperlink"/>
            <w:sz w:val="18"/>
          </w:rPr>
          <w:t>https://efsa.onlinelibrary.wiley.com/doi/epdf/10.2903/j.efsa.2023.8442</w:t>
        </w:r>
      </w:hyperlink>
    </w:p>
    <w:p w14:paraId="2F17CCB1" w14:textId="77777777" w:rsidR="00411FB0" w:rsidRDefault="00411FB0" w:rsidP="00DA2FAA">
      <w:pPr>
        <w:pStyle w:val="EC-Para"/>
        <w:spacing w:after="0"/>
        <w:rPr>
          <w:b/>
        </w:rPr>
      </w:pPr>
    </w:p>
    <w:p w14:paraId="52707B76" w14:textId="569B1433" w:rsidR="00DA2FAA" w:rsidRDefault="0086238E" w:rsidP="00DA2FAA">
      <w:pPr>
        <w:pStyle w:val="EC-Para"/>
        <w:spacing w:after="0"/>
        <w:rPr>
          <w:b/>
        </w:rPr>
      </w:pPr>
      <w:r w:rsidRPr="00CD4DE9">
        <w:rPr>
          <w:b/>
        </w:rPr>
        <w:t xml:space="preserve">EFSA and ECDC </w:t>
      </w:r>
      <w:r w:rsidR="000E28B8" w:rsidRPr="00CD4DE9">
        <w:rPr>
          <w:b/>
        </w:rPr>
        <w:t>(European Food Safety Authority and European Centre for Disease Prevention and Control), 202</w:t>
      </w:r>
      <w:r w:rsidR="00817EA2">
        <w:rPr>
          <w:b/>
        </w:rPr>
        <w:t>4</w:t>
      </w:r>
      <w:r w:rsidR="000E28B8" w:rsidRPr="00CD4DE9">
        <w:rPr>
          <w:b/>
        </w:rPr>
        <w:t xml:space="preserve">. </w:t>
      </w:r>
      <w:r w:rsidR="00DA2FAA" w:rsidRPr="00CD4DE9">
        <w:rPr>
          <w:b/>
        </w:rPr>
        <w:t>The European Union Summary Report on Antimicrobial Resistance in zoonotic and indicator bacteria from humans, animals and food in 20</w:t>
      </w:r>
      <w:r w:rsidR="00882FA3" w:rsidRPr="00CD4DE9">
        <w:rPr>
          <w:b/>
        </w:rPr>
        <w:t>2</w:t>
      </w:r>
      <w:r w:rsidR="00D9127F">
        <w:rPr>
          <w:b/>
        </w:rPr>
        <w:t>1-</w:t>
      </w:r>
      <w:r w:rsidR="00EA4501">
        <w:rPr>
          <w:b/>
        </w:rPr>
        <w:t>202</w:t>
      </w:r>
      <w:r w:rsidR="00D9127F">
        <w:rPr>
          <w:b/>
        </w:rPr>
        <w:t>2</w:t>
      </w:r>
      <w:r w:rsidR="00097994">
        <w:rPr>
          <w:b/>
        </w:rPr>
        <w:t xml:space="preserve"> (</w:t>
      </w:r>
      <w:r w:rsidR="00187D48">
        <w:rPr>
          <w:b/>
        </w:rPr>
        <w:t>February</w:t>
      </w:r>
      <w:r w:rsidR="00097994">
        <w:rPr>
          <w:b/>
        </w:rPr>
        <w:t xml:space="preserve"> 202</w:t>
      </w:r>
      <w:r w:rsidR="00187D48">
        <w:rPr>
          <w:b/>
        </w:rPr>
        <w:t>4</w:t>
      </w:r>
      <w:r w:rsidR="00097994">
        <w:rPr>
          <w:b/>
        </w:rPr>
        <w:t>)</w:t>
      </w:r>
      <w:r w:rsidR="00DA2FAA" w:rsidRPr="00CD4DE9">
        <w:rPr>
          <w:b/>
        </w:rPr>
        <w:t>:</w:t>
      </w:r>
    </w:p>
    <w:p w14:paraId="16B470E6" w14:textId="356DC199" w:rsidR="00097994" w:rsidRDefault="00000000" w:rsidP="002E140D">
      <w:pPr>
        <w:pStyle w:val="EC-Para"/>
        <w:spacing w:after="0"/>
      </w:pPr>
      <w:hyperlink r:id="rId62" w:history="1">
        <w:r w:rsidR="008A19A2" w:rsidRPr="00D277DE">
          <w:rPr>
            <w:rStyle w:val="Hyperlink"/>
            <w:sz w:val="18"/>
          </w:rPr>
          <w:t>https://efsa.onlinelibrary.wiley.com/doi/epdf/10.2903/j.efsa.2024.8583</w:t>
        </w:r>
      </w:hyperlink>
    </w:p>
    <w:p w14:paraId="772E49FC" w14:textId="77777777" w:rsidR="008A19A2" w:rsidRPr="00097994" w:rsidRDefault="008A19A2" w:rsidP="002E140D">
      <w:pPr>
        <w:pStyle w:val="EC-Para"/>
        <w:spacing w:after="0"/>
        <w:rPr>
          <w:rFonts w:eastAsiaTheme="minorHAnsi" w:cs="Tahoma"/>
          <w:b/>
          <w:lang w:eastAsia="en-US"/>
        </w:rPr>
      </w:pPr>
    </w:p>
    <w:p w14:paraId="75AFD0DD" w14:textId="4BFFC194" w:rsidR="00254337" w:rsidRDefault="004D5A22" w:rsidP="00432FBD">
      <w:pPr>
        <w:autoSpaceDE w:val="0"/>
        <w:autoSpaceDN w:val="0"/>
        <w:adjustRightInd w:val="0"/>
        <w:spacing w:after="0" w:line="240" w:lineRule="auto"/>
        <w:rPr>
          <w:rFonts w:cs="Tahoma"/>
          <w:b/>
          <w:szCs w:val="18"/>
        </w:rPr>
      </w:pPr>
      <w:r w:rsidRPr="00CD4DE9">
        <w:rPr>
          <w:rFonts w:cs="Tahoma"/>
          <w:b/>
          <w:szCs w:val="18"/>
        </w:rPr>
        <w:t>T</w:t>
      </w:r>
      <w:r w:rsidR="00805945">
        <w:rPr>
          <w:rFonts w:cs="Tahoma"/>
          <w:b/>
          <w:szCs w:val="18"/>
        </w:rPr>
        <w:t>hirteenth</w:t>
      </w:r>
      <w:r w:rsidR="005D0F09" w:rsidRPr="00CD4DE9">
        <w:rPr>
          <w:rFonts w:cs="Tahoma"/>
          <w:b/>
          <w:szCs w:val="18"/>
        </w:rPr>
        <w:t xml:space="preserve"> external quality assessment </w:t>
      </w:r>
      <w:r w:rsidR="003251F8" w:rsidRPr="00CD4DE9">
        <w:rPr>
          <w:rFonts w:cs="Tahoma"/>
          <w:b/>
          <w:szCs w:val="18"/>
        </w:rPr>
        <w:t xml:space="preserve">scheme </w:t>
      </w:r>
      <w:r w:rsidR="005D0F09" w:rsidRPr="00CD4DE9">
        <w:rPr>
          <w:rFonts w:cs="Tahoma"/>
          <w:b/>
          <w:szCs w:val="18"/>
        </w:rPr>
        <w:t xml:space="preserve">for </w:t>
      </w:r>
      <w:r w:rsidR="005D0F09" w:rsidRPr="00CD4DE9">
        <w:rPr>
          <w:rFonts w:cs="Tahoma"/>
          <w:b/>
          <w:i/>
          <w:szCs w:val="18"/>
        </w:rPr>
        <w:t>Salmonella</w:t>
      </w:r>
      <w:r w:rsidR="005D0F09" w:rsidRPr="00CD4DE9">
        <w:rPr>
          <w:rFonts w:cs="Tahoma"/>
          <w:b/>
          <w:szCs w:val="18"/>
        </w:rPr>
        <w:t xml:space="preserve"> typing</w:t>
      </w:r>
      <w:r w:rsidR="000C71E6">
        <w:rPr>
          <w:rFonts w:cs="Tahoma"/>
          <w:b/>
          <w:szCs w:val="18"/>
        </w:rPr>
        <w:t xml:space="preserve"> (</w:t>
      </w:r>
      <w:r w:rsidR="00805945">
        <w:rPr>
          <w:rFonts w:cs="Tahoma"/>
          <w:b/>
          <w:szCs w:val="18"/>
        </w:rPr>
        <w:t>June</w:t>
      </w:r>
      <w:r w:rsidR="000C71E6">
        <w:rPr>
          <w:rFonts w:cs="Tahoma"/>
          <w:b/>
          <w:szCs w:val="18"/>
        </w:rPr>
        <w:t xml:space="preserve"> 202</w:t>
      </w:r>
      <w:r w:rsidR="00805945">
        <w:rPr>
          <w:rFonts w:cs="Tahoma"/>
          <w:b/>
          <w:szCs w:val="18"/>
        </w:rPr>
        <w:t>4</w:t>
      </w:r>
      <w:r w:rsidR="000C71E6">
        <w:rPr>
          <w:rFonts w:cs="Tahoma"/>
          <w:b/>
          <w:szCs w:val="18"/>
        </w:rPr>
        <w:t>)</w:t>
      </w:r>
      <w:r w:rsidR="00254337" w:rsidRPr="00CD4DE9">
        <w:rPr>
          <w:rFonts w:cs="Tahoma"/>
          <w:b/>
          <w:szCs w:val="18"/>
        </w:rPr>
        <w:t>:</w:t>
      </w:r>
      <w:r w:rsidR="005D0F09" w:rsidRPr="00CD4DE9">
        <w:rPr>
          <w:rFonts w:cs="Tahoma"/>
          <w:b/>
          <w:szCs w:val="18"/>
        </w:rPr>
        <w:t xml:space="preserve"> </w:t>
      </w:r>
    </w:p>
    <w:p w14:paraId="41A877B2" w14:textId="77C27E33" w:rsidR="00432FBD" w:rsidRDefault="00000000" w:rsidP="00432FBD">
      <w:pPr>
        <w:autoSpaceDE w:val="0"/>
        <w:autoSpaceDN w:val="0"/>
        <w:adjustRightInd w:val="0"/>
        <w:spacing w:after="0" w:line="240" w:lineRule="auto"/>
        <w:rPr>
          <w:rStyle w:val="Hyperlink"/>
          <w:rFonts w:cs="Tahoma"/>
          <w:sz w:val="18"/>
          <w:szCs w:val="18"/>
        </w:rPr>
      </w:pPr>
      <w:hyperlink r:id="rId63" w:history="1">
        <w:r w:rsidR="00432FBD" w:rsidRPr="00D277DE">
          <w:rPr>
            <w:rStyle w:val="Hyperlink"/>
            <w:rFonts w:cs="Tahoma"/>
            <w:sz w:val="18"/>
            <w:szCs w:val="18"/>
          </w:rPr>
          <w:t>https://www.ecdc.europa.eu/en/publications-data/thirteenth-external-quality-assessment-salmonella-typing</w:t>
        </w:r>
      </w:hyperlink>
    </w:p>
    <w:p w14:paraId="351D6245" w14:textId="77777777" w:rsidR="00432FBD" w:rsidRPr="00CD4DE9" w:rsidRDefault="00432FBD" w:rsidP="00432FBD">
      <w:pPr>
        <w:autoSpaceDE w:val="0"/>
        <w:autoSpaceDN w:val="0"/>
        <w:adjustRightInd w:val="0"/>
        <w:spacing w:after="0" w:line="240" w:lineRule="auto"/>
        <w:rPr>
          <w:rStyle w:val="Hyperlink"/>
          <w:rFonts w:cs="Tahoma"/>
          <w:sz w:val="18"/>
          <w:szCs w:val="18"/>
        </w:rPr>
      </w:pPr>
    </w:p>
    <w:p w14:paraId="74ECA797" w14:textId="1DEC7BBC" w:rsidR="00254337" w:rsidRDefault="000E19B6" w:rsidP="00C03213">
      <w:pPr>
        <w:autoSpaceDE w:val="0"/>
        <w:autoSpaceDN w:val="0"/>
        <w:adjustRightInd w:val="0"/>
        <w:spacing w:after="120"/>
        <w:rPr>
          <w:rStyle w:val="Hyperlink"/>
          <w:rFonts w:cs="Tahoma"/>
          <w:sz w:val="18"/>
          <w:szCs w:val="18"/>
        </w:rPr>
      </w:pPr>
      <w:r w:rsidRPr="00CD4DE9">
        <w:rPr>
          <w:rFonts w:cs="Tahoma"/>
          <w:b/>
          <w:szCs w:val="18"/>
        </w:rPr>
        <w:t>Fourth</w:t>
      </w:r>
      <w:r w:rsidR="00254337" w:rsidRPr="00CD4DE9">
        <w:rPr>
          <w:rFonts w:cs="Tahoma"/>
          <w:b/>
          <w:szCs w:val="18"/>
        </w:rPr>
        <w:t xml:space="preserve"> external quality assessment on antimicrobial susceptibility testing and detection of ESBL-, acquired </w:t>
      </w:r>
      <w:proofErr w:type="spellStart"/>
      <w:r w:rsidR="00254337" w:rsidRPr="00CD4DE9">
        <w:rPr>
          <w:rFonts w:cs="Tahoma"/>
          <w:b/>
          <w:szCs w:val="18"/>
        </w:rPr>
        <w:t>AmpC</w:t>
      </w:r>
      <w:proofErr w:type="spellEnd"/>
      <w:r w:rsidR="00254337" w:rsidRPr="00CD4DE9">
        <w:rPr>
          <w:rFonts w:cs="Tahoma"/>
          <w:b/>
          <w:szCs w:val="18"/>
        </w:rPr>
        <w:t xml:space="preserve">-, and </w:t>
      </w:r>
      <w:proofErr w:type="spellStart"/>
      <w:r w:rsidR="00254337" w:rsidRPr="00CD4DE9">
        <w:rPr>
          <w:rFonts w:cs="Tahoma"/>
          <w:b/>
          <w:szCs w:val="18"/>
        </w:rPr>
        <w:t>carbapenemase</w:t>
      </w:r>
      <w:proofErr w:type="spellEnd"/>
      <w:r w:rsidR="00254337" w:rsidRPr="00CD4DE9">
        <w:rPr>
          <w:rFonts w:cs="Tahoma"/>
          <w:b/>
          <w:szCs w:val="18"/>
        </w:rPr>
        <w:t xml:space="preserve">-production of </w:t>
      </w:r>
      <w:r w:rsidR="00254337" w:rsidRPr="00CD4DE9">
        <w:rPr>
          <w:rFonts w:cs="Tahoma"/>
          <w:b/>
          <w:i/>
          <w:szCs w:val="18"/>
        </w:rPr>
        <w:t>Salmonella</w:t>
      </w:r>
      <w:r w:rsidR="00254337" w:rsidRPr="00CD4DE9">
        <w:rPr>
          <w:rFonts w:cs="Tahoma"/>
          <w:b/>
          <w:szCs w:val="18"/>
        </w:rPr>
        <w:t>, 201</w:t>
      </w:r>
      <w:r w:rsidRPr="00CD4DE9">
        <w:rPr>
          <w:rFonts w:cs="Tahoma"/>
          <w:b/>
          <w:szCs w:val="18"/>
        </w:rPr>
        <w:t>8</w:t>
      </w:r>
      <w:r w:rsidR="00C50BA6">
        <w:rPr>
          <w:rFonts w:cs="Tahoma"/>
          <w:b/>
          <w:szCs w:val="18"/>
        </w:rPr>
        <w:t xml:space="preserve"> (May 2021)</w:t>
      </w:r>
      <w:r w:rsidR="00254337" w:rsidRPr="00CD4DE9">
        <w:rPr>
          <w:rFonts w:cs="Tahoma"/>
          <w:b/>
          <w:szCs w:val="18"/>
        </w:rPr>
        <w:t xml:space="preserve">: </w:t>
      </w:r>
      <w:r w:rsidRPr="00CD4DE9">
        <w:rPr>
          <w:szCs w:val="18"/>
        </w:rPr>
        <w:t xml:space="preserve"> </w:t>
      </w:r>
      <w:hyperlink r:id="rId64" w:history="1">
        <w:r w:rsidR="000101E3" w:rsidRPr="00CD4DE9">
          <w:rPr>
            <w:rStyle w:val="Hyperlink"/>
            <w:rFonts w:cs="Tahoma"/>
            <w:sz w:val="18"/>
            <w:szCs w:val="18"/>
          </w:rPr>
          <w:t>https://www.ecdc.europa.eu/en/publications-data/fourth-external-quality-assessment-antimicrobial-susceptibility-testing-salmonella</w:t>
        </w:r>
      </w:hyperlink>
    </w:p>
    <w:p w14:paraId="4B512F1C" w14:textId="0B1D3E2F" w:rsidR="00AB68AE" w:rsidRPr="00AB68AE" w:rsidRDefault="00AB68AE" w:rsidP="00582DDB">
      <w:pPr>
        <w:autoSpaceDE w:val="0"/>
        <w:autoSpaceDN w:val="0"/>
        <w:adjustRightInd w:val="0"/>
        <w:spacing w:after="0" w:line="240" w:lineRule="auto"/>
        <w:rPr>
          <w:rFonts w:cs="Tahoma"/>
          <w:b/>
          <w:bCs/>
          <w:szCs w:val="18"/>
        </w:rPr>
      </w:pPr>
      <w:r w:rsidRPr="00AB68AE">
        <w:rPr>
          <w:rFonts w:cs="Tahoma"/>
          <w:b/>
          <w:bCs/>
          <w:szCs w:val="18"/>
        </w:rPr>
        <w:lastRenderedPageBreak/>
        <w:t xml:space="preserve">Rapid Outbreak Assessment: Multi-country outbreak of Salmonella </w:t>
      </w:r>
      <w:proofErr w:type="spellStart"/>
      <w:r w:rsidRPr="00AB68AE">
        <w:rPr>
          <w:rFonts w:cs="Tahoma"/>
          <w:b/>
          <w:bCs/>
          <w:szCs w:val="18"/>
        </w:rPr>
        <w:t>Mbandaka</w:t>
      </w:r>
      <w:proofErr w:type="spellEnd"/>
      <w:r w:rsidRPr="00AB68AE">
        <w:rPr>
          <w:rFonts w:cs="Tahoma"/>
          <w:b/>
          <w:bCs/>
          <w:szCs w:val="18"/>
        </w:rPr>
        <w:t xml:space="preserve"> ST413 linked to consumption of chicken meat products in the EU/EEA and the UK – first update</w:t>
      </w:r>
      <w:r>
        <w:rPr>
          <w:rFonts w:cs="Tahoma"/>
          <w:b/>
          <w:bCs/>
          <w:szCs w:val="18"/>
        </w:rPr>
        <w:t xml:space="preserve"> (</w:t>
      </w:r>
      <w:r w:rsidR="00441D88">
        <w:rPr>
          <w:rFonts w:cs="Tahoma"/>
          <w:b/>
          <w:bCs/>
          <w:szCs w:val="18"/>
        </w:rPr>
        <w:t xml:space="preserve">21 March </w:t>
      </w:r>
      <w:r>
        <w:rPr>
          <w:rFonts w:cs="Tahoma"/>
          <w:b/>
          <w:bCs/>
          <w:szCs w:val="18"/>
        </w:rPr>
        <w:t>2024</w:t>
      </w:r>
      <w:r w:rsidR="00441D88">
        <w:rPr>
          <w:rFonts w:cs="Tahoma"/>
          <w:b/>
          <w:bCs/>
          <w:szCs w:val="18"/>
        </w:rPr>
        <w:t>):</w:t>
      </w:r>
    </w:p>
    <w:p w14:paraId="752C2FE9" w14:textId="11843AB4" w:rsidR="00AB68AE" w:rsidRDefault="00000000" w:rsidP="00582DDB">
      <w:pPr>
        <w:autoSpaceDE w:val="0"/>
        <w:autoSpaceDN w:val="0"/>
        <w:adjustRightInd w:val="0"/>
        <w:spacing w:after="0" w:line="240" w:lineRule="auto"/>
        <w:rPr>
          <w:rFonts w:cs="Tahoma"/>
          <w:color w:val="69AE23"/>
          <w:szCs w:val="18"/>
        </w:rPr>
      </w:pPr>
      <w:hyperlink r:id="rId65" w:history="1">
        <w:r w:rsidR="00441D88" w:rsidRPr="00441D88">
          <w:rPr>
            <w:rStyle w:val="Hyperlink"/>
            <w:rFonts w:cs="Tahoma"/>
            <w:sz w:val="18"/>
            <w:szCs w:val="18"/>
          </w:rPr>
          <w:t xml:space="preserve">Multi-country outbreak of Salmonella </w:t>
        </w:r>
        <w:proofErr w:type="spellStart"/>
        <w:r w:rsidR="00441D88" w:rsidRPr="00441D88">
          <w:rPr>
            <w:rStyle w:val="Hyperlink"/>
            <w:rFonts w:cs="Tahoma"/>
            <w:sz w:val="18"/>
            <w:szCs w:val="18"/>
          </w:rPr>
          <w:t>Mbandaka</w:t>
        </w:r>
        <w:proofErr w:type="spellEnd"/>
        <w:r w:rsidR="00441D88" w:rsidRPr="00441D88">
          <w:rPr>
            <w:rStyle w:val="Hyperlink"/>
            <w:rFonts w:cs="Tahoma"/>
            <w:sz w:val="18"/>
            <w:szCs w:val="18"/>
          </w:rPr>
          <w:t xml:space="preserve"> ST413 linked to consumption of chicken meat products in the EU/EEA and the UK – first update (europa.eu)</w:t>
        </w:r>
      </w:hyperlink>
    </w:p>
    <w:p w14:paraId="44335BD5" w14:textId="77777777" w:rsidR="00AB68AE" w:rsidRDefault="00AB68AE" w:rsidP="00C03213">
      <w:pPr>
        <w:autoSpaceDE w:val="0"/>
        <w:autoSpaceDN w:val="0"/>
        <w:adjustRightInd w:val="0"/>
        <w:spacing w:after="120"/>
        <w:rPr>
          <w:rStyle w:val="Hyperlink"/>
          <w:rFonts w:cs="Tahoma"/>
          <w:sz w:val="18"/>
          <w:szCs w:val="18"/>
        </w:rPr>
      </w:pPr>
    </w:p>
    <w:p w14:paraId="2511E71C" w14:textId="2CCBB3E1" w:rsidR="006C0F54" w:rsidRPr="00643EEA" w:rsidRDefault="006C0F54" w:rsidP="00370684">
      <w:pPr>
        <w:autoSpaceDE w:val="0"/>
        <w:autoSpaceDN w:val="0"/>
        <w:adjustRightInd w:val="0"/>
        <w:spacing w:after="0"/>
        <w:rPr>
          <w:rFonts w:cs="Tahoma"/>
          <w:b/>
          <w:szCs w:val="18"/>
        </w:rPr>
      </w:pPr>
      <w:r w:rsidRPr="00643EEA">
        <w:rPr>
          <w:rFonts w:cs="Tahoma"/>
          <w:b/>
          <w:szCs w:val="18"/>
        </w:rPr>
        <w:t>Rapid outbreak assessment: Three clusters of Salmonella Enteritidis ST11 infections linked to chicken meat and chicken meat products (26 October 2023):</w:t>
      </w:r>
    </w:p>
    <w:p w14:paraId="00C41647" w14:textId="21812BDB" w:rsidR="006C0F54" w:rsidRPr="00643EEA" w:rsidRDefault="00000000" w:rsidP="00370684">
      <w:pPr>
        <w:autoSpaceDE w:val="0"/>
        <w:autoSpaceDN w:val="0"/>
        <w:adjustRightInd w:val="0"/>
        <w:spacing w:after="0"/>
        <w:rPr>
          <w:rFonts w:cs="Tahoma"/>
          <w:b/>
          <w:szCs w:val="18"/>
        </w:rPr>
      </w:pPr>
      <w:hyperlink r:id="rId66" w:history="1">
        <w:r w:rsidR="004F30C8" w:rsidRPr="00643EEA">
          <w:rPr>
            <w:rStyle w:val="Hyperlink"/>
            <w:sz w:val="18"/>
            <w:szCs w:val="18"/>
          </w:rPr>
          <w:t>Three clusters of Salmonella Enteritidis ST11 infections linked to chicken meat and chicken meat products (europa.eu)</w:t>
        </w:r>
      </w:hyperlink>
    </w:p>
    <w:p w14:paraId="31CEA851" w14:textId="77777777" w:rsidR="006C0F54" w:rsidRPr="00D620B0" w:rsidRDefault="006C0F54" w:rsidP="00370684">
      <w:pPr>
        <w:autoSpaceDE w:val="0"/>
        <w:autoSpaceDN w:val="0"/>
        <w:adjustRightInd w:val="0"/>
        <w:spacing w:after="0"/>
        <w:rPr>
          <w:rFonts w:cs="Tahoma"/>
          <w:b/>
          <w:szCs w:val="18"/>
          <w:highlight w:val="yellow"/>
        </w:rPr>
      </w:pPr>
    </w:p>
    <w:p w14:paraId="7325E6AD" w14:textId="422BCADA" w:rsidR="00E41F8D" w:rsidRPr="005A02BD" w:rsidRDefault="00E41F8D" w:rsidP="00370684">
      <w:pPr>
        <w:autoSpaceDE w:val="0"/>
        <w:autoSpaceDN w:val="0"/>
        <w:adjustRightInd w:val="0"/>
        <w:spacing w:after="0"/>
        <w:rPr>
          <w:rFonts w:cs="Tahoma"/>
          <w:b/>
          <w:szCs w:val="18"/>
        </w:rPr>
      </w:pPr>
      <w:r w:rsidRPr="005A02BD">
        <w:rPr>
          <w:rFonts w:cs="Tahoma"/>
          <w:b/>
          <w:szCs w:val="18"/>
        </w:rPr>
        <w:t>Multi-country outbreak of</w:t>
      </w:r>
      <w:r w:rsidRPr="005A02BD">
        <w:rPr>
          <w:rFonts w:cs="Tahoma"/>
          <w:b/>
          <w:i/>
          <w:iCs/>
          <w:szCs w:val="18"/>
        </w:rPr>
        <w:t xml:space="preserve"> Salmonella</w:t>
      </w:r>
      <w:r w:rsidRPr="005A02BD">
        <w:rPr>
          <w:rFonts w:cs="Tahoma"/>
          <w:b/>
          <w:szCs w:val="18"/>
        </w:rPr>
        <w:t xml:space="preserve"> </w:t>
      </w:r>
      <w:proofErr w:type="spellStart"/>
      <w:r w:rsidRPr="005A02BD">
        <w:rPr>
          <w:rFonts w:cs="Tahoma"/>
          <w:b/>
          <w:szCs w:val="18"/>
        </w:rPr>
        <w:t>Senftenberg</w:t>
      </w:r>
      <w:proofErr w:type="spellEnd"/>
      <w:r w:rsidRPr="005A02BD">
        <w:rPr>
          <w:rFonts w:cs="Tahoma"/>
          <w:b/>
          <w:szCs w:val="18"/>
        </w:rPr>
        <w:t xml:space="preserve"> ST14 infections, possibly linked to cherry-like tomatoes</w:t>
      </w:r>
      <w:r w:rsidR="00B90661" w:rsidRPr="005A02BD">
        <w:rPr>
          <w:rFonts w:cs="Tahoma"/>
          <w:b/>
          <w:szCs w:val="18"/>
        </w:rPr>
        <w:t xml:space="preserve"> (</w:t>
      </w:r>
      <w:r w:rsidR="0055079F" w:rsidRPr="005A02BD">
        <w:rPr>
          <w:rFonts w:cs="Tahoma"/>
          <w:b/>
          <w:szCs w:val="18"/>
        </w:rPr>
        <w:t>27 July 2023</w:t>
      </w:r>
      <w:r w:rsidR="00B90661" w:rsidRPr="005A02BD">
        <w:rPr>
          <w:rFonts w:cs="Tahoma"/>
          <w:b/>
          <w:szCs w:val="18"/>
        </w:rPr>
        <w:t>)</w:t>
      </w:r>
    </w:p>
    <w:p w14:paraId="6538E909" w14:textId="3C44023E" w:rsidR="0055079F" w:rsidRPr="005A02BD" w:rsidRDefault="00000000" w:rsidP="00370684">
      <w:pPr>
        <w:autoSpaceDE w:val="0"/>
        <w:autoSpaceDN w:val="0"/>
        <w:adjustRightInd w:val="0"/>
        <w:spacing w:after="0"/>
        <w:rPr>
          <w:rStyle w:val="Hyperlink"/>
          <w:rFonts w:cs="Tahoma"/>
          <w:bCs/>
          <w:sz w:val="18"/>
          <w:szCs w:val="18"/>
        </w:rPr>
      </w:pPr>
      <w:hyperlink r:id="rId67" w:history="1">
        <w:r w:rsidR="007A7E6D" w:rsidRPr="005A02BD">
          <w:rPr>
            <w:rStyle w:val="Hyperlink"/>
            <w:rFonts w:cs="Tahoma"/>
            <w:bCs/>
            <w:sz w:val="18"/>
            <w:szCs w:val="18"/>
          </w:rPr>
          <w:t>https://www.ecdc.europa.eu/sites/default/files/documents/ROA_S_Senftenberg-ST15_2023-FWD-00009.pdf</w:t>
        </w:r>
      </w:hyperlink>
    </w:p>
    <w:p w14:paraId="500D8536" w14:textId="77777777" w:rsidR="004F30C8" w:rsidRPr="00D620B0" w:rsidRDefault="004F30C8" w:rsidP="00370684">
      <w:pPr>
        <w:autoSpaceDE w:val="0"/>
        <w:autoSpaceDN w:val="0"/>
        <w:adjustRightInd w:val="0"/>
        <w:spacing w:after="0"/>
        <w:rPr>
          <w:rStyle w:val="Hyperlink"/>
          <w:rFonts w:cs="Tahoma"/>
          <w:sz w:val="18"/>
          <w:szCs w:val="18"/>
          <w:highlight w:val="yellow"/>
        </w:rPr>
      </w:pPr>
    </w:p>
    <w:p w14:paraId="24E5ACDD" w14:textId="4AD02D0D" w:rsidR="00370684" w:rsidRDefault="00341416" w:rsidP="00370684">
      <w:pPr>
        <w:autoSpaceDE w:val="0"/>
        <w:autoSpaceDN w:val="0"/>
        <w:adjustRightInd w:val="0"/>
        <w:spacing w:after="0"/>
        <w:rPr>
          <w:b/>
          <w:szCs w:val="18"/>
        </w:rPr>
      </w:pPr>
      <w:r w:rsidRPr="007B5D2D">
        <w:rPr>
          <w:b/>
          <w:szCs w:val="18"/>
        </w:rPr>
        <w:t>Rapid outbreak assessment: Multi-country outbreak of Salmonella Virchow ST16 infections linked to the consumption of meat products containing chicken meat (30 March 2023):</w:t>
      </w:r>
    </w:p>
    <w:p w14:paraId="7015759E" w14:textId="2CB54519" w:rsidR="006D6E24" w:rsidRPr="006D6E24" w:rsidRDefault="00000000" w:rsidP="00370684">
      <w:pPr>
        <w:autoSpaceDE w:val="0"/>
        <w:autoSpaceDN w:val="0"/>
        <w:adjustRightInd w:val="0"/>
        <w:spacing w:after="0"/>
        <w:rPr>
          <w:b/>
          <w:szCs w:val="18"/>
        </w:rPr>
      </w:pPr>
      <w:hyperlink r:id="rId68" w:history="1">
        <w:r w:rsidR="006D6E24" w:rsidRPr="006D6E24">
          <w:rPr>
            <w:rStyle w:val="Hyperlink"/>
            <w:sz w:val="18"/>
            <w:szCs w:val="18"/>
          </w:rPr>
          <w:t>Multi-country outbreak of Salmonella Virchow ST16 infections linked to the consumption of meat products containing chicken meat (europa.eu)</w:t>
        </w:r>
      </w:hyperlink>
    </w:p>
    <w:p w14:paraId="4B012BC5" w14:textId="77777777" w:rsidR="00341416" w:rsidRPr="00CD4DE9" w:rsidRDefault="00341416" w:rsidP="00370684">
      <w:pPr>
        <w:autoSpaceDE w:val="0"/>
        <w:autoSpaceDN w:val="0"/>
        <w:adjustRightInd w:val="0"/>
        <w:spacing w:after="0"/>
        <w:rPr>
          <w:b/>
          <w:szCs w:val="18"/>
        </w:rPr>
      </w:pPr>
    </w:p>
    <w:p w14:paraId="1F604A44" w14:textId="77777777" w:rsidR="00CD4DE9" w:rsidRPr="00D620B0" w:rsidRDefault="00CD4DE9" w:rsidP="00370684">
      <w:pPr>
        <w:autoSpaceDE w:val="0"/>
        <w:autoSpaceDN w:val="0"/>
        <w:adjustRightInd w:val="0"/>
        <w:spacing w:after="0"/>
        <w:rPr>
          <w:b/>
          <w:szCs w:val="18"/>
          <w:highlight w:val="yellow"/>
        </w:rPr>
      </w:pPr>
    </w:p>
    <w:p w14:paraId="708E364D" w14:textId="77777777" w:rsidR="009D4D86" w:rsidRDefault="009D4D86">
      <w:pPr>
        <w:rPr>
          <w:rStyle w:val="Hyperlink"/>
          <w:rFonts w:cs="Tahoma"/>
          <w:szCs w:val="16"/>
        </w:rPr>
      </w:pPr>
      <w:r>
        <w:rPr>
          <w:rStyle w:val="Hyperlink"/>
          <w:rFonts w:cs="Tahoma"/>
          <w:szCs w:val="16"/>
        </w:rPr>
        <w:br w:type="page"/>
      </w:r>
    </w:p>
    <w:p w14:paraId="7529C44A" w14:textId="73057981" w:rsidR="005D0F09" w:rsidRDefault="005D0F09" w:rsidP="005D0F09">
      <w:pPr>
        <w:pStyle w:val="EC-Title-6"/>
        <w:outlineLvl w:val="1"/>
        <w:rPr>
          <w:rFonts w:cs="Tahoma"/>
        </w:rPr>
      </w:pPr>
      <w:r w:rsidRPr="00AC07C2">
        <w:rPr>
          <w:rFonts w:cs="Tahoma"/>
        </w:rPr>
        <w:lastRenderedPageBreak/>
        <w:t>Annex 1</w:t>
      </w:r>
      <w:r w:rsidR="00377DED">
        <w:rPr>
          <w:rFonts w:cs="Tahoma"/>
        </w:rPr>
        <w:t>.</w:t>
      </w:r>
      <w:r w:rsidRPr="00AC07C2">
        <w:rPr>
          <w:rFonts w:cs="Tahoma"/>
        </w:rPr>
        <w:t xml:space="preserve"> </w:t>
      </w:r>
      <w:r w:rsidRPr="00F552B4">
        <w:rPr>
          <w:rFonts w:cs="Tahoma"/>
        </w:rPr>
        <w:t>Surveillance systems overview</w:t>
      </w:r>
      <w:r w:rsidR="000B7484" w:rsidRPr="00F552B4">
        <w:rPr>
          <w:rFonts w:cs="Tahoma"/>
        </w:rPr>
        <w:t xml:space="preserve">, </w:t>
      </w:r>
      <w:r w:rsidR="000B7484" w:rsidRPr="00F552B4">
        <w:rPr>
          <w:rFonts w:cs="Tahoma"/>
        </w:rPr>
        <w:t>202</w:t>
      </w:r>
      <w:r w:rsidR="00F552B4">
        <w:rPr>
          <w:rFonts w:cs="Tahoma"/>
        </w:rPr>
        <w:t>3</w:t>
      </w:r>
    </w:p>
    <w:tbl>
      <w:tblPr>
        <w:tblW w:w="10108" w:type="dxa"/>
        <w:tblLook w:val="04A0" w:firstRow="1" w:lastRow="0" w:firstColumn="1" w:lastColumn="0" w:noHBand="0" w:noVBand="1"/>
      </w:tblPr>
      <w:tblGrid>
        <w:gridCol w:w="1191"/>
        <w:gridCol w:w="2530"/>
        <w:gridCol w:w="570"/>
        <w:gridCol w:w="570"/>
        <w:gridCol w:w="570"/>
        <w:gridCol w:w="570"/>
        <w:gridCol w:w="570"/>
        <w:gridCol w:w="570"/>
        <w:gridCol w:w="570"/>
        <w:gridCol w:w="570"/>
        <w:gridCol w:w="892"/>
        <w:gridCol w:w="935"/>
      </w:tblGrid>
      <w:tr w:rsidR="00524A86" w:rsidRPr="000E5152" w14:paraId="6F358209" w14:textId="77777777" w:rsidTr="00F552B4">
        <w:trPr>
          <w:trHeight w:val="293"/>
        </w:trPr>
        <w:tc>
          <w:tcPr>
            <w:tcW w:w="1191"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0F01C083" w14:textId="77777777" w:rsidR="00524A86" w:rsidRPr="002B5C99" w:rsidRDefault="00524A86" w:rsidP="00524A86">
            <w:pPr>
              <w:rPr>
                <w:rFonts w:eastAsia="Times New Roman" w:cs="Tahoma"/>
                <w:b/>
                <w:bCs/>
                <w:color w:val="FFFFFF"/>
                <w:sz w:val="14"/>
                <w:szCs w:val="14"/>
                <w:lang w:eastAsia="en-GB"/>
              </w:rPr>
            </w:pPr>
            <w:r w:rsidRPr="002B5C99">
              <w:rPr>
                <w:rFonts w:eastAsia="Times New Roman" w:cs="Tahoma"/>
                <w:b/>
                <w:bCs/>
                <w:color w:val="FFFFFF"/>
                <w:sz w:val="14"/>
                <w:szCs w:val="14"/>
                <w:lang w:eastAsia="en-GB"/>
              </w:rPr>
              <w:t>Country</w:t>
            </w:r>
          </w:p>
        </w:tc>
        <w:tc>
          <w:tcPr>
            <w:tcW w:w="253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14309FA" w14:textId="77777777" w:rsidR="00524A86" w:rsidRPr="002B5C99" w:rsidRDefault="00524A86" w:rsidP="00524A86">
            <w:pPr>
              <w:rPr>
                <w:rFonts w:eastAsia="Times New Roman" w:cs="Tahoma"/>
                <w:b/>
                <w:bCs/>
                <w:color w:val="FFFFFF"/>
                <w:sz w:val="14"/>
                <w:szCs w:val="14"/>
                <w:lang w:eastAsia="en-GB"/>
              </w:rPr>
            </w:pPr>
            <w:r w:rsidRPr="002B5C99">
              <w:rPr>
                <w:rFonts w:eastAsia="Times New Roman" w:cs="Tahoma"/>
                <w:b/>
                <w:bCs/>
                <w:color w:val="FFFFFF"/>
                <w:sz w:val="14"/>
                <w:szCs w:val="14"/>
                <w:lang w:eastAsia="en-GB"/>
              </w:rPr>
              <w:t>Data source</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3E291FE" w14:textId="77777777" w:rsidR="00524A86" w:rsidRPr="002B5C99" w:rsidRDefault="00524A86" w:rsidP="00524A86">
            <w:pPr>
              <w:jc w:val="center"/>
              <w:rPr>
                <w:rFonts w:eastAsia="Times New Roman" w:cs="Tahoma"/>
                <w:b/>
                <w:bCs/>
                <w:color w:val="FFFFFF"/>
                <w:sz w:val="14"/>
                <w:szCs w:val="14"/>
                <w:lang w:eastAsia="en-GB"/>
              </w:rPr>
            </w:pPr>
            <w:r w:rsidRPr="002B5C99">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76076C66" w14:textId="77777777" w:rsidR="00524A86" w:rsidRPr="002B5C99" w:rsidRDefault="00524A86" w:rsidP="00524A86">
            <w:pPr>
              <w:jc w:val="center"/>
              <w:rPr>
                <w:rFonts w:eastAsia="Times New Roman" w:cs="Tahoma"/>
                <w:b/>
                <w:bCs/>
                <w:color w:val="FFFFFF"/>
                <w:sz w:val="14"/>
                <w:szCs w:val="14"/>
                <w:lang w:eastAsia="en-GB"/>
              </w:rPr>
            </w:pPr>
            <w:r w:rsidRPr="002B5C99">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5D68EED" w14:textId="77777777" w:rsidR="00524A86" w:rsidRPr="002B5C99" w:rsidRDefault="00524A86" w:rsidP="00524A86">
            <w:pPr>
              <w:jc w:val="center"/>
              <w:rPr>
                <w:rFonts w:eastAsia="Times New Roman" w:cs="Tahoma"/>
                <w:b/>
                <w:bCs/>
                <w:color w:val="FFFFFF"/>
                <w:sz w:val="14"/>
                <w:szCs w:val="14"/>
                <w:lang w:eastAsia="en-GB"/>
              </w:rPr>
            </w:pPr>
            <w:r w:rsidRPr="002B5C99">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335D5F7" w14:textId="77777777" w:rsidR="00524A86" w:rsidRPr="002B5C99" w:rsidRDefault="00524A86" w:rsidP="00524A86">
            <w:pPr>
              <w:jc w:val="center"/>
              <w:rPr>
                <w:rFonts w:eastAsia="Times New Roman" w:cs="Tahoma"/>
                <w:b/>
                <w:bCs/>
                <w:color w:val="FFFFFF"/>
                <w:sz w:val="14"/>
                <w:szCs w:val="14"/>
                <w:lang w:eastAsia="en-GB"/>
              </w:rPr>
            </w:pPr>
            <w:r w:rsidRPr="002B5C99">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235E4397" w14:textId="77777777" w:rsidR="00524A86" w:rsidRPr="002B5C99" w:rsidRDefault="00524A86" w:rsidP="00524A86">
            <w:pPr>
              <w:jc w:val="center"/>
              <w:rPr>
                <w:rFonts w:eastAsia="Times New Roman" w:cs="Tahoma"/>
                <w:b/>
                <w:bCs/>
                <w:color w:val="FFFFFF"/>
                <w:sz w:val="14"/>
                <w:szCs w:val="14"/>
                <w:lang w:eastAsia="en-GB"/>
              </w:rPr>
            </w:pPr>
            <w:r w:rsidRPr="002B5C99">
              <w:rPr>
                <w:rFonts w:eastAsia="Times New Roman" w:cs="Tahoma"/>
                <w:b/>
                <w:bCs/>
                <w:color w:val="FFFFFF"/>
                <w:sz w:val="14"/>
                <w:szCs w:val="14"/>
                <w:lang w:eastAsia="en-GB"/>
              </w:rPr>
              <w:t>Data reported by</w:t>
            </w:r>
          </w:p>
        </w:tc>
        <w:tc>
          <w:tcPr>
            <w:tcW w:w="892"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7253D00B" w14:textId="77777777" w:rsidR="00524A86" w:rsidRPr="002B5C99" w:rsidRDefault="00524A86" w:rsidP="00524A86">
            <w:pPr>
              <w:rPr>
                <w:rFonts w:eastAsia="Times New Roman" w:cs="Tahoma"/>
                <w:b/>
                <w:bCs/>
                <w:color w:val="FFFFFF"/>
                <w:sz w:val="14"/>
                <w:szCs w:val="14"/>
                <w:lang w:eastAsia="en-GB"/>
              </w:rPr>
            </w:pPr>
            <w:r w:rsidRPr="002B5C99">
              <w:rPr>
                <w:rFonts w:eastAsia="Times New Roman" w:cs="Tahoma"/>
                <w:b/>
                <w:bCs/>
                <w:color w:val="FFFFFF"/>
                <w:sz w:val="14"/>
                <w:szCs w:val="14"/>
                <w:lang w:eastAsia="en-GB"/>
              </w:rPr>
              <w:t>Case definition used</w:t>
            </w:r>
          </w:p>
        </w:tc>
        <w:tc>
          <w:tcPr>
            <w:tcW w:w="935" w:type="dxa"/>
            <w:vMerge w:val="restart"/>
            <w:tcBorders>
              <w:top w:val="nil"/>
              <w:left w:val="nil"/>
              <w:bottom w:val="single" w:sz="8" w:space="0" w:color="000000"/>
              <w:right w:val="nil"/>
            </w:tcBorders>
            <w:shd w:val="clear" w:color="000000" w:fill="69AE23"/>
            <w:textDirection w:val="btLr"/>
            <w:vAlign w:val="center"/>
            <w:hideMark/>
          </w:tcPr>
          <w:p w14:paraId="14612E2F" w14:textId="77777777" w:rsidR="00524A86" w:rsidRPr="0091638A" w:rsidRDefault="00524A86" w:rsidP="00524A86">
            <w:pPr>
              <w:jc w:val="center"/>
              <w:rPr>
                <w:rFonts w:eastAsia="Times New Roman" w:cs="Tahoma"/>
                <w:b/>
                <w:color w:val="FFFFFF"/>
                <w:sz w:val="14"/>
                <w:szCs w:val="14"/>
                <w:lang w:val="fr-FR" w:eastAsia="en-GB"/>
              </w:rPr>
            </w:pPr>
            <w:r w:rsidRPr="002B5C99">
              <w:rPr>
                <w:rFonts w:eastAsia="Times New Roman" w:cs="Tahoma"/>
                <w:b/>
                <w:bCs/>
                <w:color w:val="FFFFFF"/>
                <w:sz w:val="14"/>
                <w:szCs w:val="14"/>
                <w:lang w:val="fr-FR" w:eastAsia="en-GB"/>
              </w:rPr>
              <w:t>Non-typhoidal (N) / Typhoid, Paratyphoid (T) / Serotype (S)</w:t>
            </w:r>
          </w:p>
        </w:tc>
      </w:tr>
      <w:tr w:rsidR="00524A86" w:rsidRPr="002B5C99" w14:paraId="7E9E131B" w14:textId="77777777" w:rsidTr="00F552B4">
        <w:trPr>
          <w:trHeight w:val="2791"/>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72CA7F9D" w14:textId="77777777" w:rsidR="00524A86" w:rsidRPr="0091638A" w:rsidRDefault="00524A86" w:rsidP="00524A86">
            <w:pPr>
              <w:rPr>
                <w:rFonts w:eastAsia="Times New Roman" w:cs="Tahoma"/>
                <w:b/>
                <w:color w:val="FFFFFF"/>
                <w:sz w:val="14"/>
                <w:szCs w:val="14"/>
                <w:lang w:val="fr-FR" w:eastAsia="en-GB"/>
              </w:rPr>
            </w:pPr>
          </w:p>
        </w:tc>
        <w:tc>
          <w:tcPr>
            <w:tcW w:w="2530" w:type="dxa"/>
            <w:vMerge/>
            <w:tcBorders>
              <w:top w:val="single" w:sz="4" w:space="0" w:color="auto"/>
              <w:left w:val="single" w:sz="4" w:space="0" w:color="auto"/>
              <w:bottom w:val="single" w:sz="4" w:space="0" w:color="auto"/>
              <w:right w:val="single" w:sz="4" w:space="0" w:color="auto"/>
            </w:tcBorders>
            <w:vAlign w:val="center"/>
            <w:hideMark/>
          </w:tcPr>
          <w:p w14:paraId="5D8E9D0C" w14:textId="77777777" w:rsidR="00524A86" w:rsidRPr="0091638A" w:rsidRDefault="00524A86" w:rsidP="00524A86">
            <w:pPr>
              <w:rPr>
                <w:rFonts w:eastAsia="Times New Roman" w:cs="Tahoma"/>
                <w:b/>
                <w:color w:val="FFFFFF"/>
                <w:sz w:val="14"/>
                <w:szCs w:val="14"/>
                <w:lang w:val="fr-FR"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432BCEAB" w14:textId="77777777" w:rsidR="00524A86" w:rsidRPr="0091638A" w:rsidRDefault="00524A86" w:rsidP="00524A86">
            <w:pPr>
              <w:rPr>
                <w:rFonts w:eastAsia="Times New Roman" w:cs="Tahoma"/>
                <w:b/>
                <w:color w:val="FFFFFF"/>
                <w:sz w:val="14"/>
                <w:szCs w:val="14"/>
                <w:lang w:val="fr-FR"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2A452E3" w14:textId="77777777" w:rsidR="00524A86" w:rsidRPr="0091638A" w:rsidRDefault="00524A86" w:rsidP="00524A86">
            <w:pPr>
              <w:rPr>
                <w:rFonts w:eastAsia="Times New Roman" w:cs="Tahoma"/>
                <w:b/>
                <w:color w:val="FFFFFF"/>
                <w:sz w:val="14"/>
                <w:szCs w:val="14"/>
                <w:lang w:val="fr-FR"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750C7CFE" w14:textId="77777777" w:rsidR="00524A86" w:rsidRPr="0091638A" w:rsidRDefault="00524A86" w:rsidP="00524A86">
            <w:pPr>
              <w:rPr>
                <w:rFonts w:eastAsia="Times New Roman" w:cs="Tahoma"/>
                <w:b/>
                <w:color w:val="FFFFFF"/>
                <w:sz w:val="14"/>
                <w:szCs w:val="14"/>
                <w:lang w:val="fr-FR"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7B2414C2" w14:textId="77777777" w:rsidR="00524A86" w:rsidRPr="0091638A" w:rsidRDefault="00524A86" w:rsidP="00524A86">
            <w:pPr>
              <w:rPr>
                <w:rFonts w:eastAsia="Times New Roman" w:cs="Tahoma"/>
                <w:b/>
                <w:color w:val="FFFFFF"/>
                <w:sz w:val="14"/>
                <w:szCs w:val="14"/>
                <w:lang w:val="fr-FR"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323D4A64" w14:textId="77777777" w:rsidR="00524A86" w:rsidRPr="002B5C99" w:rsidRDefault="00524A86" w:rsidP="00524A86">
            <w:pPr>
              <w:jc w:val="center"/>
              <w:rPr>
                <w:rFonts w:eastAsia="Times New Roman" w:cs="Tahoma"/>
                <w:b/>
                <w:bCs/>
                <w:color w:val="FFFFFF"/>
                <w:sz w:val="14"/>
                <w:szCs w:val="14"/>
                <w:lang w:eastAsia="en-GB"/>
              </w:rPr>
            </w:pPr>
            <w:r w:rsidRPr="002B5C99">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745BB82A" w14:textId="77777777" w:rsidR="00524A86" w:rsidRPr="002B5C99" w:rsidRDefault="00524A86" w:rsidP="00524A86">
            <w:pPr>
              <w:jc w:val="center"/>
              <w:rPr>
                <w:rFonts w:eastAsia="Times New Roman" w:cs="Tahoma"/>
                <w:b/>
                <w:bCs/>
                <w:color w:val="FFFFFF"/>
                <w:sz w:val="14"/>
                <w:szCs w:val="14"/>
                <w:lang w:eastAsia="en-GB"/>
              </w:rPr>
            </w:pPr>
            <w:r w:rsidRPr="002B5C99">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7DB51B4A" w14:textId="77777777" w:rsidR="00524A86" w:rsidRPr="002B5C99" w:rsidRDefault="00524A86" w:rsidP="00524A86">
            <w:pPr>
              <w:jc w:val="center"/>
              <w:rPr>
                <w:rFonts w:eastAsia="Times New Roman" w:cs="Tahoma"/>
                <w:b/>
                <w:bCs/>
                <w:color w:val="FFFFFF"/>
                <w:sz w:val="14"/>
                <w:szCs w:val="14"/>
                <w:lang w:eastAsia="en-GB"/>
              </w:rPr>
            </w:pPr>
            <w:r w:rsidRPr="002B5C99">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27E4E5CA" w14:textId="77777777" w:rsidR="00524A86" w:rsidRPr="002B5C99" w:rsidRDefault="00524A86" w:rsidP="00524A86">
            <w:pPr>
              <w:jc w:val="center"/>
              <w:rPr>
                <w:rFonts w:eastAsia="Times New Roman" w:cs="Tahoma"/>
                <w:b/>
                <w:bCs/>
                <w:color w:val="FFFFFF"/>
                <w:sz w:val="14"/>
                <w:szCs w:val="14"/>
                <w:lang w:eastAsia="en-GB"/>
              </w:rPr>
            </w:pPr>
            <w:r w:rsidRPr="002B5C99">
              <w:rPr>
                <w:rFonts w:eastAsia="Times New Roman" w:cs="Tahoma"/>
                <w:b/>
                <w:bCs/>
                <w:color w:val="FFFFFF"/>
                <w:sz w:val="14"/>
                <w:szCs w:val="14"/>
                <w:lang w:eastAsia="en-GB"/>
              </w:rPr>
              <w:t>Others</w:t>
            </w: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13502C42" w14:textId="77777777" w:rsidR="00524A86" w:rsidRPr="002B5C99" w:rsidRDefault="00524A86" w:rsidP="00524A86">
            <w:pPr>
              <w:rPr>
                <w:rFonts w:eastAsia="Times New Roman" w:cs="Tahoma"/>
                <w:b/>
                <w:bCs/>
                <w:color w:val="FFFFFF"/>
                <w:sz w:val="14"/>
                <w:szCs w:val="14"/>
                <w:lang w:eastAsia="en-GB"/>
              </w:rPr>
            </w:pPr>
          </w:p>
        </w:tc>
        <w:tc>
          <w:tcPr>
            <w:tcW w:w="935" w:type="dxa"/>
            <w:vMerge/>
            <w:tcBorders>
              <w:top w:val="nil"/>
              <w:left w:val="nil"/>
              <w:bottom w:val="single" w:sz="8" w:space="0" w:color="000000"/>
              <w:right w:val="nil"/>
            </w:tcBorders>
            <w:vAlign w:val="center"/>
            <w:hideMark/>
          </w:tcPr>
          <w:p w14:paraId="05BEAA76" w14:textId="77777777" w:rsidR="00524A86" w:rsidRPr="002B5C99" w:rsidRDefault="00524A86" w:rsidP="00524A86">
            <w:pPr>
              <w:rPr>
                <w:rFonts w:eastAsia="Times New Roman" w:cs="Tahoma"/>
                <w:b/>
                <w:bCs/>
                <w:color w:val="FFFFFF"/>
                <w:sz w:val="14"/>
                <w:szCs w:val="14"/>
                <w:lang w:eastAsia="en-GB"/>
              </w:rPr>
            </w:pPr>
          </w:p>
        </w:tc>
      </w:tr>
      <w:tr w:rsidR="007D59F7" w:rsidRPr="002B5C99" w14:paraId="5A958455" w14:textId="77777777" w:rsidTr="00F552B4">
        <w:trPr>
          <w:trHeight w:val="235"/>
        </w:trPr>
        <w:tc>
          <w:tcPr>
            <w:tcW w:w="1191" w:type="dxa"/>
            <w:tcBorders>
              <w:top w:val="single" w:sz="4" w:space="0" w:color="000000"/>
              <w:left w:val="single" w:sz="4" w:space="0" w:color="000000"/>
              <w:bottom w:val="nil"/>
              <w:right w:val="single" w:sz="4" w:space="0" w:color="auto"/>
            </w:tcBorders>
            <w:shd w:val="clear" w:color="000000" w:fill="D9D9D9"/>
            <w:noWrap/>
            <w:vAlign w:val="bottom"/>
            <w:hideMark/>
          </w:tcPr>
          <w:p w14:paraId="114FF36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Austria</w:t>
            </w:r>
          </w:p>
        </w:tc>
        <w:tc>
          <w:tcPr>
            <w:tcW w:w="2530" w:type="dxa"/>
            <w:tcBorders>
              <w:top w:val="single" w:sz="4" w:space="0" w:color="000000"/>
              <w:left w:val="nil"/>
              <w:bottom w:val="nil"/>
              <w:right w:val="single" w:sz="4" w:space="0" w:color="auto"/>
            </w:tcBorders>
            <w:shd w:val="clear" w:color="000000" w:fill="D9D9D9"/>
            <w:noWrap/>
            <w:vAlign w:val="bottom"/>
            <w:hideMark/>
          </w:tcPr>
          <w:p w14:paraId="4338EB1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AT-</w:t>
            </w:r>
            <w:proofErr w:type="spellStart"/>
            <w:r w:rsidRPr="002B5C99">
              <w:rPr>
                <w:rFonts w:eastAsia="Times New Roman" w:cs="Tahoma"/>
                <w:sz w:val="14"/>
                <w:szCs w:val="14"/>
                <w:lang w:eastAsia="en-GB"/>
              </w:rPr>
              <w:t>Epidemiegesetz</w:t>
            </w:r>
            <w:proofErr w:type="spellEnd"/>
          </w:p>
        </w:tc>
        <w:tc>
          <w:tcPr>
            <w:tcW w:w="570" w:type="dxa"/>
            <w:tcBorders>
              <w:top w:val="single" w:sz="4" w:space="0" w:color="000000"/>
              <w:left w:val="nil"/>
              <w:bottom w:val="nil"/>
              <w:right w:val="single" w:sz="4" w:space="0" w:color="auto"/>
            </w:tcBorders>
            <w:shd w:val="clear" w:color="000000" w:fill="D9D9D9"/>
            <w:noWrap/>
            <w:vAlign w:val="bottom"/>
            <w:hideMark/>
          </w:tcPr>
          <w:p w14:paraId="79A0A2A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single" w:sz="4" w:space="0" w:color="000000"/>
              <w:left w:val="nil"/>
              <w:bottom w:val="nil"/>
              <w:right w:val="single" w:sz="4" w:space="0" w:color="auto"/>
            </w:tcBorders>
            <w:shd w:val="clear" w:color="000000" w:fill="D9D9D9"/>
            <w:noWrap/>
            <w:vAlign w:val="bottom"/>
            <w:hideMark/>
          </w:tcPr>
          <w:p w14:paraId="228DE3A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single" w:sz="4" w:space="0" w:color="000000"/>
              <w:left w:val="nil"/>
              <w:bottom w:val="nil"/>
              <w:right w:val="single" w:sz="4" w:space="0" w:color="auto"/>
            </w:tcBorders>
            <w:shd w:val="clear" w:color="000000" w:fill="D9D9D9"/>
            <w:noWrap/>
            <w:vAlign w:val="bottom"/>
            <w:hideMark/>
          </w:tcPr>
          <w:p w14:paraId="38641E1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single" w:sz="4" w:space="0" w:color="000000"/>
              <w:left w:val="nil"/>
              <w:bottom w:val="nil"/>
              <w:right w:val="single" w:sz="4" w:space="0" w:color="auto"/>
            </w:tcBorders>
            <w:shd w:val="clear" w:color="000000" w:fill="D9D9D9"/>
            <w:noWrap/>
            <w:vAlign w:val="bottom"/>
            <w:hideMark/>
          </w:tcPr>
          <w:p w14:paraId="73E2512F"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single" w:sz="4" w:space="0" w:color="000000"/>
              <w:left w:val="nil"/>
              <w:bottom w:val="nil"/>
              <w:right w:val="single" w:sz="4" w:space="0" w:color="auto"/>
            </w:tcBorders>
            <w:shd w:val="clear" w:color="000000" w:fill="D9D9D9"/>
            <w:noWrap/>
            <w:vAlign w:val="bottom"/>
            <w:hideMark/>
          </w:tcPr>
          <w:p w14:paraId="4C515E3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6897BA8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1FDC558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62CA705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892" w:type="dxa"/>
            <w:tcBorders>
              <w:top w:val="single" w:sz="4" w:space="0" w:color="000000"/>
              <w:left w:val="nil"/>
              <w:bottom w:val="nil"/>
              <w:right w:val="single" w:sz="4" w:space="0" w:color="auto"/>
            </w:tcBorders>
            <w:shd w:val="clear" w:color="000000" w:fill="D9D9D9"/>
            <w:noWrap/>
            <w:vAlign w:val="bottom"/>
            <w:hideMark/>
          </w:tcPr>
          <w:p w14:paraId="0B439D75"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EU-2008</w:t>
            </w:r>
          </w:p>
        </w:tc>
        <w:tc>
          <w:tcPr>
            <w:tcW w:w="935" w:type="dxa"/>
            <w:tcBorders>
              <w:top w:val="single" w:sz="4" w:space="0" w:color="000000"/>
              <w:left w:val="single" w:sz="4" w:space="0" w:color="auto"/>
              <w:bottom w:val="nil"/>
              <w:right w:val="single" w:sz="4" w:space="0" w:color="000000"/>
            </w:tcBorders>
            <w:shd w:val="clear" w:color="000000" w:fill="D9D9D9"/>
            <w:noWrap/>
            <w:vAlign w:val="bottom"/>
            <w:hideMark/>
          </w:tcPr>
          <w:p w14:paraId="3BFC56AA" w14:textId="04652762"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524A86" w:rsidRPr="002B5C99" w14:paraId="31B9833F" w14:textId="77777777" w:rsidTr="00F552B4">
        <w:trPr>
          <w:cantSplit/>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3502A325"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Belgium</w:t>
            </w:r>
          </w:p>
        </w:tc>
        <w:tc>
          <w:tcPr>
            <w:tcW w:w="2530" w:type="dxa"/>
            <w:tcBorders>
              <w:top w:val="nil"/>
              <w:left w:val="nil"/>
              <w:bottom w:val="nil"/>
              <w:right w:val="single" w:sz="4" w:space="0" w:color="auto"/>
            </w:tcBorders>
            <w:shd w:val="clear" w:color="auto" w:fill="auto"/>
            <w:noWrap/>
            <w:vAlign w:val="bottom"/>
            <w:hideMark/>
          </w:tcPr>
          <w:p w14:paraId="41399C5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BE-REFLAB</w:t>
            </w:r>
          </w:p>
        </w:tc>
        <w:tc>
          <w:tcPr>
            <w:tcW w:w="570" w:type="dxa"/>
            <w:tcBorders>
              <w:top w:val="nil"/>
              <w:left w:val="nil"/>
              <w:bottom w:val="nil"/>
              <w:right w:val="single" w:sz="4" w:space="0" w:color="auto"/>
            </w:tcBorders>
            <w:shd w:val="clear" w:color="auto" w:fill="auto"/>
            <w:noWrap/>
            <w:vAlign w:val="bottom"/>
            <w:hideMark/>
          </w:tcPr>
          <w:p w14:paraId="5A3027B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046FD34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109D935"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1DEB4DA"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7CCC69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5EA8B6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1F3FB3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7FA2BC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136F2CD2" w14:textId="34134918"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EU-201</w:t>
            </w:r>
            <w:r w:rsidR="009449FE">
              <w:rPr>
                <w:rFonts w:eastAsia="Times New Roman" w:cs="Tahoma"/>
                <w:sz w:val="14"/>
                <w:szCs w:val="14"/>
                <w:lang w:eastAsia="en-GB"/>
              </w:rPr>
              <w:t>8</w:t>
            </w:r>
          </w:p>
        </w:tc>
        <w:tc>
          <w:tcPr>
            <w:tcW w:w="935" w:type="dxa"/>
            <w:tcBorders>
              <w:top w:val="nil"/>
              <w:left w:val="single" w:sz="4" w:space="0" w:color="auto"/>
              <w:bottom w:val="nil"/>
              <w:right w:val="single" w:sz="4" w:space="0" w:color="000000"/>
            </w:tcBorders>
            <w:shd w:val="clear" w:color="auto" w:fill="auto"/>
            <w:noWrap/>
            <w:vAlign w:val="bottom"/>
            <w:hideMark/>
          </w:tcPr>
          <w:p w14:paraId="2B17237F" w14:textId="40895451"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7D59F7" w:rsidRPr="002B5C99" w14:paraId="54510F70"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34ECE5FF"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Bulgaria</w:t>
            </w:r>
          </w:p>
        </w:tc>
        <w:tc>
          <w:tcPr>
            <w:tcW w:w="2530" w:type="dxa"/>
            <w:tcBorders>
              <w:top w:val="nil"/>
              <w:left w:val="nil"/>
              <w:bottom w:val="nil"/>
              <w:right w:val="single" w:sz="4" w:space="0" w:color="auto"/>
            </w:tcBorders>
            <w:shd w:val="clear" w:color="000000" w:fill="D9D9D9"/>
            <w:noWrap/>
            <w:vAlign w:val="bottom"/>
            <w:hideMark/>
          </w:tcPr>
          <w:p w14:paraId="7F4046D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BG-NATIONAL_SURVEILLANCE</w:t>
            </w:r>
          </w:p>
        </w:tc>
        <w:tc>
          <w:tcPr>
            <w:tcW w:w="570" w:type="dxa"/>
            <w:tcBorders>
              <w:top w:val="nil"/>
              <w:left w:val="nil"/>
              <w:bottom w:val="nil"/>
              <w:right w:val="single" w:sz="4" w:space="0" w:color="auto"/>
            </w:tcBorders>
            <w:shd w:val="clear" w:color="000000" w:fill="D9D9D9"/>
            <w:noWrap/>
            <w:vAlign w:val="bottom"/>
            <w:hideMark/>
          </w:tcPr>
          <w:p w14:paraId="5FEBADA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6F72CFF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22A0215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742B3FC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A</w:t>
            </w:r>
          </w:p>
        </w:tc>
        <w:tc>
          <w:tcPr>
            <w:tcW w:w="570" w:type="dxa"/>
            <w:tcBorders>
              <w:top w:val="nil"/>
              <w:left w:val="nil"/>
              <w:bottom w:val="nil"/>
              <w:right w:val="single" w:sz="4" w:space="0" w:color="auto"/>
            </w:tcBorders>
            <w:shd w:val="clear" w:color="000000" w:fill="D9D9D9"/>
            <w:noWrap/>
            <w:vAlign w:val="bottom"/>
            <w:hideMark/>
          </w:tcPr>
          <w:p w14:paraId="3A3B5C5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2531AF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93DBAD7"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035866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892" w:type="dxa"/>
            <w:tcBorders>
              <w:top w:val="nil"/>
              <w:left w:val="nil"/>
              <w:bottom w:val="nil"/>
              <w:right w:val="single" w:sz="4" w:space="0" w:color="auto"/>
            </w:tcBorders>
            <w:shd w:val="clear" w:color="000000" w:fill="D9D9D9"/>
            <w:noWrap/>
            <w:vAlign w:val="bottom"/>
            <w:hideMark/>
          </w:tcPr>
          <w:p w14:paraId="5072BF8A"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000000" w:fill="D9D9D9"/>
            <w:noWrap/>
            <w:vAlign w:val="bottom"/>
            <w:hideMark/>
          </w:tcPr>
          <w:p w14:paraId="5D2AF6F5" w14:textId="5C1EEAA8"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r>
      <w:tr w:rsidR="00524A86" w:rsidRPr="002B5C99" w14:paraId="177B7862"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44CA0DE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Croatia</w:t>
            </w:r>
          </w:p>
        </w:tc>
        <w:tc>
          <w:tcPr>
            <w:tcW w:w="2530" w:type="dxa"/>
            <w:tcBorders>
              <w:top w:val="nil"/>
              <w:left w:val="nil"/>
              <w:bottom w:val="nil"/>
              <w:right w:val="single" w:sz="4" w:space="0" w:color="auto"/>
            </w:tcBorders>
            <w:shd w:val="clear" w:color="auto" w:fill="auto"/>
            <w:noWrap/>
            <w:vAlign w:val="bottom"/>
            <w:hideMark/>
          </w:tcPr>
          <w:p w14:paraId="16837AE9"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HR-CNIPH</w:t>
            </w:r>
          </w:p>
        </w:tc>
        <w:tc>
          <w:tcPr>
            <w:tcW w:w="570" w:type="dxa"/>
            <w:tcBorders>
              <w:top w:val="nil"/>
              <w:left w:val="nil"/>
              <w:bottom w:val="nil"/>
              <w:right w:val="single" w:sz="4" w:space="0" w:color="auto"/>
            </w:tcBorders>
            <w:shd w:val="clear" w:color="auto" w:fill="auto"/>
            <w:noWrap/>
            <w:vAlign w:val="bottom"/>
            <w:hideMark/>
          </w:tcPr>
          <w:p w14:paraId="4D0EEE06"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50CE2A8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0436347"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4445E8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DEB42A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569B45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337A6F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90C871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892" w:type="dxa"/>
            <w:tcBorders>
              <w:top w:val="nil"/>
              <w:left w:val="nil"/>
              <w:bottom w:val="nil"/>
              <w:right w:val="single" w:sz="4" w:space="0" w:color="auto"/>
            </w:tcBorders>
            <w:shd w:val="clear" w:color="auto" w:fill="auto"/>
            <w:noWrap/>
            <w:vAlign w:val="bottom"/>
            <w:hideMark/>
          </w:tcPr>
          <w:p w14:paraId="10A7CD96"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EU-2012</w:t>
            </w:r>
          </w:p>
        </w:tc>
        <w:tc>
          <w:tcPr>
            <w:tcW w:w="935" w:type="dxa"/>
            <w:tcBorders>
              <w:top w:val="nil"/>
              <w:left w:val="single" w:sz="4" w:space="0" w:color="auto"/>
              <w:bottom w:val="nil"/>
              <w:right w:val="single" w:sz="4" w:space="0" w:color="000000"/>
            </w:tcBorders>
            <w:shd w:val="clear" w:color="auto" w:fill="auto"/>
            <w:noWrap/>
            <w:vAlign w:val="bottom"/>
            <w:hideMark/>
          </w:tcPr>
          <w:p w14:paraId="10869E81" w14:textId="499E41E4"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7D59F7" w:rsidRPr="002B5C99" w14:paraId="4CECA74C"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76C5FFF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Cyprus</w:t>
            </w:r>
          </w:p>
        </w:tc>
        <w:tc>
          <w:tcPr>
            <w:tcW w:w="2530" w:type="dxa"/>
            <w:tcBorders>
              <w:top w:val="nil"/>
              <w:left w:val="nil"/>
              <w:bottom w:val="nil"/>
              <w:right w:val="single" w:sz="4" w:space="0" w:color="auto"/>
            </w:tcBorders>
            <w:shd w:val="clear" w:color="000000" w:fill="D9D9D9"/>
            <w:noWrap/>
            <w:vAlign w:val="bottom"/>
            <w:hideMark/>
          </w:tcPr>
          <w:p w14:paraId="24F8D789"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CY-NOTIFIED_DISEASES</w:t>
            </w:r>
          </w:p>
        </w:tc>
        <w:tc>
          <w:tcPr>
            <w:tcW w:w="570" w:type="dxa"/>
            <w:tcBorders>
              <w:top w:val="nil"/>
              <w:left w:val="nil"/>
              <w:bottom w:val="nil"/>
              <w:right w:val="single" w:sz="4" w:space="0" w:color="auto"/>
            </w:tcBorders>
            <w:shd w:val="clear" w:color="000000" w:fill="D9D9D9"/>
            <w:noWrap/>
            <w:vAlign w:val="bottom"/>
            <w:hideMark/>
          </w:tcPr>
          <w:p w14:paraId="7971568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0C12000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29986F0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57E9236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25FF426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4CA2BD5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A4753C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3D64EB1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639B418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EU-2008</w:t>
            </w:r>
          </w:p>
        </w:tc>
        <w:tc>
          <w:tcPr>
            <w:tcW w:w="935" w:type="dxa"/>
            <w:tcBorders>
              <w:top w:val="nil"/>
              <w:left w:val="single" w:sz="4" w:space="0" w:color="auto"/>
              <w:bottom w:val="nil"/>
              <w:right w:val="single" w:sz="4" w:space="0" w:color="000000"/>
            </w:tcBorders>
            <w:shd w:val="clear" w:color="000000" w:fill="D9D9D9"/>
            <w:noWrap/>
            <w:vAlign w:val="bottom"/>
            <w:hideMark/>
          </w:tcPr>
          <w:p w14:paraId="562E652F" w14:textId="16C09DED"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524A86" w:rsidRPr="002B5C99" w14:paraId="2F589CFB"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2DDAE5A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Czechia</w:t>
            </w:r>
          </w:p>
        </w:tc>
        <w:tc>
          <w:tcPr>
            <w:tcW w:w="2530" w:type="dxa"/>
            <w:tcBorders>
              <w:top w:val="nil"/>
              <w:left w:val="nil"/>
              <w:bottom w:val="nil"/>
              <w:right w:val="single" w:sz="4" w:space="0" w:color="auto"/>
            </w:tcBorders>
            <w:shd w:val="clear" w:color="auto" w:fill="auto"/>
            <w:noWrap/>
            <w:vAlign w:val="bottom"/>
            <w:hideMark/>
          </w:tcPr>
          <w:p w14:paraId="41A9FA3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CZ-ISIN</w:t>
            </w:r>
          </w:p>
        </w:tc>
        <w:tc>
          <w:tcPr>
            <w:tcW w:w="570" w:type="dxa"/>
            <w:tcBorders>
              <w:top w:val="nil"/>
              <w:left w:val="nil"/>
              <w:bottom w:val="nil"/>
              <w:right w:val="single" w:sz="4" w:space="0" w:color="auto"/>
            </w:tcBorders>
            <w:shd w:val="clear" w:color="auto" w:fill="auto"/>
            <w:noWrap/>
            <w:vAlign w:val="bottom"/>
            <w:hideMark/>
          </w:tcPr>
          <w:p w14:paraId="30F1A837"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41CF065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E3338EF"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4E1BEFE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20D065C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5DCBDAF"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065C63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B728F6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04F3AD86"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EU-2008</w:t>
            </w:r>
          </w:p>
        </w:tc>
        <w:tc>
          <w:tcPr>
            <w:tcW w:w="935" w:type="dxa"/>
            <w:tcBorders>
              <w:top w:val="nil"/>
              <w:left w:val="single" w:sz="4" w:space="0" w:color="auto"/>
              <w:bottom w:val="nil"/>
              <w:right w:val="single" w:sz="4" w:space="0" w:color="000000"/>
            </w:tcBorders>
            <w:shd w:val="clear" w:color="auto" w:fill="auto"/>
            <w:noWrap/>
            <w:vAlign w:val="bottom"/>
            <w:hideMark/>
          </w:tcPr>
          <w:p w14:paraId="13549804" w14:textId="5B28543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7D59F7" w:rsidRPr="002B5C99" w14:paraId="00ECC9B9"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758B269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Denmark</w:t>
            </w:r>
          </w:p>
        </w:tc>
        <w:tc>
          <w:tcPr>
            <w:tcW w:w="2530" w:type="dxa"/>
            <w:tcBorders>
              <w:top w:val="nil"/>
              <w:left w:val="nil"/>
              <w:bottom w:val="nil"/>
              <w:right w:val="single" w:sz="4" w:space="0" w:color="auto"/>
            </w:tcBorders>
            <w:shd w:val="clear" w:color="000000" w:fill="D9D9D9"/>
            <w:noWrap/>
            <w:vAlign w:val="bottom"/>
            <w:hideMark/>
          </w:tcPr>
          <w:p w14:paraId="765568A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DK-LAB</w:t>
            </w:r>
          </w:p>
        </w:tc>
        <w:tc>
          <w:tcPr>
            <w:tcW w:w="570" w:type="dxa"/>
            <w:tcBorders>
              <w:top w:val="nil"/>
              <w:left w:val="nil"/>
              <w:bottom w:val="nil"/>
              <w:right w:val="single" w:sz="4" w:space="0" w:color="auto"/>
            </w:tcBorders>
            <w:shd w:val="clear" w:color="000000" w:fill="D9D9D9"/>
            <w:noWrap/>
            <w:vAlign w:val="bottom"/>
            <w:hideMark/>
          </w:tcPr>
          <w:p w14:paraId="459C557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19886445"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207B65F6"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39035F5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516E5A2F"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186B06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7729B4B5"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16066F6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0FED8330" w14:textId="2EB66042" w:rsidR="00524A86" w:rsidRPr="002B5C99" w:rsidRDefault="000B7484" w:rsidP="002B5C99">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000000" w:fill="D9D9D9"/>
            <w:noWrap/>
            <w:vAlign w:val="bottom"/>
            <w:hideMark/>
          </w:tcPr>
          <w:p w14:paraId="25CE9311" w14:textId="1A158022"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524A86" w:rsidRPr="002B5C99" w14:paraId="0C60699F"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170369D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Estonia</w:t>
            </w:r>
          </w:p>
        </w:tc>
        <w:tc>
          <w:tcPr>
            <w:tcW w:w="2530" w:type="dxa"/>
            <w:tcBorders>
              <w:top w:val="nil"/>
              <w:left w:val="nil"/>
              <w:bottom w:val="nil"/>
              <w:right w:val="single" w:sz="4" w:space="0" w:color="auto"/>
            </w:tcBorders>
            <w:shd w:val="clear" w:color="auto" w:fill="auto"/>
            <w:noWrap/>
            <w:vAlign w:val="bottom"/>
            <w:hideMark/>
          </w:tcPr>
          <w:p w14:paraId="78FF45D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EE-NAKIS</w:t>
            </w:r>
          </w:p>
        </w:tc>
        <w:tc>
          <w:tcPr>
            <w:tcW w:w="570" w:type="dxa"/>
            <w:tcBorders>
              <w:top w:val="nil"/>
              <w:left w:val="nil"/>
              <w:bottom w:val="nil"/>
              <w:right w:val="single" w:sz="4" w:space="0" w:color="auto"/>
            </w:tcBorders>
            <w:shd w:val="clear" w:color="auto" w:fill="auto"/>
            <w:noWrap/>
            <w:vAlign w:val="bottom"/>
            <w:hideMark/>
          </w:tcPr>
          <w:p w14:paraId="74269F4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8B882E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2983200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267172C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94D374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24D6ED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FA2DB3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5C1B3E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131EE7B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auto" w:fill="auto"/>
            <w:noWrap/>
            <w:vAlign w:val="bottom"/>
            <w:hideMark/>
          </w:tcPr>
          <w:p w14:paraId="23ABAEDF" w14:textId="713D7DA1"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7D59F7" w:rsidRPr="002B5C99" w14:paraId="761D66C4"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69C0AC9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Finland</w:t>
            </w:r>
          </w:p>
        </w:tc>
        <w:tc>
          <w:tcPr>
            <w:tcW w:w="2530" w:type="dxa"/>
            <w:tcBorders>
              <w:top w:val="nil"/>
              <w:left w:val="nil"/>
              <w:bottom w:val="nil"/>
              <w:right w:val="single" w:sz="4" w:space="0" w:color="auto"/>
            </w:tcBorders>
            <w:shd w:val="clear" w:color="000000" w:fill="D9D9D9"/>
            <w:noWrap/>
            <w:vAlign w:val="bottom"/>
            <w:hideMark/>
          </w:tcPr>
          <w:p w14:paraId="1FAAD13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FI-NIDR</w:t>
            </w:r>
          </w:p>
        </w:tc>
        <w:tc>
          <w:tcPr>
            <w:tcW w:w="570" w:type="dxa"/>
            <w:tcBorders>
              <w:top w:val="nil"/>
              <w:left w:val="nil"/>
              <w:bottom w:val="nil"/>
              <w:right w:val="single" w:sz="4" w:space="0" w:color="auto"/>
            </w:tcBorders>
            <w:shd w:val="clear" w:color="000000" w:fill="D9D9D9"/>
            <w:noWrap/>
            <w:vAlign w:val="bottom"/>
            <w:hideMark/>
          </w:tcPr>
          <w:p w14:paraId="7727E33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5044D1C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7B31AC6A"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3BB063E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78F494D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9FFD23A"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4630E34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5C8CA77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1B0227D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EU-2012</w:t>
            </w:r>
          </w:p>
        </w:tc>
        <w:tc>
          <w:tcPr>
            <w:tcW w:w="935" w:type="dxa"/>
            <w:tcBorders>
              <w:top w:val="nil"/>
              <w:left w:val="single" w:sz="4" w:space="0" w:color="auto"/>
              <w:bottom w:val="nil"/>
              <w:right w:val="single" w:sz="4" w:space="0" w:color="000000"/>
            </w:tcBorders>
            <w:shd w:val="clear" w:color="000000" w:fill="D9D9D9"/>
            <w:noWrap/>
            <w:vAlign w:val="bottom"/>
            <w:hideMark/>
          </w:tcPr>
          <w:p w14:paraId="3CBE9315" w14:textId="0BFF9C89"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524A86" w:rsidRPr="002B5C99" w14:paraId="3BE73A32"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60FC5ABF"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France</w:t>
            </w:r>
          </w:p>
        </w:tc>
        <w:tc>
          <w:tcPr>
            <w:tcW w:w="2530" w:type="dxa"/>
            <w:tcBorders>
              <w:top w:val="nil"/>
              <w:left w:val="nil"/>
              <w:bottom w:val="nil"/>
              <w:right w:val="single" w:sz="4" w:space="0" w:color="auto"/>
            </w:tcBorders>
            <w:shd w:val="clear" w:color="auto" w:fill="auto"/>
            <w:noWrap/>
            <w:vAlign w:val="bottom"/>
            <w:hideMark/>
          </w:tcPr>
          <w:p w14:paraId="4C3240C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FR-NATIONAL_REFERENCE_CENTRES</w:t>
            </w:r>
          </w:p>
        </w:tc>
        <w:tc>
          <w:tcPr>
            <w:tcW w:w="570" w:type="dxa"/>
            <w:tcBorders>
              <w:top w:val="nil"/>
              <w:left w:val="nil"/>
              <w:bottom w:val="nil"/>
              <w:right w:val="single" w:sz="4" w:space="0" w:color="auto"/>
            </w:tcBorders>
            <w:shd w:val="clear" w:color="auto" w:fill="auto"/>
            <w:noWrap/>
            <w:vAlign w:val="bottom"/>
            <w:hideMark/>
          </w:tcPr>
          <w:p w14:paraId="3EECFC7F"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249F6FE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3959E2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DE0395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E03D6C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4528D8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6E0CE8C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004A3D76"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3B248965"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Other</w:t>
            </w:r>
          </w:p>
        </w:tc>
        <w:tc>
          <w:tcPr>
            <w:tcW w:w="935" w:type="dxa"/>
            <w:tcBorders>
              <w:top w:val="nil"/>
              <w:left w:val="single" w:sz="4" w:space="0" w:color="auto"/>
              <w:bottom w:val="nil"/>
              <w:right w:val="single" w:sz="4" w:space="0" w:color="000000"/>
            </w:tcBorders>
            <w:shd w:val="clear" w:color="auto" w:fill="auto"/>
            <w:noWrap/>
            <w:vAlign w:val="bottom"/>
            <w:hideMark/>
          </w:tcPr>
          <w:p w14:paraId="03B7C402" w14:textId="6949DEC2"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7D59F7" w:rsidRPr="002B5C99" w14:paraId="7B4C3AF1"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30B0763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Germany</w:t>
            </w:r>
          </w:p>
        </w:tc>
        <w:tc>
          <w:tcPr>
            <w:tcW w:w="2530" w:type="dxa"/>
            <w:tcBorders>
              <w:top w:val="nil"/>
              <w:left w:val="nil"/>
              <w:bottom w:val="nil"/>
              <w:right w:val="single" w:sz="4" w:space="0" w:color="auto"/>
            </w:tcBorders>
            <w:shd w:val="clear" w:color="000000" w:fill="D9D9D9"/>
            <w:noWrap/>
            <w:vAlign w:val="bottom"/>
            <w:hideMark/>
          </w:tcPr>
          <w:p w14:paraId="7CB404F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DE-SURVNET@RKI-7.1</w:t>
            </w:r>
          </w:p>
        </w:tc>
        <w:tc>
          <w:tcPr>
            <w:tcW w:w="570" w:type="dxa"/>
            <w:tcBorders>
              <w:top w:val="nil"/>
              <w:left w:val="nil"/>
              <w:bottom w:val="nil"/>
              <w:right w:val="single" w:sz="4" w:space="0" w:color="auto"/>
            </w:tcBorders>
            <w:shd w:val="clear" w:color="000000" w:fill="D9D9D9"/>
            <w:noWrap/>
            <w:vAlign w:val="bottom"/>
            <w:hideMark/>
          </w:tcPr>
          <w:p w14:paraId="212EF0D7"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20DA26A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6C0A61A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65516DA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7FE98B97"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3D9D28D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513401F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533D30D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6D883B9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Other</w:t>
            </w:r>
          </w:p>
        </w:tc>
        <w:tc>
          <w:tcPr>
            <w:tcW w:w="935" w:type="dxa"/>
            <w:tcBorders>
              <w:top w:val="nil"/>
              <w:left w:val="single" w:sz="4" w:space="0" w:color="auto"/>
              <w:bottom w:val="nil"/>
              <w:right w:val="single" w:sz="4" w:space="0" w:color="000000"/>
            </w:tcBorders>
            <w:shd w:val="clear" w:color="000000" w:fill="D9D9D9"/>
            <w:noWrap/>
            <w:vAlign w:val="bottom"/>
            <w:hideMark/>
          </w:tcPr>
          <w:p w14:paraId="1E63F21E" w14:textId="09D64CDE"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524A86" w:rsidRPr="002B5C99" w14:paraId="6ED97E5F"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367E2BC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Greece</w:t>
            </w:r>
          </w:p>
        </w:tc>
        <w:tc>
          <w:tcPr>
            <w:tcW w:w="2530" w:type="dxa"/>
            <w:tcBorders>
              <w:top w:val="nil"/>
              <w:left w:val="nil"/>
              <w:bottom w:val="nil"/>
              <w:right w:val="single" w:sz="4" w:space="0" w:color="auto"/>
            </w:tcBorders>
            <w:shd w:val="clear" w:color="auto" w:fill="auto"/>
            <w:noWrap/>
            <w:vAlign w:val="bottom"/>
            <w:hideMark/>
          </w:tcPr>
          <w:p w14:paraId="216277C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EL-NOTIFIABLE_DISEASES</w:t>
            </w:r>
          </w:p>
        </w:tc>
        <w:tc>
          <w:tcPr>
            <w:tcW w:w="570" w:type="dxa"/>
            <w:tcBorders>
              <w:top w:val="nil"/>
              <w:left w:val="nil"/>
              <w:bottom w:val="nil"/>
              <w:right w:val="single" w:sz="4" w:space="0" w:color="auto"/>
            </w:tcBorders>
            <w:shd w:val="clear" w:color="auto" w:fill="auto"/>
            <w:noWrap/>
            <w:vAlign w:val="bottom"/>
            <w:hideMark/>
          </w:tcPr>
          <w:p w14:paraId="599A5BF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1C62B6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A7BFC1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183BB6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5B83FC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8743A7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DF4E0B9"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65DD0E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w:t>
            </w:r>
          </w:p>
        </w:tc>
        <w:tc>
          <w:tcPr>
            <w:tcW w:w="892" w:type="dxa"/>
            <w:tcBorders>
              <w:top w:val="nil"/>
              <w:left w:val="nil"/>
              <w:bottom w:val="nil"/>
              <w:right w:val="single" w:sz="4" w:space="0" w:color="auto"/>
            </w:tcBorders>
            <w:shd w:val="clear" w:color="auto" w:fill="auto"/>
            <w:noWrap/>
            <w:vAlign w:val="bottom"/>
            <w:hideMark/>
          </w:tcPr>
          <w:p w14:paraId="6823200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auto" w:fill="auto"/>
            <w:noWrap/>
            <w:vAlign w:val="bottom"/>
            <w:hideMark/>
          </w:tcPr>
          <w:p w14:paraId="268F9F28" w14:textId="70098BC5"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7D59F7" w:rsidRPr="002B5C99" w14:paraId="54CFA8BB"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28D1EF3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Hungary</w:t>
            </w:r>
          </w:p>
        </w:tc>
        <w:tc>
          <w:tcPr>
            <w:tcW w:w="2530" w:type="dxa"/>
            <w:tcBorders>
              <w:top w:val="nil"/>
              <w:left w:val="nil"/>
              <w:bottom w:val="nil"/>
              <w:right w:val="single" w:sz="4" w:space="0" w:color="auto"/>
            </w:tcBorders>
            <w:shd w:val="clear" w:color="000000" w:fill="D9D9D9"/>
            <w:noWrap/>
            <w:vAlign w:val="bottom"/>
            <w:hideMark/>
          </w:tcPr>
          <w:p w14:paraId="18D399D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HU-Zoonoses</w:t>
            </w:r>
          </w:p>
        </w:tc>
        <w:tc>
          <w:tcPr>
            <w:tcW w:w="570" w:type="dxa"/>
            <w:tcBorders>
              <w:top w:val="nil"/>
              <w:left w:val="nil"/>
              <w:bottom w:val="nil"/>
              <w:right w:val="single" w:sz="4" w:space="0" w:color="auto"/>
            </w:tcBorders>
            <w:shd w:val="clear" w:color="000000" w:fill="D9D9D9"/>
            <w:noWrap/>
            <w:vAlign w:val="bottom"/>
            <w:hideMark/>
          </w:tcPr>
          <w:p w14:paraId="08C21DD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1A003659"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1531BB5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2FEDC01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4EF016D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6BA9FF9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3BE2B0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61848A3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34B783DA"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EU-2012</w:t>
            </w:r>
          </w:p>
        </w:tc>
        <w:tc>
          <w:tcPr>
            <w:tcW w:w="935" w:type="dxa"/>
            <w:tcBorders>
              <w:top w:val="nil"/>
              <w:left w:val="single" w:sz="4" w:space="0" w:color="auto"/>
              <w:bottom w:val="nil"/>
              <w:right w:val="single" w:sz="4" w:space="0" w:color="000000"/>
            </w:tcBorders>
            <w:shd w:val="clear" w:color="000000" w:fill="D9D9D9"/>
            <w:noWrap/>
            <w:vAlign w:val="bottom"/>
            <w:hideMark/>
          </w:tcPr>
          <w:p w14:paraId="7F49FF2F" w14:textId="7FB19FBE"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524A86" w:rsidRPr="002B5C99" w14:paraId="2AC1AE6B"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3D88F51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Iceland</w:t>
            </w:r>
          </w:p>
        </w:tc>
        <w:tc>
          <w:tcPr>
            <w:tcW w:w="2530" w:type="dxa"/>
            <w:tcBorders>
              <w:top w:val="nil"/>
              <w:left w:val="nil"/>
              <w:bottom w:val="nil"/>
              <w:right w:val="single" w:sz="4" w:space="0" w:color="auto"/>
            </w:tcBorders>
            <w:shd w:val="clear" w:color="auto" w:fill="auto"/>
            <w:noWrap/>
            <w:vAlign w:val="bottom"/>
            <w:hideMark/>
          </w:tcPr>
          <w:p w14:paraId="4A301195"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IS-SUBJECT_TO_REGISTRATION</w:t>
            </w:r>
          </w:p>
        </w:tc>
        <w:tc>
          <w:tcPr>
            <w:tcW w:w="570" w:type="dxa"/>
            <w:tcBorders>
              <w:top w:val="nil"/>
              <w:left w:val="nil"/>
              <w:bottom w:val="nil"/>
              <w:right w:val="single" w:sz="4" w:space="0" w:color="auto"/>
            </w:tcBorders>
            <w:shd w:val="clear" w:color="auto" w:fill="auto"/>
            <w:noWrap/>
            <w:vAlign w:val="bottom"/>
            <w:hideMark/>
          </w:tcPr>
          <w:p w14:paraId="311F55E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A2E369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9EFF106"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4FE74A9"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0CE261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F9786F5"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3215FF7"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w:t>
            </w:r>
          </w:p>
        </w:tc>
        <w:tc>
          <w:tcPr>
            <w:tcW w:w="570" w:type="dxa"/>
            <w:tcBorders>
              <w:top w:val="nil"/>
              <w:left w:val="nil"/>
              <w:bottom w:val="nil"/>
              <w:right w:val="single" w:sz="4" w:space="0" w:color="auto"/>
            </w:tcBorders>
            <w:shd w:val="clear" w:color="auto" w:fill="auto"/>
            <w:noWrap/>
            <w:vAlign w:val="bottom"/>
            <w:hideMark/>
          </w:tcPr>
          <w:p w14:paraId="526B3D0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w:t>
            </w:r>
          </w:p>
        </w:tc>
        <w:tc>
          <w:tcPr>
            <w:tcW w:w="892" w:type="dxa"/>
            <w:tcBorders>
              <w:top w:val="nil"/>
              <w:left w:val="nil"/>
              <w:bottom w:val="nil"/>
              <w:right w:val="single" w:sz="4" w:space="0" w:color="auto"/>
            </w:tcBorders>
            <w:shd w:val="clear" w:color="auto" w:fill="auto"/>
            <w:noWrap/>
            <w:vAlign w:val="bottom"/>
            <w:hideMark/>
          </w:tcPr>
          <w:p w14:paraId="77121002" w14:textId="03313314"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EU-201</w:t>
            </w:r>
            <w:r w:rsidR="003A12EB" w:rsidRPr="002B5C99">
              <w:rPr>
                <w:rFonts w:eastAsia="Times New Roman" w:cs="Tahoma"/>
                <w:sz w:val="14"/>
                <w:szCs w:val="14"/>
                <w:lang w:eastAsia="en-GB"/>
              </w:rPr>
              <w:t>8</w:t>
            </w:r>
          </w:p>
        </w:tc>
        <w:tc>
          <w:tcPr>
            <w:tcW w:w="935" w:type="dxa"/>
            <w:tcBorders>
              <w:top w:val="nil"/>
              <w:left w:val="single" w:sz="4" w:space="0" w:color="auto"/>
              <w:bottom w:val="nil"/>
              <w:right w:val="single" w:sz="4" w:space="0" w:color="000000"/>
            </w:tcBorders>
            <w:shd w:val="clear" w:color="auto" w:fill="auto"/>
            <w:noWrap/>
            <w:vAlign w:val="bottom"/>
            <w:hideMark/>
          </w:tcPr>
          <w:p w14:paraId="0AFD1956" w14:textId="27C7254E"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7D59F7" w:rsidRPr="002B5C99" w14:paraId="57769581"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634CFED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Ireland</w:t>
            </w:r>
          </w:p>
        </w:tc>
        <w:tc>
          <w:tcPr>
            <w:tcW w:w="2530" w:type="dxa"/>
            <w:tcBorders>
              <w:top w:val="nil"/>
              <w:left w:val="nil"/>
              <w:bottom w:val="nil"/>
              <w:right w:val="single" w:sz="4" w:space="0" w:color="auto"/>
            </w:tcBorders>
            <w:shd w:val="clear" w:color="000000" w:fill="D9D9D9"/>
            <w:noWrap/>
            <w:vAlign w:val="bottom"/>
            <w:hideMark/>
          </w:tcPr>
          <w:p w14:paraId="1BDA1C69"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IE-CIDR</w:t>
            </w:r>
          </w:p>
        </w:tc>
        <w:tc>
          <w:tcPr>
            <w:tcW w:w="570" w:type="dxa"/>
            <w:tcBorders>
              <w:top w:val="nil"/>
              <w:left w:val="nil"/>
              <w:bottom w:val="nil"/>
              <w:right w:val="single" w:sz="4" w:space="0" w:color="auto"/>
            </w:tcBorders>
            <w:shd w:val="clear" w:color="000000" w:fill="D9D9D9"/>
            <w:noWrap/>
            <w:vAlign w:val="bottom"/>
            <w:hideMark/>
          </w:tcPr>
          <w:p w14:paraId="19809D7F"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7626D13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4A3476F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59C552E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020B1C7A"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F5027A5"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10DCF0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9CCAB5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4BD61A59"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EU-2008</w:t>
            </w:r>
          </w:p>
        </w:tc>
        <w:tc>
          <w:tcPr>
            <w:tcW w:w="935" w:type="dxa"/>
            <w:tcBorders>
              <w:top w:val="nil"/>
              <w:left w:val="single" w:sz="4" w:space="0" w:color="auto"/>
              <w:bottom w:val="nil"/>
              <w:right w:val="single" w:sz="4" w:space="0" w:color="000000"/>
            </w:tcBorders>
            <w:shd w:val="clear" w:color="000000" w:fill="D9D9D9"/>
            <w:noWrap/>
            <w:vAlign w:val="bottom"/>
            <w:hideMark/>
          </w:tcPr>
          <w:p w14:paraId="6FBD97D4" w14:textId="6F3E9788"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524A86" w:rsidRPr="002B5C99" w14:paraId="4C51D4B0"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7B52488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Italy</w:t>
            </w:r>
          </w:p>
        </w:tc>
        <w:tc>
          <w:tcPr>
            <w:tcW w:w="2530" w:type="dxa"/>
            <w:tcBorders>
              <w:top w:val="nil"/>
              <w:left w:val="nil"/>
              <w:bottom w:val="nil"/>
              <w:right w:val="single" w:sz="4" w:space="0" w:color="auto"/>
            </w:tcBorders>
            <w:shd w:val="clear" w:color="auto" w:fill="auto"/>
            <w:noWrap/>
            <w:vAlign w:val="bottom"/>
            <w:hideMark/>
          </w:tcPr>
          <w:p w14:paraId="1EB48A7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IT-ENTERNET</w:t>
            </w:r>
          </w:p>
        </w:tc>
        <w:tc>
          <w:tcPr>
            <w:tcW w:w="570" w:type="dxa"/>
            <w:tcBorders>
              <w:top w:val="nil"/>
              <w:left w:val="nil"/>
              <w:bottom w:val="nil"/>
              <w:right w:val="single" w:sz="4" w:space="0" w:color="auto"/>
            </w:tcBorders>
            <w:shd w:val="clear" w:color="auto" w:fill="auto"/>
            <w:noWrap/>
            <w:vAlign w:val="bottom"/>
            <w:hideMark/>
          </w:tcPr>
          <w:p w14:paraId="0F314FDA"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71D11664"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Se</w:t>
            </w:r>
          </w:p>
        </w:tc>
        <w:tc>
          <w:tcPr>
            <w:tcW w:w="570" w:type="dxa"/>
            <w:tcBorders>
              <w:top w:val="nil"/>
              <w:left w:val="nil"/>
              <w:bottom w:val="nil"/>
              <w:right w:val="single" w:sz="4" w:space="0" w:color="auto"/>
            </w:tcBorders>
            <w:shd w:val="clear" w:color="auto" w:fill="auto"/>
            <w:noWrap/>
            <w:vAlign w:val="bottom"/>
            <w:hideMark/>
          </w:tcPr>
          <w:p w14:paraId="7D54DD0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BAF781C"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59F90AE"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57E3A2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688D27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9FDF35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5E6D5CF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Other</w:t>
            </w:r>
          </w:p>
        </w:tc>
        <w:tc>
          <w:tcPr>
            <w:tcW w:w="935" w:type="dxa"/>
            <w:tcBorders>
              <w:top w:val="nil"/>
              <w:left w:val="single" w:sz="4" w:space="0" w:color="auto"/>
              <w:bottom w:val="nil"/>
              <w:right w:val="single" w:sz="4" w:space="0" w:color="000000"/>
            </w:tcBorders>
            <w:shd w:val="clear" w:color="auto" w:fill="auto"/>
            <w:noWrap/>
            <w:vAlign w:val="bottom"/>
            <w:hideMark/>
          </w:tcPr>
          <w:p w14:paraId="249391EC" w14:textId="4667AE14" w:rsidR="00524A86" w:rsidRPr="002B5C99" w:rsidRDefault="00A45F50" w:rsidP="002B5C99">
            <w:pPr>
              <w:spacing w:before="120" w:after="0"/>
              <w:rPr>
                <w:rFonts w:eastAsia="Times New Roman" w:cs="Tahoma"/>
                <w:sz w:val="14"/>
                <w:szCs w:val="14"/>
                <w:lang w:eastAsia="en-GB"/>
              </w:rPr>
            </w:pPr>
            <w:r w:rsidRPr="002B5C99">
              <w:rPr>
                <w:rFonts w:eastAsia="Times New Roman" w:cs="Tahoma"/>
                <w:sz w:val="14"/>
                <w:szCs w:val="14"/>
                <w:lang w:eastAsia="en-GB"/>
              </w:rPr>
              <w:t>S</w:t>
            </w:r>
          </w:p>
        </w:tc>
      </w:tr>
      <w:tr w:rsidR="007D59F7" w:rsidRPr="002B5C99" w14:paraId="4202A857"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7A59487D"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Italy</w:t>
            </w:r>
          </w:p>
        </w:tc>
        <w:tc>
          <w:tcPr>
            <w:tcW w:w="2530" w:type="dxa"/>
            <w:tcBorders>
              <w:top w:val="nil"/>
              <w:left w:val="nil"/>
              <w:bottom w:val="nil"/>
              <w:right w:val="single" w:sz="4" w:space="0" w:color="auto"/>
            </w:tcBorders>
            <w:shd w:val="clear" w:color="000000" w:fill="D9D9D9"/>
            <w:noWrap/>
            <w:vAlign w:val="bottom"/>
            <w:hideMark/>
          </w:tcPr>
          <w:p w14:paraId="4E3EDA78"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IT-NRS</w:t>
            </w:r>
          </w:p>
        </w:tc>
        <w:tc>
          <w:tcPr>
            <w:tcW w:w="570" w:type="dxa"/>
            <w:tcBorders>
              <w:top w:val="nil"/>
              <w:left w:val="nil"/>
              <w:bottom w:val="nil"/>
              <w:right w:val="single" w:sz="4" w:space="0" w:color="auto"/>
            </w:tcBorders>
            <w:shd w:val="clear" w:color="000000" w:fill="D9D9D9"/>
            <w:noWrap/>
            <w:vAlign w:val="bottom"/>
            <w:hideMark/>
          </w:tcPr>
          <w:p w14:paraId="5C501F8F"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08D7955B"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518986D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2405FA10"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1456EE2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65FA82A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672A3D2"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7038BC1"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2E152423" w14:textId="77777777" w:rsidR="00524A86" w:rsidRPr="002B5C99" w:rsidRDefault="00524A86" w:rsidP="002B5C99">
            <w:pPr>
              <w:spacing w:before="120" w:after="0"/>
              <w:rPr>
                <w:rFonts w:eastAsia="Times New Roman" w:cs="Tahoma"/>
                <w:sz w:val="14"/>
                <w:szCs w:val="14"/>
                <w:lang w:eastAsia="en-GB"/>
              </w:rPr>
            </w:pPr>
            <w:r w:rsidRPr="002B5C99">
              <w:rPr>
                <w:rFonts w:eastAsia="Times New Roman" w:cs="Tahoma"/>
                <w:sz w:val="14"/>
                <w:szCs w:val="14"/>
                <w:lang w:eastAsia="en-GB"/>
              </w:rPr>
              <w:t>Other</w:t>
            </w:r>
          </w:p>
        </w:tc>
        <w:tc>
          <w:tcPr>
            <w:tcW w:w="935" w:type="dxa"/>
            <w:tcBorders>
              <w:top w:val="nil"/>
              <w:left w:val="single" w:sz="4" w:space="0" w:color="auto"/>
              <w:bottom w:val="nil"/>
              <w:right w:val="single" w:sz="4" w:space="0" w:color="000000"/>
            </w:tcBorders>
            <w:shd w:val="clear" w:color="000000" w:fill="D9D9D9"/>
            <w:noWrap/>
            <w:vAlign w:val="bottom"/>
            <w:hideMark/>
          </w:tcPr>
          <w:p w14:paraId="7C180EF4" w14:textId="291D1157" w:rsidR="00524A86" w:rsidRPr="002B5C99" w:rsidRDefault="00A45F50" w:rsidP="002B5C99">
            <w:pPr>
              <w:spacing w:before="120" w:after="0"/>
              <w:rPr>
                <w:rFonts w:eastAsia="Times New Roman" w:cs="Tahoma"/>
                <w:sz w:val="14"/>
                <w:szCs w:val="14"/>
                <w:lang w:eastAsia="en-GB"/>
              </w:rPr>
            </w:pPr>
            <w:r w:rsidRPr="002B5C99">
              <w:rPr>
                <w:rFonts w:eastAsia="Times New Roman" w:cs="Tahoma"/>
                <w:sz w:val="14"/>
                <w:szCs w:val="14"/>
                <w:lang w:val="it-IT" w:eastAsia="en-GB"/>
              </w:rPr>
              <w:t>N,T</w:t>
            </w:r>
          </w:p>
        </w:tc>
      </w:tr>
      <w:tr w:rsidR="00F552B4" w:rsidRPr="002B5C99" w14:paraId="05BAB3B9"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7B00FBA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Latvia</w:t>
            </w:r>
          </w:p>
        </w:tc>
        <w:tc>
          <w:tcPr>
            <w:tcW w:w="2530" w:type="dxa"/>
            <w:tcBorders>
              <w:top w:val="nil"/>
              <w:left w:val="nil"/>
              <w:bottom w:val="nil"/>
              <w:right w:val="single" w:sz="4" w:space="0" w:color="auto"/>
            </w:tcBorders>
            <w:shd w:val="clear" w:color="auto" w:fill="auto"/>
            <w:noWrap/>
            <w:vAlign w:val="bottom"/>
            <w:hideMark/>
          </w:tcPr>
          <w:p w14:paraId="6FC22A26"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LV-BSN</w:t>
            </w:r>
          </w:p>
        </w:tc>
        <w:tc>
          <w:tcPr>
            <w:tcW w:w="570" w:type="dxa"/>
            <w:tcBorders>
              <w:top w:val="nil"/>
              <w:left w:val="nil"/>
              <w:bottom w:val="nil"/>
              <w:right w:val="single" w:sz="4" w:space="0" w:color="auto"/>
            </w:tcBorders>
            <w:shd w:val="clear" w:color="auto" w:fill="auto"/>
            <w:noWrap/>
            <w:vAlign w:val="bottom"/>
            <w:hideMark/>
          </w:tcPr>
          <w:p w14:paraId="06D7EBE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24825071"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654D02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EC123A1"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0280C6B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152F055"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5DAAEAC"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16BB30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0BC01CBD" w14:textId="62E7E1AD"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auto" w:fill="auto"/>
            <w:noWrap/>
            <w:vAlign w:val="bottom"/>
            <w:hideMark/>
          </w:tcPr>
          <w:p w14:paraId="641B488A" w14:textId="5B2EF612"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4268D6A6"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668D6EA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Liechtenstein</w:t>
            </w:r>
          </w:p>
        </w:tc>
        <w:tc>
          <w:tcPr>
            <w:tcW w:w="2530" w:type="dxa"/>
            <w:tcBorders>
              <w:top w:val="nil"/>
              <w:left w:val="nil"/>
              <w:bottom w:val="nil"/>
              <w:right w:val="single" w:sz="4" w:space="0" w:color="auto"/>
            </w:tcBorders>
            <w:shd w:val="clear" w:color="000000" w:fill="D9D9D9"/>
            <w:noWrap/>
            <w:vAlign w:val="bottom"/>
            <w:hideMark/>
          </w:tcPr>
          <w:p w14:paraId="5ADB3AE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LI-SEPI</w:t>
            </w:r>
          </w:p>
        </w:tc>
        <w:tc>
          <w:tcPr>
            <w:tcW w:w="570" w:type="dxa"/>
            <w:tcBorders>
              <w:top w:val="nil"/>
              <w:left w:val="nil"/>
              <w:bottom w:val="nil"/>
              <w:right w:val="single" w:sz="4" w:space="0" w:color="auto"/>
            </w:tcBorders>
            <w:shd w:val="clear" w:color="000000" w:fill="D9D9D9"/>
            <w:noWrap/>
            <w:vAlign w:val="bottom"/>
            <w:hideMark/>
          </w:tcPr>
          <w:p w14:paraId="276FDD9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0995387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3CA2CBD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4C730F4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751E39FC"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23A369EA"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F23091A"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E211526"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w:t>
            </w:r>
          </w:p>
        </w:tc>
        <w:tc>
          <w:tcPr>
            <w:tcW w:w="892" w:type="dxa"/>
            <w:tcBorders>
              <w:top w:val="nil"/>
              <w:left w:val="nil"/>
              <w:bottom w:val="nil"/>
              <w:right w:val="single" w:sz="4" w:space="0" w:color="auto"/>
            </w:tcBorders>
            <w:shd w:val="clear" w:color="000000" w:fill="D9D9D9"/>
            <w:noWrap/>
            <w:vAlign w:val="bottom"/>
            <w:hideMark/>
          </w:tcPr>
          <w:p w14:paraId="2634F918" w14:textId="74C9A062"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000000" w:fill="D9D9D9"/>
            <w:noWrap/>
            <w:vAlign w:val="bottom"/>
            <w:hideMark/>
          </w:tcPr>
          <w:p w14:paraId="5944E097" w14:textId="7263BE50"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r>
              <w:rPr>
                <w:rFonts w:eastAsia="Times New Roman" w:cs="Tahoma"/>
                <w:sz w:val="14"/>
                <w:szCs w:val="14"/>
                <w:lang w:eastAsia="en-GB"/>
              </w:rPr>
              <w:t xml:space="preserve"> </w:t>
            </w:r>
            <w:r w:rsidRPr="002B5C99">
              <w:rPr>
                <w:rFonts w:eastAsia="Times New Roman" w:cs="Tahoma"/>
                <w:sz w:val="14"/>
                <w:szCs w:val="14"/>
                <w:lang w:eastAsia="en-GB"/>
              </w:rPr>
              <w:t>S</w:t>
            </w:r>
          </w:p>
        </w:tc>
      </w:tr>
      <w:tr w:rsidR="00F552B4" w:rsidRPr="002B5C99" w14:paraId="2DD5D2C9"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4AFF775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Lithuania</w:t>
            </w:r>
          </w:p>
        </w:tc>
        <w:tc>
          <w:tcPr>
            <w:tcW w:w="2530" w:type="dxa"/>
            <w:tcBorders>
              <w:top w:val="nil"/>
              <w:left w:val="nil"/>
              <w:bottom w:val="nil"/>
              <w:right w:val="single" w:sz="4" w:space="0" w:color="auto"/>
            </w:tcBorders>
            <w:shd w:val="clear" w:color="auto" w:fill="auto"/>
            <w:noWrap/>
            <w:vAlign w:val="bottom"/>
            <w:hideMark/>
          </w:tcPr>
          <w:p w14:paraId="4591568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LT-COMMUNICABLE_DISEASES</w:t>
            </w:r>
          </w:p>
        </w:tc>
        <w:tc>
          <w:tcPr>
            <w:tcW w:w="570" w:type="dxa"/>
            <w:tcBorders>
              <w:top w:val="nil"/>
              <w:left w:val="nil"/>
              <w:bottom w:val="nil"/>
              <w:right w:val="single" w:sz="4" w:space="0" w:color="auto"/>
            </w:tcBorders>
            <w:shd w:val="clear" w:color="auto" w:fill="auto"/>
            <w:noWrap/>
            <w:vAlign w:val="bottom"/>
            <w:hideMark/>
          </w:tcPr>
          <w:p w14:paraId="73B1A62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13F0A1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6A7306E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59DD5B2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1BFF078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1D021B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8A9CC8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5195F7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296F558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auto" w:fill="auto"/>
            <w:noWrap/>
            <w:vAlign w:val="bottom"/>
            <w:hideMark/>
          </w:tcPr>
          <w:p w14:paraId="2F320AD1" w14:textId="0B2906DF"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319B3A90"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7F044135"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Luxembourg</w:t>
            </w:r>
          </w:p>
        </w:tc>
        <w:tc>
          <w:tcPr>
            <w:tcW w:w="2530" w:type="dxa"/>
            <w:tcBorders>
              <w:top w:val="nil"/>
              <w:left w:val="nil"/>
              <w:bottom w:val="nil"/>
              <w:right w:val="single" w:sz="4" w:space="0" w:color="auto"/>
            </w:tcBorders>
            <w:shd w:val="clear" w:color="000000" w:fill="D9D9D9"/>
            <w:noWrap/>
            <w:vAlign w:val="bottom"/>
            <w:hideMark/>
          </w:tcPr>
          <w:p w14:paraId="6146867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LU-SYSTEM1</w:t>
            </w:r>
          </w:p>
        </w:tc>
        <w:tc>
          <w:tcPr>
            <w:tcW w:w="570" w:type="dxa"/>
            <w:tcBorders>
              <w:top w:val="nil"/>
              <w:left w:val="nil"/>
              <w:bottom w:val="nil"/>
              <w:right w:val="single" w:sz="4" w:space="0" w:color="auto"/>
            </w:tcBorders>
            <w:shd w:val="clear" w:color="000000" w:fill="D9D9D9"/>
            <w:noWrap/>
            <w:vAlign w:val="bottom"/>
            <w:hideMark/>
          </w:tcPr>
          <w:p w14:paraId="69A05E0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4843857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6162E63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2A25AABD"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0213CC56" w14:textId="72A87325"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C92B125" w14:textId="5F46315D"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32A2B13C"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26761EA5"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1C825D3C" w14:textId="269AC4D6"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000000" w:fill="D9D9D9"/>
            <w:noWrap/>
            <w:vAlign w:val="bottom"/>
            <w:hideMark/>
          </w:tcPr>
          <w:p w14:paraId="503F909A" w14:textId="2F98FBFD"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51DDB645"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2B227F41"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Malta</w:t>
            </w:r>
          </w:p>
        </w:tc>
        <w:tc>
          <w:tcPr>
            <w:tcW w:w="2530" w:type="dxa"/>
            <w:tcBorders>
              <w:top w:val="nil"/>
              <w:left w:val="nil"/>
              <w:bottom w:val="nil"/>
              <w:right w:val="single" w:sz="4" w:space="0" w:color="auto"/>
            </w:tcBorders>
            <w:shd w:val="clear" w:color="auto" w:fill="auto"/>
            <w:noWrap/>
            <w:vAlign w:val="bottom"/>
            <w:hideMark/>
          </w:tcPr>
          <w:p w14:paraId="6578AB6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MT-DISEASE_SURVEILLANCE</w:t>
            </w:r>
          </w:p>
        </w:tc>
        <w:tc>
          <w:tcPr>
            <w:tcW w:w="570" w:type="dxa"/>
            <w:tcBorders>
              <w:top w:val="nil"/>
              <w:left w:val="nil"/>
              <w:bottom w:val="nil"/>
              <w:right w:val="single" w:sz="4" w:space="0" w:color="auto"/>
            </w:tcBorders>
            <w:shd w:val="clear" w:color="auto" w:fill="auto"/>
            <w:noWrap/>
            <w:vAlign w:val="bottom"/>
            <w:hideMark/>
          </w:tcPr>
          <w:p w14:paraId="6153FFCE"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E8971ED"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29E4871D"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F201A4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D9E1A1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55B086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05ECF9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04E516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892" w:type="dxa"/>
            <w:tcBorders>
              <w:top w:val="nil"/>
              <w:left w:val="nil"/>
              <w:bottom w:val="nil"/>
              <w:right w:val="single" w:sz="4" w:space="0" w:color="auto"/>
            </w:tcBorders>
            <w:shd w:val="clear" w:color="auto" w:fill="auto"/>
            <w:noWrap/>
            <w:vAlign w:val="bottom"/>
            <w:hideMark/>
          </w:tcPr>
          <w:p w14:paraId="3794F6A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auto" w:fill="auto"/>
            <w:noWrap/>
            <w:vAlign w:val="bottom"/>
            <w:hideMark/>
          </w:tcPr>
          <w:p w14:paraId="68C7BE55" w14:textId="1BAD994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4887FC46"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41A6446A"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Netherlands</w:t>
            </w:r>
          </w:p>
        </w:tc>
        <w:tc>
          <w:tcPr>
            <w:tcW w:w="2530" w:type="dxa"/>
            <w:tcBorders>
              <w:top w:val="nil"/>
              <w:left w:val="nil"/>
              <w:bottom w:val="nil"/>
              <w:right w:val="single" w:sz="4" w:space="0" w:color="auto"/>
            </w:tcBorders>
            <w:shd w:val="clear" w:color="000000" w:fill="D9D9D9"/>
            <w:noWrap/>
            <w:vAlign w:val="bottom"/>
            <w:hideMark/>
          </w:tcPr>
          <w:p w14:paraId="229B7E1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NL-LSI</w:t>
            </w:r>
          </w:p>
        </w:tc>
        <w:tc>
          <w:tcPr>
            <w:tcW w:w="570" w:type="dxa"/>
            <w:tcBorders>
              <w:top w:val="nil"/>
              <w:left w:val="nil"/>
              <w:bottom w:val="nil"/>
              <w:right w:val="single" w:sz="4" w:space="0" w:color="auto"/>
            </w:tcBorders>
            <w:shd w:val="clear" w:color="000000" w:fill="D9D9D9"/>
            <w:noWrap/>
            <w:vAlign w:val="bottom"/>
            <w:hideMark/>
          </w:tcPr>
          <w:p w14:paraId="423FE056"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V</w:t>
            </w:r>
          </w:p>
        </w:tc>
        <w:tc>
          <w:tcPr>
            <w:tcW w:w="570" w:type="dxa"/>
            <w:tcBorders>
              <w:top w:val="nil"/>
              <w:left w:val="nil"/>
              <w:bottom w:val="nil"/>
              <w:right w:val="single" w:sz="4" w:space="0" w:color="auto"/>
            </w:tcBorders>
            <w:shd w:val="clear" w:color="000000" w:fill="D9D9D9"/>
            <w:noWrap/>
            <w:vAlign w:val="bottom"/>
            <w:hideMark/>
          </w:tcPr>
          <w:p w14:paraId="278E29B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Se</w:t>
            </w:r>
          </w:p>
        </w:tc>
        <w:tc>
          <w:tcPr>
            <w:tcW w:w="570" w:type="dxa"/>
            <w:tcBorders>
              <w:top w:val="nil"/>
              <w:left w:val="nil"/>
              <w:bottom w:val="nil"/>
              <w:right w:val="single" w:sz="4" w:space="0" w:color="auto"/>
            </w:tcBorders>
            <w:shd w:val="clear" w:color="000000" w:fill="D9D9D9"/>
            <w:noWrap/>
            <w:vAlign w:val="bottom"/>
            <w:hideMark/>
          </w:tcPr>
          <w:p w14:paraId="13E44A7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3808CAE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445C274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E5BAD3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3E1078A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18F0C96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686B3321" w14:textId="606F0489"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w:t>
            </w:r>
            <w:r>
              <w:rPr>
                <w:rFonts w:eastAsia="Times New Roman" w:cs="Tahoma"/>
                <w:sz w:val="14"/>
                <w:szCs w:val="14"/>
                <w:lang w:eastAsia="en-GB"/>
              </w:rPr>
              <w:t>1</w:t>
            </w:r>
            <w:r w:rsidRPr="002B5C99">
              <w:rPr>
                <w:rFonts w:eastAsia="Times New Roman" w:cs="Tahoma"/>
                <w:sz w:val="14"/>
                <w:szCs w:val="14"/>
                <w:lang w:eastAsia="en-GB"/>
              </w:rPr>
              <w:t>8</w:t>
            </w:r>
          </w:p>
        </w:tc>
        <w:tc>
          <w:tcPr>
            <w:tcW w:w="935" w:type="dxa"/>
            <w:tcBorders>
              <w:top w:val="nil"/>
              <w:left w:val="single" w:sz="4" w:space="0" w:color="auto"/>
              <w:bottom w:val="nil"/>
              <w:right w:val="single" w:sz="4" w:space="0" w:color="000000"/>
            </w:tcBorders>
            <w:shd w:val="clear" w:color="000000" w:fill="D9D9D9"/>
            <w:noWrap/>
            <w:vAlign w:val="bottom"/>
            <w:hideMark/>
          </w:tcPr>
          <w:p w14:paraId="73957A76" w14:textId="0844D130"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S</w:t>
            </w:r>
          </w:p>
        </w:tc>
      </w:tr>
      <w:tr w:rsidR="00F552B4" w:rsidRPr="002B5C99" w14:paraId="13B31B4A"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23E5E991"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Netherlands</w:t>
            </w:r>
          </w:p>
        </w:tc>
        <w:tc>
          <w:tcPr>
            <w:tcW w:w="2530" w:type="dxa"/>
            <w:tcBorders>
              <w:top w:val="nil"/>
              <w:left w:val="nil"/>
              <w:bottom w:val="nil"/>
              <w:right w:val="single" w:sz="4" w:space="0" w:color="auto"/>
            </w:tcBorders>
            <w:shd w:val="clear" w:color="auto" w:fill="auto"/>
            <w:noWrap/>
            <w:vAlign w:val="bottom"/>
            <w:hideMark/>
          </w:tcPr>
          <w:p w14:paraId="463E14E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NL-OSIRIS</w:t>
            </w:r>
          </w:p>
        </w:tc>
        <w:tc>
          <w:tcPr>
            <w:tcW w:w="570" w:type="dxa"/>
            <w:tcBorders>
              <w:top w:val="nil"/>
              <w:left w:val="nil"/>
              <w:bottom w:val="nil"/>
              <w:right w:val="single" w:sz="4" w:space="0" w:color="auto"/>
            </w:tcBorders>
            <w:shd w:val="clear" w:color="auto" w:fill="auto"/>
            <w:noWrap/>
            <w:vAlign w:val="bottom"/>
            <w:hideMark/>
          </w:tcPr>
          <w:p w14:paraId="56B3ADDD"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4621E4F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D5A480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2B89FC0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79656F5"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D92DA9C"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5D951D6"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0D255D4E"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892" w:type="dxa"/>
            <w:tcBorders>
              <w:top w:val="nil"/>
              <w:left w:val="nil"/>
              <w:bottom w:val="nil"/>
              <w:right w:val="single" w:sz="4" w:space="0" w:color="auto"/>
            </w:tcBorders>
            <w:shd w:val="clear" w:color="auto" w:fill="auto"/>
            <w:noWrap/>
            <w:vAlign w:val="bottom"/>
            <w:hideMark/>
          </w:tcPr>
          <w:p w14:paraId="6D7935A7" w14:textId="14CE2794"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w:t>
            </w:r>
            <w:r>
              <w:rPr>
                <w:rFonts w:eastAsia="Times New Roman" w:cs="Tahoma"/>
                <w:sz w:val="14"/>
                <w:szCs w:val="14"/>
                <w:lang w:eastAsia="en-GB"/>
              </w:rPr>
              <w:t>1</w:t>
            </w:r>
            <w:r w:rsidRPr="002B5C99">
              <w:rPr>
                <w:rFonts w:eastAsia="Times New Roman" w:cs="Tahoma"/>
                <w:sz w:val="14"/>
                <w:szCs w:val="14"/>
                <w:lang w:eastAsia="en-GB"/>
              </w:rPr>
              <w:t>8</w:t>
            </w:r>
          </w:p>
        </w:tc>
        <w:tc>
          <w:tcPr>
            <w:tcW w:w="935" w:type="dxa"/>
            <w:tcBorders>
              <w:top w:val="nil"/>
              <w:left w:val="single" w:sz="4" w:space="0" w:color="auto"/>
              <w:bottom w:val="nil"/>
              <w:right w:val="single" w:sz="4" w:space="0" w:color="000000"/>
            </w:tcBorders>
            <w:shd w:val="clear" w:color="auto" w:fill="auto"/>
            <w:noWrap/>
            <w:vAlign w:val="bottom"/>
            <w:hideMark/>
          </w:tcPr>
          <w:p w14:paraId="5E0C29F9" w14:textId="3FF95674"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T</w:t>
            </w:r>
          </w:p>
        </w:tc>
      </w:tr>
      <w:tr w:rsidR="00F552B4" w:rsidRPr="002B5C99" w14:paraId="6AF97915"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592A9396"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Norway</w:t>
            </w:r>
          </w:p>
        </w:tc>
        <w:tc>
          <w:tcPr>
            <w:tcW w:w="2530" w:type="dxa"/>
            <w:tcBorders>
              <w:top w:val="nil"/>
              <w:left w:val="nil"/>
              <w:bottom w:val="nil"/>
              <w:right w:val="single" w:sz="4" w:space="0" w:color="auto"/>
            </w:tcBorders>
            <w:shd w:val="clear" w:color="000000" w:fill="D9D9D9"/>
            <w:noWrap/>
            <w:vAlign w:val="bottom"/>
            <w:hideMark/>
          </w:tcPr>
          <w:p w14:paraId="516CDA0D"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NO-MSIS_A</w:t>
            </w:r>
          </w:p>
        </w:tc>
        <w:tc>
          <w:tcPr>
            <w:tcW w:w="570" w:type="dxa"/>
            <w:tcBorders>
              <w:top w:val="nil"/>
              <w:left w:val="nil"/>
              <w:bottom w:val="nil"/>
              <w:right w:val="single" w:sz="4" w:space="0" w:color="auto"/>
            </w:tcBorders>
            <w:shd w:val="clear" w:color="000000" w:fill="D9D9D9"/>
            <w:noWrap/>
            <w:vAlign w:val="bottom"/>
            <w:hideMark/>
          </w:tcPr>
          <w:p w14:paraId="57F6088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14B1FAC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0AEEBF66"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04315F6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7524F655"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260B22E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445B8EE"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1D435DC"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552329FD"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000000" w:fill="D9D9D9"/>
            <w:noWrap/>
            <w:vAlign w:val="bottom"/>
            <w:hideMark/>
          </w:tcPr>
          <w:p w14:paraId="410EAC6C" w14:textId="0FEE9F68"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1D469CA3"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7FA7104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Poland</w:t>
            </w:r>
          </w:p>
        </w:tc>
        <w:tc>
          <w:tcPr>
            <w:tcW w:w="2530" w:type="dxa"/>
            <w:tcBorders>
              <w:top w:val="nil"/>
              <w:left w:val="nil"/>
              <w:bottom w:val="nil"/>
              <w:right w:val="single" w:sz="4" w:space="0" w:color="auto"/>
            </w:tcBorders>
            <w:shd w:val="clear" w:color="auto" w:fill="auto"/>
            <w:noWrap/>
            <w:vAlign w:val="bottom"/>
            <w:hideMark/>
          </w:tcPr>
          <w:p w14:paraId="4727E16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PL-NATIONAL_SURVEILLANCE</w:t>
            </w:r>
          </w:p>
        </w:tc>
        <w:tc>
          <w:tcPr>
            <w:tcW w:w="570" w:type="dxa"/>
            <w:tcBorders>
              <w:top w:val="nil"/>
              <w:left w:val="nil"/>
              <w:bottom w:val="nil"/>
              <w:right w:val="single" w:sz="4" w:space="0" w:color="auto"/>
            </w:tcBorders>
            <w:shd w:val="clear" w:color="auto" w:fill="auto"/>
            <w:noWrap/>
            <w:vAlign w:val="bottom"/>
            <w:hideMark/>
          </w:tcPr>
          <w:p w14:paraId="60004C58"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67DB0D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1EF554DD"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4C55D5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29A3E7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25AA0E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9DCE4E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A45C02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50E9F415"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auto" w:fill="auto"/>
            <w:noWrap/>
            <w:vAlign w:val="bottom"/>
            <w:hideMark/>
          </w:tcPr>
          <w:p w14:paraId="3A45A7E4" w14:textId="798048A6"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08070B30"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38F3E5A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Portugal</w:t>
            </w:r>
          </w:p>
        </w:tc>
        <w:tc>
          <w:tcPr>
            <w:tcW w:w="2530" w:type="dxa"/>
            <w:tcBorders>
              <w:top w:val="nil"/>
              <w:left w:val="nil"/>
              <w:bottom w:val="nil"/>
              <w:right w:val="single" w:sz="4" w:space="0" w:color="auto"/>
            </w:tcBorders>
            <w:shd w:val="clear" w:color="000000" w:fill="D9D9D9"/>
            <w:noWrap/>
            <w:vAlign w:val="bottom"/>
            <w:hideMark/>
          </w:tcPr>
          <w:p w14:paraId="7FBDA8E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PT-SALMONELLOSIS</w:t>
            </w:r>
          </w:p>
        </w:tc>
        <w:tc>
          <w:tcPr>
            <w:tcW w:w="570" w:type="dxa"/>
            <w:tcBorders>
              <w:top w:val="nil"/>
              <w:left w:val="nil"/>
              <w:bottom w:val="nil"/>
              <w:right w:val="single" w:sz="4" w:space="0" w:color="auto"/>
            </w:tcBorders>
            <w:shd w:val="clear" w:color="000000" w:fill="D9D9D9"/>
            <w:noWrap/>
            <w:vAlign w:val="bottom"/>
            <w:hideMark/>
          </w:tcPr>
          <w:p w14:paraId="2A05AE7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3701D6B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5C9787D1"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3C424C7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567D695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2440350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E40483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131FD9BA"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47F06353" w14:textId="620EBCDF"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000000" w:fill="D9D9D9"/>
            <w:noWrap/>
            <w:vAlign w:val="bottom"/>
            <w:hideMark/>
          </w:tcPr>
          <w:p w14:paraId="6C1F4E2D" w14:textId="69A45950"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09A46AB9"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1144E73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Romania</w:t>
            </w:r>
          </w:p>
        </w:tc>
        <w:tc>
          <w:tcPr>
            <w:tcW w:w="2530" w:type="dxa"/>
            <w:tcBorders>
              <w:top w:val="nil"/>
              <w:left w:val="nil"/>
              <w:bottom w:val="nil"/>
              <w:right w:val="single" w:sz="4" w:space="0" w:color="auto"/>
            </w:tcBorders>
            <w:shd w:val="clear" w:color="auto" w:fill="auto"/>
            <w:noWrap/>
            <w:vAlign w:val="bottom"/>
            <w:hideMark/>
          </w:tcPr>
          <w:p w14:paraId="1B66D3FE"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RO-</w:t>
            </w:r>
            <w:proofErr w:type="spellStart"/>
            <w:r w:rsidRPr="002B5C99">
              <w:rPr>
                <w:rFonts w:eastAsia="Times New Roman" w:cs="Tahoma"/>
                <w:sz w:val="14"/>
                <w:szCs w:val="14"/>
                <w:lang w:eastAsia="en-GB"/>
              </w:rPr>
              <w:t>RNSSy</w:t>
            </w:r>
            <w:proofErr w:type="spellEnd"/>
          </w:p>
        </w:tc>
        <w:tc>
          <w:tcPr>
            <w:tcW w:w="570" w:type="dxa"/>
            <w:tcBorders>
              <w:top w:val="nil"/>
              <w:left w:val="nil"/>
              <w:bottom w:val="nil"/>
              <w:right w:val="single" w:sz="4" w:space="0" w:color="auto"/>
            </w:tcBorders>
            <w:shd w:val="clear" w:color="auto" w:fill="auto"/>
            <w:noWrap/>
            <w:vAlign w:val="bottom"/>
            <w:hideMark/>
          </w:tcPr>
          <w:p w14:paraId="52DF74CA"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190481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72A8AF8"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6224C86"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CDE710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CA38DF5"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0989DD7A"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902534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3940DED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auto" w:fill="auto"/>
            <w:noWrap/>
            <w:vAlign w:val="bottom"/>
            <w:hideMark/>
          </w:tcPr>
          <w:p w14:paraId="08B101F3" w14:textId="56DF733A"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3DC3E39F"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039EEB7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Slovakia</w:t>
            </w:r>
          </w:p>
        </w:tc>
        <w:tc>
          <w:tcPr>
            <w:tcW w:w="2530" w:type="dxa"/>
            <w:tcBorders>
              <w:top w:val="nil"/>
              <w:left w:val="nil"/>
              <w:bottom w:val="nil"/>
              <w:right w:val="single" w:sz="4" w:space="0" w:color="auto"/>
            </w:tcBorders>
            <w:shd w:val="clear" w:color="000000" w:fill="D9D9D9"/>
            <w:noWrap/>
            <w:vAlign w:val="bottom"/>
            <w:hideMark/>
          </w:tcPr>
          <w:p w14:paraId="02BBE6D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SK-EPIS</w:t>
            </w:r>
          </w:p>
        </w:tc>
        <w:tc>
          <w:tcPr>
            <w:tcW w:w="570" w:type="dxa"/>
            <w:tcBorders>
              <w:top w:val="nil"/>
              <w:left w:val="nil"/>
              <w:bottom w:val="nil"/>
              <w:right w:val="single" w:sz="4" w:space="0" w:color="auto"/>
            </w:tcBorders>
            <w:shd w:val="clear" w:color="000000" w:fill="D9D9D9"/>
            <w:noWrap/>
            <w:vAlign w:val="bottom"/>
            <w:hideMark/>
          </w:tcPr>
          <w:p w14:paraId="7D925DF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732C244C"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7F797EB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A</w:t>
            </w:r>
          </w:p>
        </w:tc>
        <w:tc>
          <w:tcPr>
            <w:tcW w:w="570" w:type="dxa"/>
            <w:tcBorders>
              <w:top w:val="nil"/>
              <w:left w:val="nil"/>
              <w:bottom w:val="nil"/>
              <w:right w:val="single" w:sz="4" w:space="0" w:color="auto"/>
            </w:tcBorders>
            <w:shd w:val="clear" w:color="000000" w:fill="D9D9D9"/>
            <w:noWrap/>
            <w:vAlign w:val="bottom"/>
            <w:hideMark/>
          </w:tcPr>
          <w:p w14:paraId="72FEAC6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2F291D13"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74D2F2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716CF6C"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1203D6C"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892" w:type="dxa"/>
            <w:tcBorders>
              <w:top w:val="nil"/>
              <w:left w:val="nil"/>
              <w:bottom w:val="nil"/>
              <w:right w:val="single" w:sz="4" w:space="0" w:color="auto"/>
            </w:tcBorders>
            <w:shd w:val="clear" w:color="000000" w:fill="D9D9D9"/>
            <w:noWrap/>
            <w:vAlign w:val="bottom"/>
            <w:hideMark/>
          </w:tcPr>
          <w:p w14:paraId="5CE1343F" w14:textId="5BB6EC0B"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w:t>
            </w:r>
            <w:r>
              <w:rPr>
                <w:rFonts w:eastAsia="Times New Roman" w:cs="Tahoma"/>
                <w:sz w:val="14"/>
                <w:szCs w:val="14"/>
                <w:lang w:eastAsia="en-GB"/>
              </w:rPr>
              <w:t>8</w:t>
            </w:r>
          </w:p>
        </w:tc>
        <w:tc>
          <w:tcPr>
            <w:tcW w:w="935" w:type="dxa"/>
            <w:tcBorders>
              <w:top w:val="nil"/>
              <w:left w:val="single" w:sz="4" w:space="0" w:color="auto"/>
              <w:bottom w:val="nil"/>
              <w:right w:val="single" w:sz="4" w:space="0" w:color="000000"/>
            </w:tcBorders>
            <w:shd w:val="clear" w:color="000000" w:fill="D9D9D9"/>
            <w:noWrap/>
            <w:vAlign w:val="bottom"/>
            <w:hideMark/>
          </w:tcPr>
          <w:p w14:paraId="469E30D3" w14:textId="22C25C2F"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77ACD1FC" w14:textId="77777777" w:rsidTr="00F552B4">
        <w:trPr>
          <w:trHeight w:val="235"/>
        </w:trPr>
        <w:tc>
          <w:tcPr>
            <w:tcW w:w="1191" w:type="dxa"/>
            <w:tcBorders>
              <w:top w:val="nil"/>
              <w:left w:val="single" w:sz="4" w:space="0" w:color="000000"/>
              <w:bottom w:val="nil"/>
              <w:right w:val="single" w:sz="4" w:space="0" w:color="auto"/>
            </w:tcBorders>
            <w:shd w:val="clear" w:color="auto" w:fill="auto"/>
            <w:noWrap/>
            <w:vAlign w:val="bottom"/>
            <w:hideMark/>
          </w:tcPr>
          <w:p w14:paraId="1F0023D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Slovenia</w:t>
            </w:r>
          </w:p>
        </w:tc>
        <w:tc>
          <w:tcPr>
            <w:tcW w:w="2530" w:type="dxa"/>
            <w:tcBorders>
              <w:top w:val="nil"/>
              <w:left w:val="nil"/>
              <w:bottom w:val="nil"/>
              <w:right w:val="single" w:sz="4" w:space="0" w:color="auto"/>
            </w:tcBorders>
            <w:shd w:val="clear" w:color="auto" w:fill="auto"/>
            <w:noWrap/>
            <w:vAlign w:val="bottom"/>
            <w:hideMark/>
          </w:tcPr>
          <w:p w14:paraId="636C3AE9"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SI-SURVIVAL</w:t>
            </w:r>
          </w:p>
        </w:tc>
        <w:tc>
          <w:tcPr>
            <w:tcW w:w="570" w:type="dxa"/>
            <w:tcBorders>
              <w:top w:val="nil"/>
              <w:left w:val="nil"/>
              <w:bottom w:val="nil"/>
              <w:right w:val="single" w:sz="4" w:space="0" w:color="auto"/>
            </w:tcBorders>
            <w:shd w:val="clear" w:color="auto" w:fill="auto"/>
            <w:noWrap/>
            <w:vAlign w:val="bottom"/>
            <w:hideMark/>
          </w:tcPr>
          <w:p w14:paraId="4A1CD8E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4FB9209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C23BCBD"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520C528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DC639BE"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8A1F2CE"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7ECBF4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073A731"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auto" w:fill="auto"/>
            <w:noWrap/>
            <w:vAlign w:val="bottom"/>
            <w:hideMark/>
          </w:tcPr>
          <w:p w14:paraId="7FE1E1E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EU-2008</w:t>
            </w:r>
          </w:p>
        </w:tc>
        <w:tc>
          <w:tcPr>
            <w:tcW w:w="935" w:type="dxa"/>
            <w:tcBorders>
              <w:top w:val="nil"/>
              <w:left w:val="single" w:sz="4" w:space="0" w:color="auto"/>
              <w:bottom w:val="nil"/>
              <w:right w:val="single" w:sz="4" w:space="0" w:color="000000"/>
            </w:tcBorders>
            <w:shd w:val="clear" w:color="auto" w:fill="auto"/>
            <w:noWrap/>
            <w:vAlign w:val="bottom"/>
            <w:hideMark/>
          </w:tcPr>
          <w:p w14:paraId="17A38833" w14:textId="4EE533EA"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r w:rsidR="00F552B4" w:rsidRPr="002B5C99" w14:paraId="667569F9" w14:textId="77777777" w:rsidTr="00F552B4">
        <w:trPr>
          <w:trHeight w:val="235"/>
        </w:trPr>
        <w:tc>
          <w:tcPr>
            <w:tcW w:w="1191" w:type="dxa"/>
            <w:tcBorders>
              <w:top w:val="nil"/>
              <w:left w:val="single" w:sz="4" w:space="0" w:color="000000"/>
              <w:bottom w:val="nil"/>
              <w:right w:val="single" w:sz="4" w:space="0" w:color="auto"/>
            </w:tcBorders>
            <w:shd w:val="clear" w:color="000000" w:fill="D9D9D9"/>
            <w:noWrap/>
            <w:vAlign w:val="bottom"/>
            <w:hideMark/>
          </w:tcPr>
          <w:p w14:paraId="3C0098FF"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Spain</w:t>
            </w:r>
          </w:p>
        </w:tc>
        <w:tc>
          <w:tcPr>
            <w:tcW w:w="2530" w:type="dxa"/>
            <w:tcBorders>
              <w:top w:val="nil"/>
              <w:left w:val="nil"/>
              <w:bottom w:val="nil"/>
              <w:right w:val="single" w:sz="4" w:space="0" w:color="auto"/>
            </w:tcBorders>
            <w:shd w:val="clear" w:color="000000" w:fill="D9D9D9"/>
            <w:noWrap/>
            <w:vAlign w:val="bottom"/>
            <w:hideMark/>
          </w:tcPr>
          <w:p w14:paraId="7DFA5091"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ES-STATUTORY_DISEASES</w:t>
            </w:r>
          </w:p>
        </w:tc>
        <w:tc>
          <w:tcPr>
            <w:tcW w:w="570" w:type="dxa"/>
            <w:tcBorders>
              <w:top w:val="nil"/>
              <w:left w:val="nil"/>
              <w:bottom w:val="nil"/>
              <w:right w:val="single" w:sz="4" w:space="0" w:color="auto"/>
            </w:tcBorders>
            <w:shd w:val="clear" w:color="000000" w:fill="D9D9D9"/>
            <w:noWrap/>
            <w:vAlign w:val="bottom"/>
            <w:hideMark/>
          </w:tcPr>
          <w:p w14:paraId="06F1B407"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01943302"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2D758BA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117A3FF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19F38BC1"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2F4537BB"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D77BD2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59FD2C0"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nil"/>
              <w:right w:val="single" w:sz="4" w:space="0" w:color="auto"/>
            </w:tcBorders>
            <w:shd w:val="clear" w:color="000000" w:fill="D9D9D9"/>
            <w:noWrap/>
            <w:vAlign w:val="bottom"/>
            <w:hideMark/>
          </w:tcPr>
          <w:p w14:paraId="1F64E894" w14:textId="7777777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nil"/>
              <w:right w:val="single" w:sz="4" w:space="0" w:color="000000"/>
            </w:tcBorders>
            <w:shd w:val="clear" w:color="000000" w:fill="D9D9D9"/>
            <w:noWrap/>
            <w:vAlign w:val="bottom"/>
            <w:hideMark/>
          </w:tcPr>
          <w:p w14:paraId="7D3B493B" w14:textId="31B13E95"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w:t>
            </w:r>
          </w:p>
        </w:tc>
      </w:tr>
      <w:tr w:rsidR="00BF0E56" w:rsidRPr="001A719E" w14:paraId="5238BAD5" w14:textId="77777777" w:rsidTr="00BF0E56">
        <w:trPr>
          <w:trHeight w:val="235"/>
        </w:trPr>
        <w:tc>
          <w:tcPr>
            <w:tcW w:w="1191" w:type="dxa"/>
            <w:tcBorders>
              <w:top w:val="nil"/>
              <w:left w:val="single" w:sz="4" w:space="0" w:color="000000"/>
              <w:bottom w:val="nil"/>
              <w:right w:val="single" w:sz="4" w:space="0" w:color="auto"/>
            </w:tcBorders>
            <w:shd w:val="clear" w:color="000000" w:fill="D9D9D9"/>
            <w:noWrap/>
          </w:tcPr>
          <w:p w14:paraId="41BB294E" w14:textId="142468F1" w:rsidR="00BF0E56" w:rsidRPr="001A719E" w:rsidRDefault="00BF0E56" w:rsidP="00BF0E56">
            <w:pPr>
              <w:spacing w:before="120" w:after="0"/>
              <w:rPr>
                <w:rFonts w:eastAsia="Times New Roman" w:cs="Tahoma"/>
                <w:sz w:val="14"/>
                <w:szCs w:val="14"/>
                <w:lang w:eastAsia="en-GB"/>
              </w:rPr>
            </w:pPr>
            <w:r w:rsidRPr="001A719E">
              <w:rPr>
                <w:rFonts w:cs="Tahoma"/>
                <w:b/>
                <w:bCs/>
                <w:color w:val="000000"/>
                <w:sz w:val="14"/>
                <w:szCs w:val="14"/>
              </w:rPr>
              <w:t>Spain</w:t>
            </w:r>
          </w:p>
        </w:tc>
        <w:tc>
          <w:tcPr>
            <w:tcW w:w="2530" w:type="dxa"/>
            <w:tcBorders>
              <w:top w:val="nil"/>
              <w:left w:val="nil"/>
              <w:bottom w:val="nil"/>
              <w:right w:val="single" w:sz="4" w:space="0" w:color="auto"/>
            </w:tcBorders>
            <w:shd w:val="clear" w:color="000000" w:fill="D9D9D9"/>
            <w:noWrap/>
          </w:tcPr>
          <w:p w14:paraId="442C6F8D" w14:textId="53DA931B"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ES-NRL</w:t>
            </w:r>
          </w:p>
        </w:tc>
        <w:tc>
          <w:tcPr>
            <w:tcW w:w="570" w:type="dxa"/>
            <w:tcBorders>
              <w:top w:val="nil"/>
              <w:left w:val="nil"/>
              <w:bottom w:val="nil"/>
              <w:right w:val="single" w:sz="4" w:space="0" w:color="auto"/>
            </w:tcBorders>
            <w:shd w:val="clear" w:color="000000" w:fill="D9D9D9"/>
            <w:noWrap/>
          </w:tcPr>
          <w:p w14:paraId="77C0425F" w14:textId="034A5D70"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VOLO</w:t>
            </w:r>
          </w:p>
        </w:tc>
        <w:tc>
          <w:tcPr>
            <w:tcW w:w="570" w:type="dxa"/>
            <w:tcBorders>
              <w:top w:val="nil"/>
              <w:left w:val="nil"/>
              <w:bottom w:val="nil"/>
              <w:right w:val="single" w:sz="4" w:space="0" w:color="auto"/>
            </w:tcBorders>
            <w:shd w:val="clear" w:color="000000" w:fill="D9D9D9"/>
            <w:noWrap/>
          </w:tcPr>
          <w:p w14:paraId="25BF21A9" w14:textId="56EF3102"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Se</w:t>
            </w:r>
          </w:p>
        </w:tc>
        <w:tc>
          <w:tcPr>
            <w:tcW w:w="570" w:type="dxa"/>
            <w:tcBorders>
              <w:top w:val="nil"/>
              <w:left w:val="nil"/>
              <w:bottom w:val="nil"/>
              <w:right w:val="single" w:sz="4" w:space="0" w:color="auto"/>
            </w:tcBorders>
            <w:shd w:val="clear" w:color="000000" w:fill="D9D9D9"/>
            <w:noWrap/>
          </w:tcPr>
          <w:p w14:paraId="307B20A5" w14:textId="3137F0B9"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P</w:t>
            </w:r>
          </w:p>
        </w:tc>
        <w:tc>
          <w:tcPr>
            <w:tcW w:w="570" w:type="dxa"/>
            <w:tcBorders>
              <w:top w:val="nil"/>
              <w:left w:val="nil"/>
              <w:bottom w:val="nil"/>
              <w:right w:val="single" w:sz="4" w:space="0" w:color="auto"/>
            </w:tcBorders>
            <w:shd w:val="clear" w:color="000000" w:fill="D9D9D9"/>
            <w:noWrap/>
          </w:tcPr>
          <w:p w14:paraId="7EA02205" w14:textId="4A1AAF44"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C</w:t>
            </w:r>
          </w:p>
        </w:tc>
        <w:tc>
          <w:tcPr>
            <w:tcW w:w="570" w:type="dxa"/>
            <w:tcBorders>
              <w:top w:val="nil"/>
              <w:left w:val="nil"/>
              <w:bottom w:val="nil"/>
              <w:right w:val="single" w:sz="4" w:space="0" w:color="auto"/>
            </w:tcBorders>
            <w:shd w:val="clear" w:color="000000" w:fill="D9D9D9"/>
            <w:noWrap/>
          </w:tcPr>
          <w:p w14:paraId="60460FFA" w14:textId="7CC2972B"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Y</w:t>
            </w:r>
          </w:p>
        </w:tc>
        <w:tc>
          <w:tcPr>
            <w:tcW w:w="570" w:type="dxa"/>
            <w:tcBorders>
              <w:top w:val="nil"/>
              <w:left w:val="nil"/>
              <w:bottom w:val="nil"/>
              <w:right w:val="single" w:sz="4" w:space="0" w:color="auto"/>
            </w:tcBorders>
            <w:shd w:val="clear" w:color="000000" w:fill="D9D9D9"/>
            <w:noWrap/>
          </w:tcPr>
          <w:p w14:paraId="7ADFD4E4" w14:textId="502E5A29"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N</w:t>
            </w:r>
          </w:p>
        </w:tc>
        <w:tc>
          <w:tcPr>
            <w:tcW w:w="570" w:type="dxa"/>
            <w:tcBorders>
              <w:top w:val="nil"/>
              <w:left w:val="nil"/>
              <w:bottom w:val="nil"/>
              <w:right w:val="single" w:sz="4" w:space="0" w:color="auto"/>
            </w:tcBorders>
            <w:shd w:val="clear" w:color="000000" w:fill="D9D9D9"/>
            <w:noWrap/>
          </w:tcPr>
          <w:p w14:paraId="77F71E51" w14:textId="1D45B562"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N</w:t>
            </w:r>
          </w:p>
        </w:tc>
        <w:tc>
          <w:tcPr>
            <w:tcW w:w="570" w:type="dxa"/>
            <w:tcBorders>
              <w:top w:val="nil"/>
              <w:left w:val="nil"/>
              <w:bottom w:val="nil"/>
              <w:right w:val="single" w:sz="4" w:space="0" w:color="auto"/>
            </w:tcBorders>
            <w:shd w:val="clear" w:color="000000" w:fill="D9D9D9"/>
            <w:noWrap/>
          </w:tcPr>
          <w:p w14:paraId="5E53146B" w14:textId="164C25F4"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N</w:t>
            </w:r>
          </w:p>
        </w:tc>
        <w:tc>
          <w:tcPr>
            <w:tcW w:w="892" w:type="dxa"/>
            <w:tcBorders>
              <w:top w:val="nil"/>
              <w:left w:val="nil"/>
              <w:bottom w:val="nil"/>
              <w:right w:val="single" w:sz="4" w:space="0" w:color="auto"/>
            </w:tcBorders>
            <w:shd w:val="clear" w:color="000000" w:fill="D9D9D9"/>
            <w:noWrap/>
          </w:tcPr>
          <w:p w14:paraId="3443249D" w14:textId="3ECFEC82" w:rsidR="00BF0E56" w:rsidRPr="001A719E" w:rsidRDefault="00BF0E56" w:rsidP="00BF0E56">
            <w:pPr>
              <w:spacing w:before="120" w:after="0"/>
              <w:rPr>
                <w:rFonts w:eastAsia="Times New Roman" w:cs="Tahoma"/>
                <w:sz w:val="14"/>
                <w:szCs w:val="14"/>
                <w:lang w:eastAsia="en-GB"/>
              </w:rPr>
            </w:pPr>
            <w:r w:rsidRPr="001A719E">
              <w:rPr>
                <w:rFonts w:cs="Tahoma"/>
                <w:color w:val="000000"/>
                <w:sz w:val="14"/>
                <w:szCs w:val="14"/>
              </w:rPr>
              <w:t>EU</w:t>
            </w:r>
            <w:r w:rsidR="001A719E">
              <w:rPr>
                <w:rFonts w:cs="Tahoma"/>
                <w:color w:val="000000"/>
                <w:sz w:val="14"/>
                <w:szCs w:val="14"/>
              </w:rPr>
              <w:t>-20</w:t>
            </w:r>
            <w:r w:rsidRPr="001A719E">
              <w:rPr>
                <w:rFonts w:cs="Tahoma"/>
                <w:color w:val="000000"/>
                <w:sz w:val="14"/>
                <w:szCs w:val="14"/>
              </w:rPr>
              <w:t>08</w:t>
            </w:r>
          </w:p>
        </w:tc>
        <w:tc>
          <w:tcPr>
            <w:tcW w:w="935" w:type="dxa"/>
            <w:tcBorders>
              <w:top w:val="nil"/>
              <w:left w:val="single" w:sz="4" w:space="0" w:color="auto"/>
              <w:bottom w:val="nil"/>
              <w:right w:val="single" w:sz="4" w:space="0" w:color="000000"/>
            </w:tcBorders>
            <w:shd w:val="clear" w:color="000000" w:fill="D9D9D9"/>
            <w:noWrap/>
            <w:vAlign w:val="bottom"/>
          </w:tcPr>
          <w:p w14:paraId="0EE0696A" w14:textId="1DF43A6C" w:rsidR="00BF0E56" w:rsidRPr="001A719E" w:rsidRDefault="002F3A7C" w:rsidP="00BF0E56">
            <w:pPr>
              <w:spacing w:before="120" w:after="0"/>
              <w:rPr>
                <w:rFonts w:eastAsia="Times New Roman" w:cs="Tahoma"/>
                <w:sz w:val="14"/>
                <w:szCs w:val="14"/>
                <w:lang w:eastAsia="en-GB"/>
              </w:rPr>
            </w:pPr>
            <w:r>
              <w:rPr>
                <w:rFonts w:eastAsia="Times New Roman" w:cs="Tahoma"/>
                <w:sz w:val="14"/>
                <w:szCs w:val="14"/>
                <w:lang w:eastAsia="en-GB"/>
              </w:rPr>
              <w:t>S</w:t>
            </w:r>
          </w:p>
        </w:tc>
      </w:tr>
      <w:tr w:rsidR="00F552B4" w:rsidRPr="002B5C99" w14:paraId="7FDBFF8F" w14:textId="77777777" w:rsidTr="00F552B4">
        <w:trPr>
          <w:trHeight w:val="235"/>
        </w:trPr>
        <w:tc>
          <w:tcPr>
            <w:tcW w:w="1191" w:type="dxa"/>
            <w:tcBorders>
              <w:top w:val="nil"/>
              <w:left w:val="single" w:sz="4" w:space="0" w:color="000000"/>
              <w:bottom w:val="single" w:sz="4" w:space="0" w:color="auto"/>
              <w:right w:val="single" w:sz="4" w:space="0" w:color="auto"/>
            </w:tcBorders>
            <w:shd w:val="clear" w:color="auto" w:fill="auto"/>
            <w:noWrap/>
            <w:vAlign w:val="bottom"/>
          </w:tcPr>
          <w:p w14:paraId="58838875" w14:textId="61618B86"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Sweden</w:t>
            </w:r>
          </w:p>
        </w:tc>
        <w:tc>
          <w:tcPr>
            <w:tcW w:w="2530" w:type="dxa"/>
            <w:tcBorders>
              <w:top w:val="nil"/>
              <w:left w:val="nil"/>
              <w:bottom w:val="single" w:sz="4" w:space="0" w:color="auto"/>
              <w:right w:val="single" w:sz="4" w:space="0" w:color="auto"/>
            </w:tcBorders>
            <w:shd w:val="clear" w:color="auto" w:fill="auto"/>
            <w:noWrap/>
            <w:vAlign w:val="bottom"/>
          </w:tcPr>
          <w:p w14:paraId="4916E8B0" w14:textId="763282DF"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SE-SMINET</w:t>
            </w:r>
          </w:p>
        </w:tc>
        <w:tc>
          <w:tcPr>
            <w:tcW w:w="570" w:type="dxa"/>
            <w:tcBorders>
              <w:top w:val="nil"/>
              <w:left w:val="nil"/>
              <w:bottom w:val="single" w:sz="4" w:space="0" w:color="auto"/>
              <w:right w:val="single" w:sz="4" w:space="0" w:color="auto"/>
            </w:tcBorders>
            <w:shd w:val="clear" w:color="auto" w:fill="auto"/>
            <w:noWrap/>
            <w:vAlign w:val="bottom"/>
          </w:tcPr>
          <w:p w14:paraId="0EE98F44" w14:textId="0AD39422"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Cp</w:t>
            </w:r>
          </w:p>
        </w:tc>
        <w:tc>
          <w:tcPr>
            <w:tcW w:w="570" w:type="dxa"/>
            <w:tcBorders>
              <w:top w:val="nil"/>
              <w:left w:val="nil"/>
              <w:bottom w:val="single" w:sz="4" w:space="0" w:color="auto"/>
              <w:right w:val="single" w:sz="4" w:space="0" w:color="auto"/>
            </w:tcBorders>
            <w:shd w:val="clear" w:color="auto" w:fill="auto"/>
            <w:noWrap/>
            <w:vAlign w:val="bottom"/>
          </w:tcPr>
          <w:p w14:paraId="3129E9B0" w14:textId="71E69E36"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Co</w:t>
            </w:r>
          </w:p>
        </w:tc>
        <w:tc>
          <w:tcPr>
            <w:tcW w:w="570" w:type="dxa"/>
            <w:tcBorders>
              <w:top w:val="nil"/>
              <w:left w:val="nil"/>
              <w:bottom w:val="single" w:sz="4" w:space="0" w:color="auto"/>
              <w:right w:val="single" w:sz="4" w:space="0" w:color="auto"/>
            </w:tcBorders>
            <w:shd w:val="clear" w:color="auto" w:fill="auto"/>
            <w:noWrap/>
            <w:vAlign w:val="bottom"/>
          </w:tcPr>
          <w:p w14:paraId="2FF6D171" w14:textId="375070DC"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P</w:t>
            </w:r>
          </w:p>
        </w:tc>
        <w:tc>
          <w:tcPr>
            <w:tcW w:w="570" w:type="dxa"/>
            <w:tcBorders>
              <w:top w:val="nil"/>
              <w:left w:val="nil"/>
              <w:bottom w:val="single" w:sz="4" w:space="0" w:color="auto"/>
              <w:right w:val="single" w:sz="4" w:space="0" w:color="auto"/>
            </w:tcBorders>
            <w:shd w:val="clear" w:color="auto" w:fill="auto"/>
            <w:noWrap/>
            <w:vAlign w:val="bottom"/>
          </w:tcPr>
          <w:p w14:paraId="2ACDA0FD" w14:textId="2406697C"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C</w:t>
            </w:r>
          </w:p>
        </w:tc>
        <w:tc>
          <w:tcPr>
            <w:tcW w:w="570" w:type="dxa"/>
            <w:tcBorders>
              <w:top w:val="nil"/>
              <w:left w:val="nil"/>
              <w:bottom w:val="single" w:sz="4" w:space="0" w:color="auto"/>
              <w:right w:val="single" w:sz="4" w:space="0" w:color="auto"/>
            </w:tcBorders>
            <w:shd w:val="clear" w:color="auto" w:fill="auto"/>
            <w:noWrap/>
            <w:vAlign w:val="bottom"/>
          </w:tcPr>
          <w:p w14:paraId="2DA5C195" w14:textId="2509916A"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single" w:sz="4" w:space="0" w:color="auto"/>
              <w:right w:val="single" w:sz="4" w:space="0" w:color="auto"/>
            </w:tcBorders>
            <w:shd w:val="clear" w:color="auto" w:fill="auto"/>
            <w:noWrap/>
            <w:vAlign w:val="bottom"/>
          </w:tcPr>
          <w:p w14:paraId="4B004965" w14:textId="7B1C616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Y</w:t>
            </w:r>
          </w:p>
        </w:tc>
        <w:tc>
          <w:tcPr>
            <w:tcW w:w="570" w:type="dxa"/>
            <w:tcBorders>
              <w:top w:val="nil"/>
              <w:left w:val="nil"/>
              <w:bottom w:val="single" w:sz="4" w:space="0" w:color="auto"/>
              <w:right w:val="single" w:sz="4" w:space="0" w:color="auto"/>
            </w:tcBorders>
            <w:shd w:val="clear" w:color="auto" w:fill="auto"/>
            <w:noWrap/>
            <w:vAlign w:val="bottom"/>
          </w:tcPr>
          <w:p w14:paraId="650C807B" w14:textId="0AD19AB7"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570" w:type="dxa"/>
            <w:tcBorders>
              <w:top w:val="nil"/>
              <w:left w:val="nil"/>
              <w:bottom w:val="single" w:sz="4" w:space="0" w:color="auto"/>
              <w:right w:val="single" w:sz="4" w:space="0" w:color="auto"/>
            </w:tcBorders>
            <w:shd w:val="clear" w:color="auto" w:fill="auto"/>
            <w:noWrap/>
            <w:vAlign w:val="bottom"/>
          </w:tcPr>
          <w:p w14:paraId="2BA9D1E4" w14:textId="26292058"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w:t>
            </w:r>
          </w:p>
        </w:tc>
        <w:tc>
          <w:tcPr>
            <w:tcW w:w="892" w:type="dxa"/>
            <w:tcBorders>
              <w:top w:val="nil"/>
              <w:left w:val="nil"/>
              <w:bottom w:val="single" w:sz="4" w:space="0" w:color="auto"/>
              <w:right w:val="single" w:sz="4" w:space="0" w:color="auto"/>
            </w:tcBorders>
            <w:shd w:val="clear" w:color="auto" w:fill="auto"/>
            <w:noWrap/>
            <w:vAlign w:val="bottom"/>
          </w:tcPr>
          <w:p w14:paraId="2CE5DE30" w14:textId="12CA9CD9"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EU-2018</w:t>
            </w:r>
          </w:p>
        </w:tc>
        <w:tc>
          <w:tcPr>
            <w:tcW w:w="935" w:type="dxa"/>
            <w:tcBorders>
              <w:top w:val="nil"/>
              <w:left w:val="single" w:sz="4" w:space="0" w:color="auto"/>
              <w:bottom w:val="single" w:sz="4" w:space="0" w:color="auto"/>
              <w:right w:val="single" w:sz="4" w:space="0" w:color="000000"/>
            </w:tcBorders>
            <w:shd w:val="clear" w:color="auto" w:fill="auto"/>
            <w:noWrap/>
            <w:vAlign w:val="bottom"/>
          </w:tcPr>
          <w:p w14:paraId="0989A06C" w14:textId="01EFF240" w:rsidR="00F552B4" w:rsidRPr="002B5C99" w:rsidRDefault="00F552B4" w:rsidP="00F552B4">
            <w:pPr>
              <w:spacing w:before="120" w:after="0"/>
              <w:rPr>
                <w:rFonts w:eastAsia="Times New Roman" w:cs="Tahoma"/>
                <w:sz w:val="14"/>
                <w:szCs w:val="14"/>
                <w:lang w:eastAsia="en-GB"/>
              </w:rPr>
            </w:pPr>
            <w:r w:rsidRPr="002B5C99">
              <w:rPr>
                <w:rFonts w:eastAsia="Times New Roman" w:cs="Tahoma"/>
                <w:sz w:val="14"/>
                <w:szCs w:val="14"/>
                <w:lang w:eastAsia="en-GB"/>
              </w:rPr>
              <w:t>N, T, S</w:t>
            </w:r>
          </w:p>
        </w:tc>
      </w:tr>
    </w:tbl>
    <w:p w14:paraId="772D2498" w14:textId="26D29605" w:rsidR="005D0F09" w:rsidRDefault="005D0F09" w:rsidP="005D0F09">
      <w:pPr>
        <w:pStyle w:val="EC-Para"/>
      </w:pPr>
      <w:r>
        <w:br w:type="page"/>
      </w:r>
    </w:p>
    <w:p w14:paraId="28397023" w14:textId="77777777" w:rsidR="000C1690" w:rsidRPr="00622BBF" w:rsidRDefault="000C1690" w:rsidP="000C1690">
      <w:pPr>
        <w:pStyle w:val="EC-Title-4"/>
        <w:rPr>
          <w:sz w:val="30"/>
          <w:szCs w:val="30"/>
        </w:rPr>
      </w:pPr>
      <w:bookmarkStart w:id="55" w:name="_Toc68600613"/>
      <w:bookmarkStart w:id="56" w:name="_Toc68600686"/>
      <w:bookmarkStart w:id="57" w:name="_Toc69140699"/>
      <w:bookmarkStart w:id="58" w:name="_Toc99029021"/>
      <w:bookmarkStart w:id="59" w:name="_Toc127531828"/>
      <w:r w:rsidRPr="00622BBF">
        <w:rPr>
          <w:sz w:val="30"/>
          <w:szCs w:val="30"/>
        </w:rPr>
        <w:lastRenderedPageBreak/>
        <w:t xml:space="preserve">Antimicrobial resistance in </w:t>
      </w:r>
      <w:r w:rsidRPr="00622BBF">
        <w:rPr>
          <w:i/>
          <w:iCs/>
          <w:sz w:val="30"/>
          <w:szCs w:val="30"/>
        </w:rPr>
        <w:t>Salmonella</w:t>
      </w:r>
      <w:r w:rsidRPr="00622BBF">
        <w:rPr>
          <w:sz w:val="30"/>
          <w:szCs w:val="30"/>
        </w:rPr>
        <w:t xml:space="preserve"> spp.</w:t>
      </w:r>
      <w:bookmarkEnd w:id="55"/>
      <w:bookmarkEnd w:id="56"/>
      <w:bookmarkEnd w:id="57"/>
      <w:bookmarkEnd w:id="58"/>
      <w:bookmarkEnd w:id="59"/>
    </w:p>
    <w:p w14:paraId="3E8FC40F" w14:textId="18E7F512" w:rsidR="000C1690" w:rsidRDefault="000C1690" w:rsidP="000C1690">
      <w:pPr>
        <w:pStyle w:val="EC-Para"/>
        <w:jc w:val="right"/>
        <w:rPr>
          <w:b/>
          <w:lang w:eastAsia="en-US"/>
        </w:rPr>
      </w:pPr>
      <w:r>
        <w:rPr>
          <w:b/>
          <w:lang w:eastAsia="en-US"/>
        </w:rPr>
        <w:t xml:space="preserve">Last updated:  </w:t>
      </w:r>
      <w:r w:rsidR="00B709DA">
        <w:rPr>
          <w:b/>
          <w:lang w:eastAsia="en-US"/>
        </w:rPr>
        <w:t>21</w:t>
      </w:r>
      <w:r w:rsidR="00A76EFD">
        <w:rPr>
          <w:b/>
          <w:lang w:eastAsia="en-US"/>
        </w:rPr>
        <w:t xml:space="preserve"> February 202</w:t>
      </w:r>
      <w:r w:rsidR="00B709DA">
        <w:rPr>
          <w:b/>
          <w:lang w:eastAsia="en-US"/>
        </w:rPr>
        <w:t>4</w:t>
      </w:r>
    </w:p>
    <w:p w14:paraId="2C614905" w14:textId="3452CBE2" w:rsidR="000C1690" w:rsidRDefault="000C1690" w:rsidP="000C1690">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xml:space="preserve">: </w:t>
      </w:r>
      <w:r w:rsidR="00B709DA">
        <w:rPr>
          <w:b/>
          <w:lang w:eastAsia="en-US"/>
        </w:rPr>
        <w:t>9</w:t>
      </w:r>
      <w:r w:rsidR="00724167">
        <w:rPr>
          <w:b/>
          <w:lang w:eastAsia="en-US"/>
        </w:rPr>
        <w:t xml:space="preserve"> </w:t>
      </w:r>
      <w:r w:rsidR="00724167" w:rsidRPr="00724167">
        <w:rPr>
          <w:b/>
          <w:lang w:eastAsia="en-US"/>
        </w:rPr>
        <w:t>October</w:t>
      </w:r>
      <w:r w:rsidRPr="00724167">
        <w:rPr>
          <w:b/>
          <w:lang w:eastAsia="en-US"/>
        </w:rPr>
        <w:t xml:space="preserve"> 202</w:t>
      </w:r>
      <w:r w:rsidR="00B709DA">
        <w:rPr>
          <w:b/>
          <w:lang w:eastAsia="en-US"/>
        </w:rPr>
        <w:t>3</w:t>
      </w:r>
    </w:p>
    <w:p w14:paraId="2B3B08EE" w14:textId="77777777" w:rsidR="000C1690" w:rsidRPr="00EB766F" w:rsidRDefault="000C1690" w:rsidP="000C1690">
      <w:pPr>
        <w:pStyle w:val="TextText"/>
        <w:spacing w:line="276" w:lineRule="auto"/>
        <w:rPr>
          <w:rFonts w:ascii="Tahoma" w:hAnsi="Tahoma" w:cs="Tahoma"/>
          <w:i/>
          <w:color w:val="4D4D4D"/>
          <w:sz w:val="18"/>
          <w:szCs w:val="18"/>
        </w:rPr>
      </w:pPr>
    </w:p>
    <w:p w14:paraId="12D24A36" w14:textId="77777777" w:rsidR="000C1690" w:rsidRDefault="000C1690" w:rsidP="000C1690">
      <w:pPr>
        <w:autoSpaceDE w:val="0"/>
        <w:autoSpaceDN w:val="0"/>
        <w:adjustRightInd w:val="0"/>
        <w:spacing w:after="120"/>
        <w:jc w:val="both"/>
        <w:rPr>
          <w:rFonts w:cs="Tahoma"/>
        </w:rPr>
      </w:pPr>
      <w:r w:rsidRPr="00CB488F">
        <w:rPr>
          <w:rFonts w:cs="Tahoma"/>
          <w:szCs w:val="18"/>
          <w:shd w:val="clear" w:color="auto" w:fill="FFFFFF"/>
        </w:rPr>
        <w:t xml:space="preserve">Salmonellosis is an infection caused by </w:t>
      </w:r>
      <w:r w:rsidRPr="00CB488F">
        <w:rPr>
          <w:rFonts w:cs="Tahoma"/>
          <w:i/>
          <w:szCs w:val="18"/>
          <w:shd w:val="clear" w:color="auto" w:fill="FFFFFF"/>
        </w:rPr>
        <w:t xml:space="preserve">Salmonella </w:t>
      </w:r>
      <w:r w:rsidRPr="00CB488F">
        <w:rPr>
          <w:rFonts w:cs="Tahoma"/>
          <w:szCs w:val="18"/>
          <w:shd w:val="clear" w:color="auto" w:fill="FFFFFF"/>
        </w:rPr>
        <w:t>bacteria. Non-typhoidal salmonellosis (</w:t>
      </w:r>
      <w:r w:rsidRPr="00CB488F">
        <w:rPr>
          <w:rFonts w:cs="Tahoma"/>
          <w:i/>
          <w:szCs w:val="18"/>
          <w:shd w:val="clear" w:color="auto" w:fill="FFFFFF"/>
        </w:rPr>
        <w:t>Salmonella</w:t>
      </w:r>
      <w:r w:rsidRPr="00CB488F">
        <w:rPr>
          <w:rFonts w:cs="Tahoma"/>
          <w:szCs w:val="18"/>
          <w:shd w:val="clear" w:color="auto" w:fill="FFFFFF"/>
        </w:rPr>
        <w:t xml:space="preserve"> spp. other than </w:t>
      </w:r>
      <w:r w:rsidRPr="00CB488F">
        <w:rPr>
          <w:rFonts w:cs="Tahoma"/>
          <w:i/>
          <w:szCs w:val="18"/>
          <w:shd w:val="clear" w:color="auto" w:fill="FFFFFF"/>
        </w:rPr>
        <w:t>S</w:t>
      </w:r>
      <w:r w:rsidRPr="00CB488F">
        <w:rPr>
          <w:rFonts w:cs="Tahoma"/>
          <w:szCs w:val="18"/>
          <w:shd w:val="clear" w:color="auto" w:fill="FFFFFF"/>
        </w:rPr>
        <w:t xml:space="preserve">. Typhi and </w:t>
      </w:r>
      <w:r w:rsidRPr="00CB488F">
        <w:rPr>
          <w:rFonts w:cs="Tahoma"/>
          <w:i/>
          <w:szCs w:val="18"/>
          <w:shd w:val="clear" w:color="auto" w:fill="FFFFFF"/>
        </w:rPr>
        <w:t>S</w:t>
      </w:r>
      <w:r w:rsidRPr="00CB488F">
        <w:rPr>
          <w:rFonts w:cs="Tahoma"/>
          <w:szCs w:val="18"/>
          <w:shd w:val="clear" w:color="auto" w:fill="FFFFFF"/>
        </w:rPr>
        <w:t xml:space="preserve">. </w:t>
      </w:r>
      <w:proofErr w:type="spellStart"/>
      <w:r w:rsidRPr="00CB488F">
        <w:rPr>
          <w:rFonts w:cs="Tahoma"/>
          <w:szCs w:val="18"/>
          <w:shd w:val="clear" w:color="auto" w:fill="FFFFFF"/>
        </w:rPr>
        <w:t>Paratyphi</w:t>
      </w:r>
      <w:proofErr w:type="spellEnd"/>
      <w:r w:rsidRPr="00CB488F">
        <w:rPr>
          <w:rFonts w:cs="Tahoma"/>
          <w:szCs w:val="18"/>
          <w:shd w:val="clear" w:color="auto" w:fill="FFFFFF"/>
        </w:rPr>
        <w:t>) usually causes gastroenteritis whereas typhoid and paratyphoid fever are systemic infections.</w:t>
      </w:r>
      <w:r w:rsidRPr="00CB488F">
        <w:rPr>
          <w:rFonts w:cs="Tahoma"/>
          <w:szCs w:val="18"/>
        </w:rPr>
        <w:t xml:space="preserve"> </w:t>
      </w:r>
      <w:r>
        <w:rPr>
          <w:rFonts w:cs="Tahoma"/>
          <w:szCs w:val="18"/>
        </w:rPr>
        <w:t xml:space="preserve">Typhoid and paratyphoid fevers are routinely treated with antimicrobials while for infections with non-typhoidal </w:t>
      </w:r>
      <w:r w:rsidRPr="001919AD">
        <w:rPr>
          <w:rFonts w:cs="Tahoma"/>
          <w:i/>
          <w:szCs w:val="18"/>
        </w:rPr>
        <w:t>Salmonella</w:t>
      </w:r>
      <w:r>
        <w:rPr>
          <w:rFonts w:cs="Tahoma"/>
          <w:szCs w:val="18"/>
        </w:rPr>
        <w:t xml:space="preserve">, antimicrobial treatment is only required in case of severe illness. </w:t>
      </w:r>
      <w:r w:rsidRPr="00CB488F">
        <w:rPr>
          <w:rFonts w:cs="Tahoma"/>
          <w:szCs w:val="18"/>
        </w:rPr>
        <w:t>For a more detailed description of the disease and its epidemiology please click on the</w:t>
      </w:r>
      <w:r w:rsidRPr="00CB488F">
        <w:rPr>
          <w:rFonts w:cs="Tahoma"/>
        </w:rPr>
        <w:t xml:space="preserve"> </w:t>
      </w:r>
      <w:hyperlink r:id="rId69" w:tgtFrame="_blank" w:history="1">
        <w:r w:rsidRPr="00CB488F">
          <w:rPr>
            <w:rFonts w:cs="Tahoma"/>
            <w:i/>
            <w:color w:val="69AE23"/>
            <w:u w:val="single"/>
          </w:rPr>
          <w:t>salmonellosis page</w:t>
        </w:r>
      </w:hyperlink>
      <w:r w:rsidRPr="00CB488F">
        <w:rPr>
          <w:rFonts w:cs="Tahoma"/>
          <w:i/>
          <w:color w:val="69AE23"/>
          <w:u w:val="single"/>
        </w:rPr>
        <w:t xml:space="preserve"> </w:t>
      </w:r>
      <w:r w:rsidRPr="00CB488F">
        <w:rPr>
          <w:rFonts w:cs="Tahoma"/>
        </w:rPr>
        <w:t xml:space="preserve">and the </w:t>
      </w:r>
      <w:hyperlink r:id="rId70" w:history="1">
        <w:r w:rsidRPr="00CB488F">
          <w:rPr>
            <w:rFonts w:cs="Tahoma"/>
            <w:i/>
            <w:color w:val="69AE23"/>
            <w:u w:val="single"/>
          </w:rPr>
          <w:t>typhoid/</w:t>
        </w:r>
        <w:proofErr w:type="spellStart"/>
        <w:r w:rsidRPr="00CB488F">
          <w:rPr>
            <w:rFonts w:cs="Tahoma"/>
            <w:i/>
            <w:color w:val="69AE23"/>
            <w:u w:val="single"/>
          </w:rPr>
          <w:t>parathyphoid</w:t>
        </w:r>
        <w:proofErr w:type="spellEnd"/>
        <w:r w:rsidRPr="00CB488F">
          <w:rPr>
            <w:rFonts w:cs="Tahoma"/>
            <w:i/>
            <w:color w:val="69AE23"/>
            <w:u w:val="single"/>
          </w:rPr>
          <w:t xml:space="preserve"> page</w:t>
        </w:r>
      </w:hyperlink>
      <w:r w:rsidRPr="00CB488F">
        <w:rPr>
          <w:rFonts w:cs="Tahoma"/>
        </w:rPr>
        <w:t>.</w:t>
      </w:r>
    </w:p>
    <w:p w14:paraId="2875B27D" w14:textId="77777777" w:rsidR="000C1690" w:rsidRPr="008F577B" w:rsidRDefault="000C1690" w:rsidP="000C1690">
      <w:pPr>
        <w:pStyle w:val="EC-Title-6"/>
      </w:pPr>
      <w:bookmarkStart w:id="60" w:name="_Toc99028479"/>
      <w:r w:rsidRPr="008F577B">
        <w:t>Data</w:t>
      </w:r>
      <w:bookmarkEnd w:id="60"/>
    </w:p>
    <w:p w14:paraId="464D3A14" w14:textId="77777777" w:rsidR="000C1690" w:rsidRPr="008F577B" w:rsidRDefault="000C1690" w:rsidP="000C1690">
      <w:pPr>
        <w:pStyle w:val="EC-Para"/>
        <w:jc w:val="both"/>
        <w:rPr>
          <w:rFonts w:eastAsiaTheme="minorHAnsi" w:cs="Tahoma"/>
          <w:lang w:eastAsia="en-US"/>
        </w:rPr>
      </w:pPr>
      <w:r w:rsidRPr="008F577B">
        <w:rPr>
          <w:rFonts w:cs="Tahoma"/>
        </w:rPr>
        <w:t xml:space="preserve">The Surveillance Atlas of Infectious Diseases displays data on antimicrobial resistance (AMR) in </w:t>
      </w:r>
      <w:r w:rsidRPr="008F577B">
        <w:rPr>
          <w:rFonts w:cs="Tahoma"/>
          <w:i/>
          <w:iCs/>
        </w:rPr>
        <w:t>Salmonella</w:t>
      </w:r>
      <w:r w:rsidRPr="008F577B">
        <w:rPr>
          <w:rFonts w:cs="Tahoma"/>
        </w:rPr>
        <w:t xml:space="preserve"> spp. reported by the EU/EEA countries. According to the 2018 EU case definition for </w:t>
      </w:r>
      <w:r w:rsidRPr="008F577B">
        <w:rPr>
          <w:rFonts w:cs="Tahoma"/>
          <w:i/>
          <w:iCs/>
        </w:rPr>
        <w:t>Salmonella</w:t>
      </w:r>
      <w:r w:rsidRPr="008F577B">
        <w:rPr>
          <w:rFonts w:cs="Tahoma"/>
        </w:rPr>
        <w:t xml:space="preserve"> enteritis</w:t>
      </w:r>
      <w:r w:rsidRPr="008F577B">
        <w:rPr>
          <w:rStyle w:val="FootnoteReference"/>
          <w:rFonts w:eastAsiaTheme="minorHAnsi" w:cs="Tahoma"/>
          <w:szCs w:val="20"/>
          <w:lang w:eastAsia="en-US"/>
        </w:rPr>
        <w:footnoteReference w:id="29"/>
      </w:r>
      <w:r w:rsidRPr="008F577B">
        <w:rPr>
          <w:rFonts w:cs="Tahoma"/>
        </w:rPr>
        <w:t xml:space="preserve">, antimicrobial susceptibility testing of </w:t>
      </w:r>
      <w:r w:rsidRPr="008F577B">
        <w:rPr>
          <w:rFonts w:cs="Tahoma"/>
          <w:i/>
        </w:rPr>
        <w:t>Salmonella</w:t>
      </w:r>
      <w:r w:rsidRPr="008F577B">
        <w:rPr>
          <w:rFonts w:cs="Tahoma"/>
        </w:rPr>
        <w:t xml:space="preserve"> spp. should be performed on a representative subset of isolates. </w:t>
      </w:r>
      <w:r w:rsidRPr="008F577B">
        <w:rPr>
          <w:rFonts w:cs="Tahoma"/>
        </w:rPr>
        <w:br/>
        <w:t xml:space="preserve">The results of antimicrobial susceptibility tests must be reported according to the methods and criteria agreed between ECDC and Member States as specified in the EU protocol for harmonised monitoring of antimicrobial resistance in human </w:t>
      </w:r>
      <w:r w:rsidRPr="008F577B">
        <w:rPr>
          <w:rFonts w:cs="Tahoma"/>
          <w:i/>
          <w:iCs/>
        </w:rPr>
        <w:t>Salmonella</w:t>
      </w:r>
      <w:r w:rsidRPr="008F577B">
        <w:rPr>
          <w:rFonts w:cs="Tahoma"/>
        </w:rPr>
        <w:t xml:space="preserve"> and </w:t>
      </w:r>
      <w:r w:rsidRPr="008F577B">
        <w:rPr>
          <w:rFonts w:cs="Tahoma"/>
          <w:i/>
          <w:iCs/>
        </w:rPr>
        <w:t>Campylobacter</w:t>
      </w:r>
      <w:r w:rsidRPr="008F577B">
        <w:rPr>
          <w:rFonts w:cs="Tahoma"/>
        </w:rPr>
        <w:t xml:space="preserve"> isolates</w:t>
      </w:r>
      <w:r w:rsidRPr="008F577B">
        <w:rPr>
          <w:rStyle w:val="FootnoteReference"/>
          <w:rFonts w:cs="Tahoma"/>
        </w:rPr>
        <w:footnoteReference w:id="30"/>
      </w:r>
      <w:r w:rsidRPr="008F577B">
        <w:rPr>
          <w:rFonts w:cs="Tahoma"/>
        </w:rPr>
        <w:t xml:space="preserve">. The panel of antimicrobial agents to test is also defined in the EU protocol. </w:t>
      </w:r>
    </w:p>
    <w:p w14:paraId="5201DE55" w14:textId="6F301BAE" w:rsidR="00B709DA" w:rsidRDefault="000C1690" w:rsidP="00B709DA">
      <w:pPr>
        <w:pStyle w:val="EC-Para"/>
      </w:pPr>
      <w:r w:rsidRPr="008F577B">
        <w:t xml:space="preserve">AMR data are collected as part of the case-based datasets for salmonellosis and, since the 2013 data collection, as part of the molecular surveillance of </w:t>
      </w:r>
      <w:r w:rsidRPr="008F577B">
        <w:rPr>
          <w:i/>
        </w:rPr>
        <w:t>Salmonella</w:t>
      </w:r>
      <w:r w:rsidRPr="008F577B">
        <w:t xml:space="preserve"> isolates. The case-based dataset contains data from clinical treatment of patients and the results are therefore by default interpreted using clinical breakpoints for assessing treatment options. Most countries apply clinical </w:t>
      </w:r>
      <w:r>
        <w:t xml:space="preserve">breakpoints from the </w:t>
      </w:r>
      <w:r w:rsidRPr="0097075C">
        <w:t>European Committee on Antimicrobial Susceptibility Testing</w:t>
      </w:r>
      <w:r>
        <w:t xml:space="preserve"> (EUCAST</w:t>
      </w:r>
      <w:proofErr w:type="gramStart"/>
      <w:r>
        <w:t>)</w:t>
      </w:r>
      <w:proofErr w:type="gramEnd"/>
      <w:r>
        <w:t xml:space="preserve"> but some also use national breakpoints or breakpoints from the </w:t>
      </w:r>
      <w:r w:rsidRPr="0097075C">
        <w:t>Clinical and Laboratory Standards Institute</w:t>
      </w:r>
      <w:r>
        <w:t xml:space="preserve"> (CLSI) when no EUCAST criteria are available. </w:t>
      </w:r>
      <w:r w:rsidRPr="004315FF">
        <w:t>The isolate-based data are submitted by the National Public Health Reference Laboratories (NPHRLs) who do reference testing of isolates and can report the actual results of the antimicrobial susceptibility testing (AST) as minimum inhibitory concentration (MIC) or inhibition zone diameter.</w:t>
      </w:r>
      <w:r>
        <w:t xml:space="preserve"> Such data are interpreted both with EUCAST clinical breakpoints, where available, but also with EUCAST epidemiological cut-off values where possible, to detect acquired resistance. </w:t>
      </w:r>
      <w:r w:rsidR="00B709DA">
        <w:t xml:space="preserve">Since </w:t>
      </w:r>
      <w:r w:rsidR="00B709DA" w:rsidRPr="004546DF">
        <w:t>2019</w:t>
      </w:r>
      <w:r w:rsidR="00B709DA">
        <w:t xml:space="preserve">, </w:t>
      </w:r>
      <w:r w:rsidR="00B709DA" w:rsidRPr="004546DF">
        <w:t xml:space="preserve">data can also be </w:t>
      </w:r>
      <w:r w:rsidR="00B709DA">
        <w:t>reported</w:t>
      </w:r>
      <w:r w:rsidR="00B709DA" w:rsidRPr="004546DF">
        <w:t xml:space="preserve"> as phenotypes predicted from sequencing of the bacterial genome</w:t>
      </w:r>
      <w:r w:rsidR="00B709DA">
        <w:t xml:space="preserve"> and since 2023</w:t>
      </w:r>
      <w:r w:rsidR="00B709DA" w:rsidRPr="004546DF">
        <w:t>,</w:t>
      </w:r>
      <w:r w:rsidR="00B709DA">
        <w:t xml:space="preserve"> </w:t>
      </w:r>
      <w:r w:rsidR="00B709DA">
        <w:rPr>
          <w:i/>
          <w:iCs/>
        </w:rPr>
        <w:t>Salmonella</w:t>
      </w:r>
      <w:r w:rsidR="00B709DA" w:rsidRPr="00471AC2">
        <w:t xml:space="preserve"> sequences </w:t>
      </w:r>
      <w:r w:rsidR="00B709DA">
        <w:t xml:space="preserve">can be reported </w:t>
      </w:r>
      <w:r w:rsidR="00B709DA" w:rsidRPr="00471AC2">
        <w:t xml:space="preserve">which </w:t>
      </w:r>
      <w:r w:rsidR="00B709DA">
        <w:t>are ana</w:t>
      </w:r>
      <w:r w:rsidR="00B709DA" w:rsidRPr="00471AC2">
        <w:t xml:space="preserve">lysed for both genes/mutations and predicted resistance with </w:t>
      </w:r>
      <w:proofErr w:type="spellStart"/>
      <w:r w:rsidR="00B709DA" w:rsidRPr="00471AC2">
        <w:t>ResFinder</w:t>
      </w:r>
      <w:proofErr w:type="spellEnd"/>
      <w:r w:rsidR="00B709DA" w:rsidRPr="00471AC2">
        <w:t xml:space="preserve"> at ECDC. </w:t>
      </w:r>
      <w:r w:rsidR="00B709DA">
        <w:t>Data from genetic typing are categorised as predicted wild type or predicted non-wild type and presented in the Atlas with the data interpreted with epidemiological cut-off values.</w:t>
      </w:r>
      <w:r w:rsidR="00B709DA" w:rsidRPr="004315FF">
        <w:t xml:space="preserve"> </w:t>
      </w:r>
    </w:p>
    <w:p w14:paraId="6A14FF30" w14:textId="77777777" w:rsidR="009D4D86" w:rsidRDefault="009D4D86" w:rsidP="000C1690">
      <w:pPr>
        <w:pStyle w:val="EC-Para"/>
      </w:pPr>
    </w:p>
    <w:p w14:paraId="47F2EBAB" w14:textId="77777777" w:rsidR="000C1690" w:rsidRPr="00C82DDE" w:rsidRDefault="000C1690" w:rsidP="0064770F">
      <w:pPr>
        <w:pStyle w:val="EC-Title-6"/>
      </w:pPr>
      <w:bookmarkStart w:id="61" w:name="_Toc99028480"/>
      <w:r w:rsidRPr="00BD0ACE">
        <w:t xml:space="preserve">Data collection and </w:t>
      </w:r>
      <w:r w:rsidRPr="0064770F">
        <w:t>analysis</w:t>
      </w:r>
      <w:bookmarkEnd w:id="61"/>
      <w:r w:rsidRPr="00BD0ACE">
        <w:t xml:space="preserve"> </w:t>
      </w:r>
    </w:p>
    <w:p w14:paraId="4D47D9DC" w14:textId="77777777" w:rsidR="000C1690" w:rsidRDefault="000C1690" w:rsidP="000C1690">
      <w:pPr>
        <w:pStyle w:val="EC-Para"/>
        <w:jc w:val="both"/>
        <w:rPr>
          <w:rFonts w:cs="Tahoma"/>
        </w:rPr>
      </w:pPr>
      <w:r>
        <w:rPr>
          <w:rFonts w:cs="Tahoma"/>
        </w:rPr>
        <w:t xml:space="preserve">Data are collected on an annual basis for the previous year. Before analysis, data are validated with nominated data providers in EU/EEA countries. </w:t>
      </w:r>
      <w:r>
        <w:rPr>
          <w:rFonts w:cstheme="minorHAnsi"/>
        </w:rPr>
        <w:t>Note that data published in the Surveillance Atlas might differ from figures in national reports due to different times of reporting, application of other interpretive criteria/breakpoints and use of different denominators. For quantitative data reported as MIC values or zone diameters, t</w:t>
      </w:r>
      <w:r>
        <w:rPr>
          <w:rFonts w:cs="Tahoma"/>
        </w:rPr>
        <w:t>he criteria applied to categorise the data are listed in table 1.</w:t>
      </w:r>
    </w:p>
    <w:p w14:paraId="587DA57C" w14:textId="77777777" w:rsidR="000C1690" w:rsidRDefault="000C1690" w:rsidP="000C1690">
      <w:pPr>
        <w:pStyle w:val="EC-Para"/>
        <w:jc w:val="both"/>
        <w:rPr>
          <w:rFonts w:cs="Tahoma"/>
        </w:rPr>
      </w:pPr>
      <w:r>
        <w:rPr>
          <w:rFonts w:cs="Tahoma"/>
        </w:rPr>
        <w:t xml:space="preserve">Surveillance systems across the EU/EEA countries are heterogeneous and a surveillance systems overview is displayed in Annex 1. </w:t>
      </w:r>
    </w:p>
    <w:p w14:paraId="1DAF56C8" w14:textId="77777777" w:rsidR="007B497B" w:rsidRDefault="007B497B" w:rsidP="000C1690">
      <w:pPr>
        <w:pStyle w:val="EC-Para"/>
        <w:rPr>
          <w:lang w:eastAsia="en-US"/>
        </w:rPr>
      </w:pPr>
    </w:p>
    <w:p w14:paraId="67427AB5" w14:textId="226F2A1D" w:rsidR="000C1690" w:rsidRPr="007B497B" w:rsidRDefault="000C1690" w:rsidP="000C1690">
      <w:pPr>
        <w:pStyle w:val="EC-Para"/>
        <w:rPr>
          <w:lang w:eastAsia="en-US"/>
        </w:rPr>
      </w:pPr>
      <w:r w:rsidRPr="007B497B">
        <w:rPr>
          <w:lang w:eastAsia="en-US"/>
        </w:rPr>
        <w:t>Criteria used to interpret quantitative data</w:t>
      </w:r>
      <w:r w:rsidR="007B497B">
        <w:rPr>
          <w:lang w:eastAsia="en-US"/>
        </w:rPr>
        <w:t>:</w:t>
      </w:r>
    </w:p>
    <w:tbl>
      <w:tblPr>
        <w:tblStyle w:val="TableGrid"/>
        <w:tblW w:w="0" w:type="auto"/>
        <w:tblLook w:val="04A0" w:firstRow="1" w:lastRow="0" w:firstColumn="1" w:lastColumn="0" w:noHBand="0" w:noVBand="1"/>
      </w:tblPr>
      <w:tblGrid>
        <w:gridCol w:w="2227"/>
        <w:gridCol w:w="2755"/>
        <w:gridCol w:w="4200"/>
      </w:tblGrid>
      <w:tr w:rsidR="00355036" w14:paraId="1CE8F9FF" w14:textId="77777777" w:rsidTr="00034EC0">
        <w:tc>
          <w:tcPr>
            <w:tcW w:w="0" w:type="auto"/>
            <w:tcBorders>
              <w:top w:val="single" w:sz="4" w:space="0" w:color="000000"/>
              <w:left w:val="single" w:sz="4" w:space="0" w:color="000000"/>
              <w:bottom w:val="single" w:sz="4" w:space="0" w:color="000000"/>
              <w:right w:val="single" w:sz="4" w:space="0" w:color="000000"/>
            </w:tcBorders>
            <w:shd w:val="clear" w:color="auto" w:fill="69AE23"/>
            <w:vAlign w:val="center"/>
            <w:hideMark/>
          </w:tcPr>
          <w:p w14:paraId="7C6A6AD6" w14:textId="77777777" w:rsidR="000C1690" w:rsidRPr="00C57199" w:rsidRDefault="000C1690" w:rsidP="00034EC0">
            <w:pPr>
              <w:pStyle w:val="EC-Para"/>
              <w:rPr>
                <w:b/>
                <w:bCs/>
                <w:color w:val="FFFFFF" w:themeColor="background1"/>
                <w:lang w:eastAsia="en-US"/>
              </w:rPr>
            </w:pPr>
            <w:r w:rsidRPr="00C57199">
              <w:rPr>
                <w:b/>
                <w:bCs/>
                <w:color w:val="FFFFFF" w:themeColor="background1"/>
                <w:lang w:eastAsia="en-US"/>
              </w:rPr>
              <w:t>Antimicrobial</w:t>
            </w:r>
          </w:p>
        </w:tc>
        <w:tc>
          <w:tcPr>
            <w:tcW w:w="0" w:type="auto"/>
            <w:tcBorders>
              <w:top w:val="single" w:sz="4" w:space="0" w:color="000000"/>
              <w:left w:val="single" w:sz="4" w:space="0" w:color="000000"/>
              <w:bottom w:val="single" w:sz="4" w:space="0" w:color="000000"/>
              <w:right w:val="single" w:sz="4" w:space="0" w:color="000000"/>
            </w:tcBorders>
            <w:shd w:val="clear" w:color="auto" w:fill="69AE23"/>
            <w:vAlign w:val="center"/>
          </w:tcPr>
          <w:p w14:paraId="199181F7" w14:textId="77777777" w:rsidR="000C1690" w:rsidRPr="00C57199" w:rsidRDefault="000C1690" w:rsidP="00034EC0">
            <w:pPr>
              <w:pStyle w:val="EC-Para"/>
              <w:rPr>
                <w:b/>
                <w:bCs/>
                <w:color w:val="FFFFFF" w:themeColor="background1"/>
                <w:lang w:eastAsia="en-US"/>
              </w:rPr>
            </w:pPr>
            <w:r w:rsidRPr="00C57199">
              <w:rPr>
                <w:b/>
                <w:bCs/>
                <w:color w:val="FFFFFF" w:themeColor="background1"/>
                <w:lang w:eastAsia="en-US"/>
              </w:rPr>
              <w:t>Clinical breakpoint applied</w:t>
            </w:r>
          </w:p>
        </w:tc>
        <w:tc>
          <w:tcPr>
            <w:tcW w:w="0" w:type="auto"/>
            <w:tcBorders>
              <w:top w:val="single" w:sz="4" w:space="0" w:color="000000"/>
              <w:left w:val="single" w:sz="4" w:space="0" w:color="000000"/>
              <w:bottom w:val="single" w:sz="4" w:space="0" w:color="000000"/>
              <w:right w:val="single" w:sz="4" w:space="0" w:color="000000"/>
            </w:tcBorders>
            <w:shd w:val="clear" w:color="auto" w:fill="69AE23"/>
            <w:vAlign w:val="center"/>
          </w:tcPr>
          <w:p w14:paraId="7E339BB2" w14:textId="77777777" w:rsidR="000C1690" w:rsidRPr="00C57199" w:rsidRDefault="000C1690" w:rsidP="00034EC0">
            <w:pPr>
              <w:pStyle w:val="EC-Para"/>
              <w:rPr>
                <w:b/>
                <w:bCs/>
                <w:color w:val="FFFFFF" w:themeColor="background1"/>
                <w:lang w:eastAsia="en-US"/>
              </w:rPr>
            </w:pPr>
            <w:r w:rsidRPr="00C57199">
              <w:rPr>
                <w:b/>
                <w:bCs/>
                <w:color w:val="FFFFFF" w:themeColor="background1"/>
                <w:lang w:eastAsia="en-US"/>
              </w:rPr>
              <w:t>Epidemiological cut-off applied</w:t>
            </w:r>
          </w:p>
        </w:tc>
      </w:tr>
      <w:tr w:rsidR="00355036" w14:paraId="6E9B95E7" w14:textId="77777777" w:rsidTr="007F2C86">
        <w:tc>
          <w:tcPr>
            <w:tcW w:w="0" w:type="auto"/>
            <w:tcBorders>
              <w:top w:val="single" w:sz="4" w:space="0" w:color="000000"/>
              <w:left w:val="single" w:sz="4" w:space="0" w:color="000000"/>
              <w:bottom w:val="single" w:sz="4" w:space="0" w:color="000000"/>
              <w:right w:val="single" w:sz="4" w:space="0" w:color="000000"/>
            </w:tcBorders>
            <w:vAlign w:val="center"/>
            <w:hideMark/>
          </w:tcPr>
          <w:p w14:paraId="5932C3BE" w14:textId="77777777" w:rsidR="000222A8" w:rsidRPr="00965CD5" w:rsidRDefault="000222A8" w:rsidP="007F2C86">
            <w:pPr>
              <w:pStyle w:val="EC-Para"/>
              <w:rPr>
                <w:lang w:eastAsia="en-US"/>
              </w:rPr>
            </w:pPr>
            <w:r w:rsidRPr="00965CD5">
              <w:rPr>
                <w:lang w:eastAsia="en-US"/>
              </w:rPr>
              <w:t>Ampicillin</w:t>
            </w:r>
          </w:p>
        </w:tc>
        <w:tc>
          <w:tcPr>
            <w:tcW w:w="0" w:type="auto"/>
            <w:tcBorders>
              <w:top w:val="single" w:sz="4" w:space="0" w:color="000000"/>
              <w:left w:val="single" w:sz="4" w:space="0" w:color="000000"/>
              <w:bottom w:val="single" w:sz="4" w:space="0" w:color="000000"/>
              <w:right w:val="single" w:sz="4" w:space="0" w:color="000000"/>
            </w:tcBorders>
            <w:vAlign w:val="center"/>
          </w:tcPr>
          <w:p w14:paraId="0B8C2C4D" w14:textId="38148E04" w:rsidR="000222A8" w:rsidRDefault="000222A8" w:rsidP="007F2C86">
            <w:pPr>
              <w:pStyle w:val="EC-Para"/>
              <w:rPr>
                <w:lang w:eastAsia="en-US"/>
              </w:rPr>
            </w:pPr>
            <w:r>
              <w:rPr>
                <w:lang w:eastAsia="en-US"/>
              </w:rPr>
              <w:t>EUCAST 202</w:t>
            </w:r>
            <w:r w:rsidR="00B709DA">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B8C40B8" w14:textId="3ECD8A16" w:rsidR="000222A8" w:rsidRDefault="000222A8" w:rsidP="007F2C86">
            <w:pPr>
              <w:pStyle w:val="EC-Para"/>
              <w:rPr>
                <w:lang w:eastAsia="en-US"/>
              </w:rPr>
            </w:pPr>
            <w:r>
              <w:rPr>
                <w:lang w:eastAsia="en-US"/>
              </w:rPr>
              <w:t xml:space="preserve">EUCAST </w:t>
            </w:r>
            <w:r w:rsidR="00DC6DDA">
              <w:rPr>
                <w:lang w:eastAsia="en-US"/>
              </w:rPr>
              <w:t>Aug</w:t>
            </w:r>
            <w:r>
              <w:rPr>
                <w:lang w:eastAsia="en-US"/>
              </w:rPr>
              <w:t xml:space="preserve"> 202</w:t>
            </w:r>
            <w:r w:rsidR="006A07A6">
              <w:rPr>
                <w:lang w:eastAsia="en-US"/>
              </w:rPr>
              <w:t>3</w:t>
            </w:r>
          </w:p>
        </w:tc>
      </w:tr>
      <w:tr w:rsidR="00355036" w14:paraId="1383D920"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hideMark/>
          </w:tcPr>
          <w:p w14:paraId="30CB68B4" w14:textId="77777777" w:rsidR="000C1690" w:rsidRPr="00965CD5" w:rsidRDefault="000C1690" w:rsidP="00034EC0">
            <w:pPr>
              <w:pStyle w:val="EC-Para"/>
              <w:rPr>
                <w:lang w:eastAsia="en-US"/>
              </w:rPr>
            </w:pPr>
            <w:r w:rsidRPr="00965CD5">
              <w:rPr>
                <w:lang w:eastAsia="en-US"/>
              </w:rPr>
              <w:t>Azithromycin</w:t>
            </w:r>
          </w:p>
        </w:tc>
        <w:tc>
          <w:tcPr>
            <w:tcW w:w="0" w:type="auto"/>
            <w:tcBorders>
              <w:top w:val="single" w:sz="4" w:space="0" w:color="000000"/>
              <w:left w:val="single" w:sz="4" w:space="0" w:color="000000"/>
              <w:bottom w:val="single" w:sz="4" w:space="0" w:color="000000"/>
              <w:right w:val="single" w:sz="4" w:space="0" w:color="000000"/>
            </w:tcBorders>
            <w:vAlign w:val="center"/>
          </w:tcPr>
          <w:p w14:paraId="067C9CA8" w14:textId="77777777" w:rsidR="000C1690" w:rsidRDefault="000C1690" w:rsidP="00034EC0">
            <w:pPr>
              <w:pStyle w:val="EC-Para"/>
              <w:rPr>
                <w:lang w:eastAsia="en-US"/>
              </w:rPr>
            </w:pPr>
            <w:r>
              <w:rPr>
                <w:lang w:eastAsia="en-US"/>
              </w:rPr>
              <w:t>NA</w:t>
            </w:r>
          </w:p>
        </w:tc>
        <w:tc>
          <w:tcPr>
            <w:tcW w:w="0" w:type="auto"/>
            <w:tcBorders>
              <w:top w:val="single" w:sz="4" w:space="0" w:color="000000"/>
              <w:left w:val="single" w:sz="4" w:space="0" w:color="000000"/>
              <w:bottom w:val="single" w:sz="4" w:space="0" w:color="000000"/>
              <w:right w:val="single" w:sz="4" w:space="0" w:color="000000"/>
            </w:tcBorders>
            <w:vAlign w:val="center"/>
          </w:tcPr>
          <w:p w14:paraId="759295A5" w14:textId="57F9DD00" w:rsidR="000C1690" w:rsidRDefault="000C1690" w:rsidP="00034EC0">
            <w:pPr>
              <w:pStyle w:val="EC-Para"/>
              <w:rPr>
                <w:lang w:eastAsia="en-US"/>
              </w:rPr>
            </w:pPr>
            <w:r>
              <w:rPr>
                <w:lang w:eastAsia="en-US"/>
              </w:rPr>
              <w:t>EUCAST Aug 202</w:t>
            </w:r>
            <w:r w:rsidR="006A07A6">
              <w:rPr>
                <w:lang w:eastAsia="en-US"/>
              </w:rPr>
              <w:t>3</w:t>
            </w:r>
          </w:p>
        </w:tc>
      </w:tr>
      <w:tr w:rsidR="00355036" w14:paraId="04F6BFF7"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175390B1" w14:textId="77777777" w:rsidR="000C1690" w:rsidRPr="00965CD5" w:rsidRDefault="000C1690" w:rsidP="00034EC0">
            <w:pPr>
              <w:pStyle w:val="EC-Para"/>
              <w:rPr>
                <w:lang w:eastAsia="en-US"/>
              </w:rPr>
            </w:pPr>
            <w:r>
              <w:rPr>
                <w:lang w:eastAsia="en-US"/>
              </w:rPr>
              <w:lastRenderedPageBreak/>
              <w:t>Cefotaxime</w:t>
            </w:r>
          </w:p>
        </w:tc>
        <w:tc>
          <w:tcPr>
            <w:tcW w:w="0" w:type="auto"/>
            <w:tcBorders>
              <w:top w:val="single" w:sz="4" w:space="0" w:color="000000"/>
              <w:left w:val="single" w:sz="4" w:space="0" w:color="000000"/>
              <w:bottom w:val="single" w:sz="4" w:space="0" w:color="000000"/>
              <w:right w:val="single" w:sz="4" w:space="0" w:color="000000"/>
            </w:tcBorders>
            <w:vAlign w:val="center"/>
          </w:tcPr>
          <w:p w14:paraId="7BE28940" w14:textId="132089C7" w:rsidR="000C1690" w:rsidRDefault="000C1690" w:rsidP="00034EC0">
            <w:pPr>
              <w:pStyle w:val="EC-Para"/>
              <w:rPr>
                <w:lang w:eastAsia="en-US"/>
              </w:rPr>
            </w:pPr>
            <w:r>
              <w:rPr>
                <w:lang w:eastAsia="en-US"/>
              </w:rPr>
              <w:t>EUCAST 202</w:t>
            </w:r>
            <w:r w:rsidR="00B709DA">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CB849DF" w14:textId="47A449E9" w:rsidR="000C1690" w:rsidRDefault="000C1690" w:rsidP="00034EC0">
            <w:pPr>
              <w:pStyle w:val="EC-Para"/>
              <w:rPr>
                <w:lang w:eastAsia="en-US"/>
              </w:rPr>
            </w:pPr>
            <w:r>
              <w:rPr>
                <w:lang w:eastAsia="en-US"/>
              </w:rPr>
              <w:t>EUCAST Aug 202</w:t>
            </w:r>
            <w:r w:rsidR="006A07A6">
              <w:rPr>
                <w:lang w:eastAsia="en-US"/>
              </w:rPr>
              <w:t>3</w:t>
            </w:r>
          </w:p>
        </w:tc>
      </w:tr>
      <w:tr w:rsidR="00355036" w14:paraId="2656C2F8"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092F12F1" w14:textId="77777777" w:rsidR="000C1690" w:rsidRPr="00965CD5" w:rsidRDefault="000C1690" w:rsidP="00034EC0">
            <w:pPr>
              <w:pStyle w:val="EC-Para"/>
              <w:rPr>
                <w:lang w:eastAsia="en-US"/>
              </w:rPr>
            </w:pPr>
            <w:r>
              <w:rPr>
                <w:lang w:eastAsia="en-US"/>
              </w:rPr>
              <w:t>Ceftazidime</w:t>
            </w:r>
          </w:p>
        </w:tc>
        <w:tc>
          <w:tcPr>
            <w:tcW w:w="0" w:type="auto"/>
            <w:tcBorders>
              <w:top w:val="single" w:sz="4" w:space="0" w:color="000000"/>
              <w:left w:val="single" w:sz="4" w:space="0" w:color="000000"/>
              <w:bottom w:val="single" w:sz="4" w:space="0" w:color="000000"/>
              <w:right w:val="single" w:sz="4" w:space="0" w:color="000000"/>
            </w:tcBorders>
            <w:vAlign w:val="center"/>
          </w:tcPr>
          <w:p w14:paraId="6DF66178" w14:textId="0ADD0FCD" w:rsidR="000C1690" w:rsidRDefault="000C1690" w:rsidP="00034EC0">
            <w:pPr>
              <w:pStyle w:val="EC-Para"/>
              <w:rPr>
                <w:lang w:eastAsia="en-US"/>
              </w:rPr>
            </w:pPr>
            <w:r>
              <w:rPr>
                <w:lang w:eastAsia="en-US"/>
              </w:rPr>
              <w:t>EUCAST 202</w:t>
            </w:r>
            <w:r w:rsidR="00B709DA">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0062218" w14:textId="16598A5B" w:rsidR="000C1690" w:rsidRDefault="000C1690" w:rsidP="00034EC0">
            <w:pPr>
              <w:pStyle w:val="EC-Para"/>
              <w:rPr>
                <w:lang w:eastAsia="en-US"/>
              </w:rPr>
            </w:pPr>
            <w:r>
              <w:rPr>
                <w:lang w:eastAsia="en-US"/>
              </w:rPr>
              <w:t>EUCAST Aug 202</w:t>
            </w:r>
            <w:r w:rsidR="006A07A6">
              <w:rPr>
                <w:lang w:eastAsia="en-US"/>
              </w:rPr>
              <w:t>3</w:t>
            </w:r>
          </w:p>
        </w:tc>
      </w:tr>
      <w:tr w:rsidR="00355036" w14:paraId="14545F40" w14:textId="77777777" w:rsidTr="007F2C86">
        <w:tc>
          <w:tcPr>
            <w:tcW w:w="0" w:type="auto"/>
            <w:tcBorders>
              <w:top w:val="single" w:sz="4" w:space="0" w:color="000000"/>
              <w:left w:val="single" w:sz="4" w:space="0" w:color="000000"/>
              <w:bottom w:val="single" w:sz="4" w:space="0" w:color="000000"/>
              <w:right w:val="single" w:sz="4" w:space="0" w:color="000000"/>
            </w:tcBorders>
            <w:vAlign w:val="center"/>
          </w:tcPr>
          <w:p w14:paraId="4F40E54D" w14:textId="77777777" w:rsidR="00CD1037" w:rsidRPr="00965CD5" w:rsidRDefault="00CD1037" w:rsidP="007F2C86">
            <w:pPr>
              <w:pStyle w:val="EC-Para"/>
              <w:rPr>
                <w:lang w:eastAsia="en-US"/>
              </w:rPr>
            </w:pPr>
            <w:r w:rsidRPr="00965CD5">
              <w:rPr>
                <w:lang w:eastAsia="en-US"/>
              </w:rPr>
              <w:t>Chloramphenicol</w:t>
            </w:r>
          </w:p>
        </w:tc>
        <w:tc>
          <w:tcPr>
            <w:tcW w:w="0" w:type="auto"/>
            <w:tcBorders>
              <w:top w:val="single" w:sz="4" w:space="0" w:color="000000"/>
              <w:left w:val="single" w:sz="4" w:space="0" w:color="000000"/>
              <w:bottom w:val="single" w:sz="4" w:space="0" w:color="000000"/>
              <w:right w:val="single" w:sz="4" w:space="0" w:color="000000"/>
            </w:tcBorders>
            <w:vAlign w:val="center"/>
          </w:tcPr>
          <w:p w14:paraId="07A992B8" w14:textId="59547840" w:rsidR="00CD1037" w:rsidRDefault="00CD1037" w:rsidP="007F2C86">
            <w:pPr>
              <w:pStyle w:val="EC-Para"/>
              <w:rPr>
                <w:lang w:eastAsia="en-US"/>
              </w:rPr>
            </w:pPr>
            <w:r>
              <w:rPr>
                <w:lang w:eastAsia="en-US"/>
              </w:rPr>
              <w:t>EUCAST 202</w:t>
            </w:r>
            <w:r w:rsidR="00B709DA">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F6E44DC" w14:textId="7B385F55" w:rsidR="00CD1037" w:rsidRDefault="00CD1037" w:rsidP="007F2C86">
            <w:pPr>
              <w:pStyle w:val="EC-Para"/>
              <w:rPr>
                <w:lang w:eastAsia="en-US"/>
              </w:rPr>
            </w:pPr>
            <w:r>
              <w:rPr>
                <w:lang w:eastAsia="en-US"/>
              </w:rPr>
              <w:t>EUCAST Aug 202</w:t>
            </w:r>
            <w:r w:rsidR="006A07A6">
              <w:rPr>
                <w:lang w:eastAsia="en-US"/>
              </w:rPr>
              <w:t>3</w:t>
            </w:r>
          </w:p>
        </w:tc>
      </w:tr>
      <w:tr w:rsidR="00355036" w14:paraId="4A732936"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69826C2C" w14:textId="77777777" w:rsidR="000C1690" w:rsidRPr="00965CD5" w:rsidRDefault="000C1690" w:rsidP="00034EC0">
            <w:pPr>
              <w:pStyle w:val="EC-Para"/>
              <w:rPr>
                <w:lang w:eastAsia="en-US"/>
              </w:rPr>
            </w:pPr>
            <w:r>
              <w:rPr>
                <w:lang w:eastAsia="en-US"/>
              </w:rPr>
              <w:t>Ciprofloxacin/pefloxacin</w:t>
            </w:r>
          </w:p>
        </w:tc>
        <w:tc>
          <w:tcPr>
            <w:tcW w:w="0" w:type="auto"/>
            <w:tcBorders>
              <w:top w:val="single" w:sz="4" w:space="0" w:color="000000"/>
              <w:left w:val="single" w:sz="4" w:space="0" w:color="000000"/>
              <w:bottom w:val="single" w:sz="4" w:space="0" w:color="000000"/>
              <w:right w:val="single" w:sz="4" w:space="0" w:color="000000"/>
            </w:tcBorders>
            <w:vAlign w:val="center"/>
          </w:tcPr>
          <w:p w14:paraId="4B7CCA25" w14:textId="4E82ED8E" w:rsidR="000C1690" w:rsidRDefault="000C1690" w:rsidP="00034EC0">
            <w:pPr>
              <w:pStyle w:val="EC-Para"/>
              <w:rPr>
                <w:lang w:eastAsia="en-US"/>
              </w:rPr>
            </w:pPr>
            <w:r>
              <w:rPr>
                <w:lang w:eastAsia="en-US"/>
              </w:rPr>
              <w:t>EUCAST 202</w:t>
            </w:r>
            <w:r w:rsidR="00B709DA">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D63D871" w14:textId="7C1C192F" w:rsidR="000C1690" w:rsidRDefault="006A07A6" w:rsidP="00034EC0">
            <w:pPr>
              <w:pStyle w:val="EC-Para"/>
              <w:rPr>
                <w:lang w:eastAsia="en-US"/>
              </w:rPr>
            </w:pPr>
            <w:r>
              <w:rPr>
                <w:lang w:eastAsia="en-US"/>
              </w:rPr>
              <w:t xml:space="preserve">Previous EUCAST ECOFF applied, according to Commission Implementing Decision (EU) </w:t>
            </w:r>
            <w:r w:rsidRPr="001A5FFD">
              <w:rPr>
                <w:lang w:eastAsia="en-US"/>
              </w:rPr>
              <w:t>20</w:t>
            </w:r>
            <w:r>
              <w:rPr>
                <w:lang w:eastAsia="en-US"/>
              </w:rPr>
              <w:t>20</w:t>
            </w:r>
            <w:r w:rsidRPr="001A5FFD">
              <w:rPr>
                <w:lang w:eastAsia="en-US"/>
              </w:rPr>
              <w:t>/</w:t>
            </w:r>
            <w:r>
              <w:rPr>
                <w:lang w:eastAsia="en-US"/>
              </w:rPr>
              <w:t>1729</w:t>
            </w:r>
          </w:p>
        </w:tc>
      </w:tr>
      <w:tr w:rsidR="00355036" w14:paraId="077E2C3D"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3F00E55E" w14:textId="6F67FA9F" w:rsidR="000C1690" w:rsidRPr="00C03213" w:rsidRDefault="000C1690" w:rsidP="00034EC0">
            <w:pPr>
              <w:pStyle w:val="EC-Para"/>
              <w:rPr>
                <w:vertAlign w:val="superscript"/>
                <w:lang w:eastAsia="en-US"/>
              </w:rPr>
            </w:pPr>
            <w:r>
              <w:rPr>
                <w:lang w:eastAsia="en-US"/>
              </w:rPr>
              <w:t>Colistin</w:t>
            </w:r>
            <w:r w:rsidR="00600EA5">
              <w:rPr>
                <w:vertAlign w:val="superscript"/>
                <w:lang w:eastAsia="en-US"/>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06C1E71" w14:textId="615DD6A0" w:rsidR="000C1690" w:rsidRDefault="000C1690" w:rsidP="00034EC0">
            <w:pPr>
              <w:pStyle w:val="EC-Para"/>
              <w:rPr>
                <w:lang w:eastAsia="en-US"/>
              </w:rPr>
            </w:pPr>
            <w:r>
              <w:rPr>
                <w:lang w:eastAsia="en-US"/>
              </w:rPr>
              <w:t>EUCAST 202</w:t>
            </w:r>
            <w:r w:rsidR="006A07A6">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ED89FFA" w14:textId="77777777" w:rsidR="000C1690" w:rsidRDefault="000C1690" w:rsidP="00034EC0">
            <w:pPr>
              <w:pStyle w:val="EC-Para"/>
              <w:rPr>
                <w:lang w:eastAsia="en-US"/>
              </w:rPr>
            </w:pPr>
            <w:r>
              <w:rPr>
                <w:lang w:eastAsia="en-US"/>
              </w:rPr>
              <w:t>NA</w:t>
            </w:r>
          </w:p>
        </w:tc>
      </w:tr>
      <w:tr w:rsidR="00355036" w14:paraId="1B2B9BE8"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0E73E1BA" w14:textId="77777777" w:rsidR="000C1690" w:rsidRPr="00965CD5" w:rsidRDefault="000C1690" w:rsidP="00034EC0">
            <w:pPr>
              <w:pStyle w:val="EC-Para"/>
              <w:rPr>
                <w:lang w:eastAsia="en-US"/>
              </w:rPr>
            </w:pPr>
            <w:r>
              <w:rPr>
                <w:lang w:eastAsia="en-US"/>
              </w:rPr>
              <w:t>(</w:t>
            </w:r>
            <w:proofErr w:type="spellStart"/>
            <w:r>
              <w:rPr>
                <w:lang w:eastAsia="en-US"/>
              </w:rPr>
              <w:t>Fluoro</w:t>
            </w:r>
            <w:proofErr w:type="spellEnd"/>
            <w:r>
              <w:rPr>
                <w:lang w:eastAsia="en-US"/>
              </w:rPr>
              <w:t>)quinolones</w:t>
            </w:r>
          </w:p>
        </w:tc>
        <w:tc>
          <w:tcPr>
            <w:tcW w:w="0" w:type="auto"/>
            <w:tcBorders>
              <w:top w:val="single" w:sz="4" w:space="0" w:color="000000"/>
              <w:left w:val="single" w:sz="4" w:space="0" w:color="000000"/>
              <w:bottom w:val="single" w:sz="4" w:space="0" w:color="000000"/>
              <w:right w:val="single" w:sz="4" w:space="0" w:color="000000"/>
            </w:tcBorders>
            <w:vAlign w:val="center"/>
          </w:tcPr>
          <w:p w14:paraId="0EA74D94" w14:textId="77777777" w:rsidR="000C1690" w:rsidRDefault="000C1690" w:rsidP="00034EC0">
            <w:pPr>
              <w:pStyle w:val="EC-Para"/>
              <w:rPr>
                <w:lang w:eastAsia="en-US"/>
              </w:rPr>
            </w:pPr>
            <w:r>
              <w:rPr>
                <w:lang w:eastAsia="en-US"/>
              </w:rPr>
              <w:t>Resistance to either ciprofloxacin, pefloxacin or nalidixic acid</w:t>
            </w:r>
          </w:p>
        </w:tc>
        <w:tc>
          <w:tcPr>
            <w:tcW w:w="0" w:type="auto"/>
            <w:tcBorders>
              <w:top w:val="single" w:sz="4" w:space="0" w:color="000000"/>
              <w:left w:val="single" w:sz="4" w:space="0" w:color="000000"/>
              <w:bottom w:val="single" w:sz="4" w:space="0" w:color="000000"/>
              <w:right w:val="single" w:sz="4" w:space="0" w:color="000000"/>
            </w:tcBorders>
            <w:vAlign w:val="center"/>
          </w:tcPr>
          <w:p w14:paraId="4357D24D" w14:textId="77777777" w:rsidR="000C1690" w:rsidRDefault="000C1690" w:rsidP="00034EC0">
            <w:pPr>
              <w:pStyle w:val="EC-Para"/>
              <w:rPr>
                <w:lang w:eastAsia="en-US"/>
              </w:rPr>
            </w:pPr>
            <w:r>
              <w:rPr>
                <w:lang w:eastAsia="en-US"/>
              </w:rPr>
              <w:t>Non-wild type to either ciprofloxacin, pefloxacin or nalidixic acid</w:t>
            </w:r>
          </w:p>
        </w:tc>
      </w:tr>
      <w:tr w:rsidR="00355036" w14:paraId="53C89410"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7308D524" w14:textId="77777777" w:rsidR="000C1690" w:rsidRPr="00965CD5" w:rsidRDefault="000C1690" w:rsidP="00034EC0">
            <w:pPr>
              <w:pStyle w:val="EC-Para"/>
              <w:rPr>
                <w:lang w:eastAsia="en-US"/>
              </w:rPr>
            </w:pPr>
            <w:r>
              <w:rPr>
                <w:lang w:eastAsia="en-US"/>
              </w:rPr>
              <w:t>Gentamicin</w:t>
            </w:r>
          </w:p>
        </w:tc>
        <w:tc>
          <w:tcPr>
            <w:tcW w:w="0" w:type="auto"/>
            <w:tcBorders>
              <w:top w:val="single" w:sz="4" w:space="0" w:color="000000"/>
              <w:left w:val="single" w:sz="4" w:space="0" w:color="000000"/>
              <w:bottom w:val="single" w:sz="4" w:space="0" w:color="000000"/>
              <w:right w:val="single" w:sz="4" w:space="0" w:color="000000"/>
            </w:tcBorders>
            <w:vAlign w:val="center"/>
          </w:tcPr>
          <w:p w14:paraId="34E5B952" w14:textId="5563E1D0" w:rsidR="000C1690" w:rsidRDefault="000C1690" w:rsidP="00034EC0">
            <w:pPr>
              <w:pStyle w:val="EC-Para"/>
              <w:rPr>
                <w:lang w:eastAsia="en-US"/>
              </w:rPr>
            </w:pPr>
            <w:r>
              <w:rPr>
                <w:lang w:eastAsia="en-US"/>
              </w:rPr>
              <w:t>EUCAST 202</w:t>
            </w:r>
            <w:r w:rsidR="006A07A6">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C034059" w14:textId="41A01FE3" w:rsidR="000C1690" w:rsidRDefault="000C1690" w:rsidP="00034EC0">
            <w:pPr>
              <w:pStyle w:val="EC-Para"/>
              <w:rPr>
                <w:lang w:eastAsia="en-US"/>
              </w:rPr>
            </w:pPr>
            <w:r>
              <w:rPr>
                <w:lang w:eastAsia="en-US"/>
              </w:rPr>
              <w:t>EUCAST Aug 202</w:t>
            </w:r>
            <w:r w:rsidR="006A07A6">
              <w:rPr>
                <w:lang w:eastAsia="en-US"/>
              </w:rPr>
              <w:t>3</w:t>
            </w:r>
          </w:p>
        </w:tc>
      </w:tr>
      <w:tr w:rsidR="00355036" w14:paraId="552530D9"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50E4FBDC" w14:textId="77777777" w:rsidR="000C1690" w:rsidRPr="00965CD5" w:rsidRDefault="000C1690" w:rsidP="00034EC0">
            <w:pPr>
              <w:pStyle w:val="EC-Para"/>
              <w:rPr>
                <w:lang w:eastAsia="en-US"/>
              </w:rPr>
            </w:pPr>
            <w:r>
              <w:rPr>
                <w:lang w:eastAsia="en-US"/>
              </w:rPr>
              <w:t>Meropenem</w:t>
            </w:r>
          </w:p>
        </w:tc>
        <w:tc>
          <w:tcPr>
            <w:tcW w:w="0" w:type="auto"/>
            <w:tcBorders>
              <w:top w:val="single" w:sz="4" w:space="0" w:color="000000"/>
              <w:left w:val="single" w:sz="4" w:space="0" w:color="000000"/>
              <w:bottom w:val="single" w:sz="4" w:space="0" w:color="000000"/>
              <w:right w:val="single" w:sz="4" w:space="0" w:color="000000"/>
            </w:tcBorders>
            <w:vAlign w:val="center"/>
          </w:tcPr>
          <w:p w14:paraId="7B9EFCC9" w14:textId="29E80086" w:rsidR="000C1690" w:rsidRDefault="000C1690" w:rsidP="00034EC0">
            <w:pPr>
              <w:pStyle w:val="EC-Para"/>
              <w:rPr>
                <w:lang w:eastAsia="en-US"/>
              </w:rPr>
            </w:pPr>
            <w:r>
              <w:rPr>
                <w:lang w:eastAsia="en-US"/>
              </w:rPr>
              <w:t>EUCAST 202</w:t>
            </w:r>
            <w:r w:rsidR="006A07A6">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D54B15E" w14:textId="25F61B7E" w:rsidR="000C1690" w:rsidRDefault="000C1690" w:rsidP="00034EC0">
            <w:pPr>
              <w:pStyle w:val="EC-Para"/>
              <w:rPr>
                <w:lang w:eastAsia="en-US"/>
              </w:rPr>
            </w:pPr>
            <w:r>
              <w:rPr>
                <w:lang w:eastAsia="en-US"/>
              </w:rPr>
              <w:t xml:space="preserve">Previous EUCAST ECOFF applied, according to </w:t>
            </w:r>
            <w:r w:rsidR="004D15F8">
              <w:rPr>
                <w:lang w:eastAsia="en-US"/>
              </w:rPr>
              <w:t xml:space="preserve">Commission </w:t>
            </w:r>
            <w:r w:rsidR="00BC14FB">
              <w:rPr>
                <w:lang w:eastAsia="en-US"/>
              </w:rPr>
              <w:t xml:space="preserve">Implementing Decision (EU) </w:t>
            </w:r>
            <w:r w:rsidRPr="001A5FFD">
              <w:rPr>
                <w:lang w:eastAsia="en-US"/>
              </w:rPr>
              <w:t>20</w:t>
            </w:r>
            <w:r w:rsidR="00BC14FB">
              <w:rPr>
                <w:lang w:eastAsia="en-US"/>
              </w:rPr>
              <w:t>20</w:t>
            </w:r>
            <w:r w:rsidRPr="001A5FFD">
              <w:rPr>
                <w:lang w:eastAsia="en-US"/>
              </w:rPr>
              <w:t>/</w:t>
            </w:r>
            <w:r w:rsidR="004D15F8">
              <w:rPr>
                <w:lang w:eastAsia="en-US"/>
              </w:rPr>
              <w:t>1729</w:t>
            </w:r>
          </w:p>
        </w:tc>
      </w:tr>
      <w:tr w:rsidR="00355036" w14:paraId="439C9A79"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0ECFDC89" w14:textId="77777777" w:rsidR="000C1690" w:rsidRPr="00965CD5" w:rsidRDefault="000C1690" w:rsidP="00034EC0">
            <w:pPr>
              <w:pStyle w:val="EC-Para"/>
              <w:rPr>
                <w:lang w:eastAsia="en-US"/>
              </w:rPr>
            </w:pPr>
            <w:r>
              <w:rPr>
                <w:lang w:eastAsia="en-US"/>
              </w:rPr>
              <w:t>Nalidixic acid</w:t>
            </w:r>
          </w:p>
        </w:tc>
        <w:tc>
          <w:tcPr>
            <w:tcW w:w="0" w:type="auto"/>
            <w:tcBorders>
              <w:top w:val="single" w:sz="4" w:space="0" w:color="000000"/>
              <w:left w:val="single" w:sz="4" w:space="0" w:color="000000"/>
              <w:bottom w:val="single" w:sz="4" w:space="0" w:color="000000"/>
              <w:right w:val="single" w:sz="4" w:space="0" w:color="000000"/>
            </w:tcBorders>
            <w:vAlign w:val="center"/>
          </w:tcPr>
          <w:p w14:paraId="574C363B" w14:textId="77777777" w:rsidR="000C1690" w:rsidRDefault="000C1690" w:rsidP="00034EC0">
            <w:pPr>
              <w:pStyle w:val="EC-Para"/>
              <w:rPr>
                <w:lang w:eastAsia="en-US"/>
              </w:rPr>
            </w:pPr>
            <w:r>
              <w:rPr>
                <w:lang w:eastAsia="en-US"/>
              </w:rPr>
              <w:t>NA</w:t>
            </w:r>
          </w:p>
        </w:tc>
        <w:tc>
          <w:tcPr>
            <w:tcW w:w="0" w:type="auto"/>
            <w:tcBorders>
              <w:top w:val="single" w:sz="4" w:space="0" w:color="000000"/>
              <w:left w:val="single" w:sz="4" w:space="0" w:color="000000"/>
              <w:bottom w:val="single" w:sz="4" w:space="0" w:color="000000"/>
              <w:right w:val="single" w:sz="4" w:space="0" w:color="000000"/>
            </w:tcBorders>
            <w:vAlign w:val="center"/>
          </w:tcPr>
          <w:p w14:paraId="21C953B2" w14:textId="4D52AEA8" w:rsidR="000C1690" w:rsidRDefault="000C1690" w:rsidP="00034EC0">
            <w:pPr>
              <w:pStyle w:val="EC-Para"/>
              <w:rPr>
                <w:lang w:eastAsia="en-US"/>
              </w:rPr>
            </w:pPr>
            <w:r>
              <w:rPr>
                <w:lang w:eastAsia="en-US"/>
              </w:rPr>
              <w:t>EUCAST Aug 202</w:t>
            </w:r>
            <w:r w:rsidR="006A07A6">
              <w:rPr>
                <w:lang w:eastAsia="en-US"/>
              </w:rPr>
              <w:t>3</w:t>
            </w:r>
          </w:p>
        </w:tc>
      </w:tr>
      <w:tr w:rsidR="00355036" w14:paraId="52172C4A"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69DEE062" w14:textId="77777777" w:rsidR="000C1690" w:rsidRPr="00965CD5" w:rsidRDefault="000C1690" w:rsidP="00034EC0">
            <w:pPr>
              <w:pStyle w:val="EC-Para"/>
              <w:rPr>
                <w:lang w:eastAsia="en-US"/>
              </w:rPr>
            </w:pPr>
            <w:r>
              <w:rPr>
                <w:lang w:eastAsia="en-US"/>
              </w:rPr>
              <w:t>Sulfamethoxazole</w:t>
            </w:r>
          </w:p>
        </w:tc>
        <w:tc>
          <w:tcPr>
            <w:tcW w:w="0" w:type="auto"/>
            <w:tcBorders>
              <w:top w:val="single" w:sz="4" w:space="0" w:color="000000"/>
              <w:left w:val="single" w:sz="4" w:space="0" w:color="000000"/>
              <w:bottom w:val="single" w:sz="4" w:space="0" w:color="000000"/>
              <w:right w:val="single" w:sz="4" w:space="0" w:color="000000"/>
            </w:tcBorders>
            <w:vAlign w:val="center"/>
          </w:tcPr>
          <w:p w14:paraId="2652F3EF" w14:textId="77777777" w:rsidR="000C1690" w:rsidRDefault="000C1690" w:rsidP="00034EC0">
            <w:pPr>
              <w:pStyle w:val="EC-Para"/>
              <w:rPr>
                <w:lang w:eastAsia="en-US"/>
              </w:rPr>
            </w:pPr>
            <w:r>
              <w:rPr>
                <w:lang w:eastAsia="en-US"/>
              </w:rPr>
              <w:t>NA</w:t>
            </w:r>
          </w:p>
        </w:tc>
        <w:tc>
          <w:tcPr>
            <w:tcW w:w="0" w:type="auto"/>
            <w:tcBorders>
              <w:top w:val="single" w:sz="4" w:space="0" w:color="000000"/>
              <w:left w:val="single" w:sz="4" w:space="0" w:color="000000"/>
              <w:bottom w:val="single" w:sz="4" w:space="0" w:color="000000"/>
              <w:right w:val="single" w:sz="4" w:space="0" w:color="000000"/>
            </w:tcBorders>
            <w:vAlign w:val="center"/>
          </w:tcPr>
          <w:p w14:paraId="5764D39E" w14:textId="2F2EE997" w:rsidR="000C1690" w:rsidRDefault="000C1690" w:rsidP="00034EC0">
            <w:pPr>
              <w:pStyle w:val="EC-Para"/>
              <w:rPr>
                <w:lang w:eastAsia="en-US"/>
              </w:rPr>
            </w:pPr>
            <w:r>
              <w:rPr>
                <w:lang w:eastAsia="en-US"/>
              </w:rPr>
              <w:t>CLSI M100-S3</w:t>
            </w:r>
            <w:r w:rsidR="006A07A6">
              <w:rPr>
                <w:lang w:eastAsia="en-US"/>
              </w:rPr>
              <w:t>2</w:t>
            </w:r>
            <w:r>
              <w:rPr>
                <w:lang w:eastAsia="en-US"/>
              </w:rPr>
              <w:t xml:space="preserve"> clinical breakpoint</w:t>
            </w:r>
          </w:p>
        </w:tc>
      </w:tr>
      <w:tr w:rsidR="00355036" w14:paraId="6AA5B9E7"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5E0AEF31" w14:textId="77777777" w:rsidR="000C1690" w:rsidRPr="00965CD5" w:rsidRDefault="000C1690" w:rsidP="00034EC0">
            <w:pPr>
              <w:pStyle w:val="EC-Para"/>
              <w:rPr>
                <w:lang w:eastAsia="en-US"/>
              </w:rPr>
            </w:pPr>
            <w:r>
              <w:rPr>
                <w:lang w:eastAsia="en-US"/>
              </w:rPr>
              <w:t>Tetracycline</w:t>
            </w:r>
          </w:p>
        </w:tc>
        <w:tc>
          <w:tcPr>
            <w:tcW w:w="0" w:type="auto"/>
            <w:tcBorders>
              <w:top w:val="single" w:sz="4" w:space="0" w:color="000000"/>
              <w:left w:val="single" w:sz="4" w:space="0" w:color="000000"/>
              <w:bottom w:val="single" w:sz="4" w:space="0" w:color="000000"/>
              <w:right w:val="single" w:sz="4" w:space="0" w:color="000000"/>
            </w:tcBorders>
            <w:vAlign w:val="center"/>
          </w:tcPr>
          <w:p w14:paraId="6487229C" w14:textId="77777777" w:rsidR="000C1690" w:rsidRDefault="000C1690" w:rsidP="00034EC0">
            <w:pPr>
              <w:pStyle w:val="EC-Para"/>
              <w:rPr>
                <w:lang w:eastAsia="en-US"/>
              </w:rPr>
            </w:pPr>
            <w:r>
              <w:rPr>
                <w:lang w:eastAsia="en-US"/>
              </w:rPr>
              <w:t>NA</w:t>
            </w:r>
          </w:p>
        </w:tc>
        <w:tc>
          <w:tcPr>
            <w:tcW w:w="0" w:type="auto"/>
            <w:tcBorders>
              <w:top w:val="single" w:sz="4" w:space="0" w:color="000000"/>
              <w:left w:val="single" w:sz="4" w:space="0" w:color="000000"/>
              <w:bottom w:val="single" w:sz="4" w:space="0" w:color="000000"/>
              <w:right w:val="single" w:sz="4" w:space="0" w:color="000000"/>
            </w:tcBorders>
            <w:vAlign w:val="center"/>
          </w:tcPr>
          <w:p w14:paraId="2F47A585" w14:textId="3E855268" w:rsidR="000C1690" w:rsidRDefault="000C1690" w:rsidP="00034EC0">
            <w:pPr>
              <w:pStyle w:val="EC-Para"/>
              <w:rPr>
                <w:lang w:eastAsia="en-US"/>
              </w:rPr>
            </w:pPr>
            <w:r>
              <w:rPr>
                <w:lang w:eastAsia="en-US"/>
              </w:rPr>
              <w:t>EUCAST Aug 202</w:t>
            </w:r>
            <w:r w:rsidR="006A07A6">
              <w:rPr>
                <w:lang w:eastAsia="en-US"/>
              </w:rPr>
              <w:t>3</w:t>
            </w:r>
          </w:p>
        </w:tc>
      </w:tr>
      <w:tr w:rsidR="00355036" w14:paraId="1A6AD9EB"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72D9C3E8" w14:textId="77777777" w:rsidR="000C1690" w:rsidRPr="00965CD5" w:rsidRDefault="000C1690" w:rsidP="00034EC0">
            <w:pPr>
              <w:pStyle w:val="EC-Para"/>
              <w:rPr>
                <w:lang w:eastAsia="en-US"/>
              </w:rPr>
            </w:pPr>
            <w:r>
              <w:rPr>
                <w:lang w:eastAsia="en-US"/>
              </w:rPr>
              <w:t>Tigecycline</w:t>
            </w:r>
          </w:p>
        </w:tc>
        <w:tc>
          <w:tcPr>
            <w:tcW w:w="0" w:type="auto"/>
            <w:tcBorders>
              <w:top w:val="single" w:sz="4" w:space="0" w:color="000000"/>
              <w:left w:val="single" w:sz="4" w:space="0" w:color="000000"/>
              <w:bottom w:val="single" w:sz="4" w:space="0" w:color="000000"/>
              <w:right w:val="single" w:sz="4" w:space="0" w:color="000000"/>
            </w:tcBorders>
            <w:vAlign w:val="center"/>
          </w:tcPr>
          <w:p w14:paraId="273D9830" w14:textId="77777777" w:rsidR="000C1690" w:rsidRDefault="000C1690" w:rsidP="00034EC0">
            <w:pPr>
              <w:pStyle w:val="EC-Para"/>
              <w:rPr>
                <w:lang w:eastAsia="en-US"/>
              </w:rPr>
            </w:pPr>
            <w:r>
              <w:rPr>
                <w:lang w:eastAsia="en-US"/>
              </w:rPr>
              <w:t>NA</w:t>
            </w:r>
          </w:p>
        </w:tc>
        <w:tc>
          <w:tcPr>
            <w:tcW w:w="0" w:type="auto"/>
            <w:tcBorders>
              <w:top w:val="single" w:sz="4" w:space="0" w:color="000000"/>
              <w:left w:val="single" w:sz="4" w:space="0" w:color="000000"/>
              <w:bottom w:val="single" w:sz="4" w:space="0" w:color="000000"/>
              <w:right w:val="single" w:sz="4" w:space="0" w:color="000000"/>
            </w:tcBorders>
            <w:vAlign w:val="center"/>
          </w:tcPr>
          <w:p w14:paraId="01043B7D" w14:textId="61EA4A06" w:rsidR="000C1690" w:rsidRDefault="000C1690" w:rsidP="00034EC0">
            <w:pPr>
              <w:pStyle w:val="EC-Para"/>
              <w:rPr>
                <w:lang w:eastAsia="en-US"/>
              </w:rPr>
            </w:pPr>
            <w:r>
              <w:rPr>
                <w:lang w:eastAsia="en-US"/>
              </w:rPr>
              <w:t xml:space="preserve">EUCAST ECOFF removed. ECOFF </w:t>
            </w:r>
            <w:r w:rsidR="00525B0D">
              <w:rPr>
                <w:lang w:eastAsia="en-US"/>
              </w:rPr>
              <w:t>defined by EFSA</w:t>
            </w:r>
            <w:r w:rsidR="00355036">
              <w:rPr>
                <w:lang w:eastAsia="en-US"/>
              </w:rPr>
              <w:t xml:space="preserve"> for reporting 202</w:t>
            </w:r>
            <w:r w:rsidR="00B83F8E">
              <w:rPr>
                <w:lang w:eastAsia="en-US"/>
              </w:rPr>
              <w:t>2</w:t>
            </w:r>
            <w:r w:rsidR="00355036">
              <w:rPr>
                <w:lang w:eastAsia="en-US"/>
              </w:rPr>
              <w:t xml:space="preserve"> data</w:t>
            </w:r>
            <w:proofErr w:type="gramStart"/>
            <w:r w:rsidR="00600EA5">
              <w:rPr>
                <w:vertAlign w:val="superscript"/>
                <w:lang w:eastAsia="en-US"/>
              </w:rPr>
              <w:t>2</w:t>
            </w:r>
            <w:r w:rsidR="00600EA5">
              <w:rPr>
                <w:lang w:eastAsia="en-US"/>
              </w:rPr>
              <w:t xml:space="preserve"> </w:t>
            </w:r>
            <w:r>
              <w:rPr>
                <w:lang w:eastAsia="en-US"/>
              </w:rPr>
              <w:t>.</w:t>
            </w:r>
            <w:proofErr w:type="gramEnd"/>
          </w:p>
        </w:tc>
      </w:tr>
      <w:tr w:rsidR="00355036" w14:paraId="66A5B1AE"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1036C5FF" w14:textId="77777777" w:rsidR="000C1690" w:rsidRPr="00965CD5" w:rsidRDefault="000C1690" w:rsidP="00034EC0">
            <w:pPr>
              <w:pStyle w:val="EC-Para"/>
              <w:rPr>
                <w:lang w:eastAsia="en-US"/>
              </w:rPr>
            </w:pPr>
            <w:r>
              <w:rPr>
                <w:lang w:eastAsia="en-US"/>
              </w:rPr>
              <w:t>Trimethoprim</w:t>
            </w:r>
          </w:p>
        </w:tc>
        <w:tc>
          <w:tcPr>
            <w:tcW w:w="0" w:type="auto"/>
            <w:tcBorders>
              <w:top w:val="single" w:sz="4" w:space="0" w:color="000000"/>
              <w:left w:val="single" w:sz="4" w:space="0" w:color="000000"/>
              <w:bottom w:val="single" w:sz="4" w:space="0" w:color="000000"/>
              <w:right w:val="single" w:sz="4" w:space="0" w:color="000000"/>
            </w:tcBorders>
            <w:vAlign w:val="center"/>
          </w:tcPr>
          <w:p w14:paraId="20567A67" w14:textId="05B35719" w:rsidR="000C1690" w:rsidRDefault="000C1690" w:rsidP="00034EC0">
            <w:pPr>
              <w:pStyle w:val="EC-Para"/>
              <w:rPr>
                <w:lang w:eastAsia="en-US"/>
              </w:rPr>
            </w:pPr>
            <w:r>
              <w:rPr>
                <w:lang w:eastAsia="en-US"/>
              </w:rPr>
              <w:t>EUCAST 202</w:t>
            </w:r>
            <w:r w:rsidR="006A07A6">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0A28A70" w14:textId="0A5E9D44" w:rsidR="000C1690" w:rsidRDefault="000C1690" w:rsidP="00034EC0">
            <w:pPr>
              <w:pStyle w:val="EC-Para"/>
              <w:rPr>
                <w:lang w:eastAsia="en-US"/>
              </w:rPr>
            </w:pPr>
            <w:r>
              <w:rPr>
                <w:lang w:eastAsia="en-US"/>
              </w:rPr>
              <w:t>EUCAST Aug 202</w:t>
            </w:r>
            <w:r w:rsidR="00B83F8E">
              <w:rPr>
                <w:lang w:eastAsia="en-US"/>
              </w:rPr>
              <w:t>3</w:t>
            </w:r>
          </w:p>
        </w:tc>
      </w:tr>
      <w:tr w:rsidR="00355036" w14:paraId="5041714C"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7D9E513D" w14:textId="77777777" w:rsidR="000C1690" w:rsidRPr="00965CD5" w:rsidRDefault="000C1690" w:rsidP="00034EC0">
            <w:pPr>
              <w:pStyle w:val="EC-Para"/>
              <w:rPr>
                <w:lang w:eastAsia="en-US"/>
              </w:rPr>
            </w:pPr>
            <w:r>
              <w:rPr>
                <w:lang w:eastAsia="en-US"/>
              </w:rPr>
              <w:t>Trimethoprim-</w:t>
            </w:r>
            <w:proofErr w:type="spellStart"/>
            <w:r>
              <w:rPr>
                <w:lang w:eastAsia="en-US"/>
              </w:rPr>
              <w:t>sulfa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3D9F7E68" w14:textId="2DE0984B" w:rsidR="000C1690" w:rsidRDefault="000C1690" w:rsidP="00034EC0">
            <w:pPr>
              <w:pStyle w:val="EC-Para"/>
              <w:rPr>
                <w:lang w:eastAsia="en-US"/>
              </w:rPr>
            </w:pPr>
            <w:r>
              <w:rPr>
                <w:lang w:eastAsia="en-US"/>
              </w:rPr>
              <w:t>EUCAST 202</w:t>
            </w:r>
            <w:r w:rsidR="006A07A6">
              <w:rPr>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AC12F54" w14:textId="7A6BC400" w:rsidR="000C1690" w:rsidRDefault="000C1690" w:rsidP="00034EC0">
            <w:pPr>
              <w:pStyle w:val="EC-Para"/>
              <w:rPr>
                <w:lang w:eastAsia="en-US"/>
              </w:rPr>
            </w:pPr>
            <w:r>
              <w:rPr>
                <w:lang w:eastAsia="en-US"/>
              </w:rPr>
              <w:t>EUCAST Aug 202</w:t>
            </w:r>
            <w:r w:rsidR="00B83F8E">
              <w:rPr>
                <w:lang w:eastAsia="en-US"/>
              </w:rPr>
              <w:t>3</w:t>
            </w:r>
            <w:r>
              <w:rPr>
                <w:lang w:eastAsia="en-US"/>
              </w:rPr>
              <w:t xml:space="preserve"> for disk diffusion, old EUCAST ECOFF for MIC</w:t>
            </w:r>
          </w:p>
        </w:tc>
      </w:tr>
      <w:tr w:rsidR="00355036" w14:paraId="651F6910"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79A44AE5" w14:textId="77777777" w:rsidR="000C1690" w:rsidRDefault="000C1690" w:rsidP="00034EC0">
            <w:pPr>
              <w:pStyle w:val="EC-Para"/>
              <w:rPr>
                <w:lang w:eastAsia="en-US"/>
              </w:rPr>
            </w:pPr>
            <w:proofErr w:type="spellStart"/>
            <w:r>
              <w:rPr>
                <w:lang w:eastAsia="en-US"/>
              </w:rPr>
              <w:t>Ciprofloxacin+cefotaxime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EDA2EAD" w14:textId="77777777" w:rsidR="000C1690" w:rsidRDefault="000C1690" w:rsidP="00034EC0">
            <w:pPr>
              <w:pStyle w:val="EC-Para"/>
              <w:rPr>
                <w:lang w:eastAsia="en-US"/>
              </w:rPr>
            </w:pPr>
            <w:r>
              <w:rPr>
                <w:lang w:eastAsia="en-US"/>
              </w:rPr>
              <w:t>Resistance to both agents, see criteria for respective agent</w:t>
            </w:r>
          </w:p>
        </w:tc>
        <w:tc>
          <w:tcPr>
            <w:tcW w:w="0" w:type="auto"/>
            <w:tcBorders>
              <w:top w:val="single" w:sz="4" w:space="0" w:color="000000"/>
              <w:left w:val="single" w:sz="4" w:space="0" w:color="000000"/>
              <w:bottom w:val="single" w:sz="4" w:space="0" w:color="000000"/>
              <w:right w:val="single" w:sz="4" w:space="0" w:color="000000"/>
            </w:tcBorders>
            <w:vAlign w:val="center"/>
          </w:tcPr>
          <w:p w14:paraId="033D6384" w14:textId="77777777" w:rsidR="000C1690" w:rsidRDefault="000C1690" w:rsidP="00034EC0">
            <w:pPr>
              <w:pStyle w:val="EC-Para"/>
              <w:rPr>
                <w:lang w:eastAsia="en-US"/>
              </w:rPr>
            </w:pPr>
            <w:r>
              <w:rPr>
                <w:lang w:eastAsia="en-US"/>
              </w:rPr>
              <w:t>Non-wild type to both agents, see criteria for respective agent</w:t>
            </w:r>
          </w:p>
        </w:tc>
      </w:tr>
    </w:tbl>
    <w:p w14:paraId="010E67CE" w14:textId="4448963E" w:rsidR="000C1690" w:rsidRPr="00894B69" w:rsidRDefault="000C1690" w:rsidP="00E0697D">
      <w:pPr>
        <w:pStyle w:val="EC-Para"/>
        <w:spacing w:after="60"/>
        <w:rPr>
          <w:lang w:eastAsia="en-US"/>
        </w:rPr>
      </w:pPr>
      <w:r>
        <w:rPr>
          <w:lang w:eastAsia="en-US"/>
        </w:rPr>
        <w:t xml:space="preserve">NA – not applicable; </w:t>
      </w:r>
      <w:r w:rsidR="00600EA5">
        <w:rPr>
          <w:vertAlign w:val="superscript"/>
          <w:lang w:eastAsia="en-US"/>
        </w:rPr>
        <w:t>1</w:t>
      </w:r>
      <w:r>
        <w:rPr>
          <w:lang w:eastAsia="en-US"/>
        </w:rPr>
        <w:t xml:space="preserve"> colistin only applicable for dilution method</w:t>
      </w:r>
      <w:r w:rsidR="00894B69">
        <w:rPr>
          <w:lang w:eastAsia="en-US"/>
        </w:rPr>
        <w:t xml:space="preserve">; </w:t>
      </w:r>
      <w:r w:rsidR="00894B69">
        <w:rPr>
          <w:vertAlign w:val="superscript"/>
          <w:lang w:eastAsia="en-US"/>
        </w:rPr>
        <w:t>2</w:t>
      </w:r>
      <w:r w:rsidR="00894B69">
        <w:rPr>
          <w:lang w:eastAsia="en-US"/>
        </w:rPr>
        <w:t xml:space="preserve"> </w:t>
      </w:r>
      <w:hyperlink r:id="rId71" w:history="1">
        <w:r w:rsidR="001C6E26">
          <w:rPr>
            <w:rStyle w:val="Hyperlink"/>
            <w:lang w:eastAsia="en-US"/>
          </w:rPr>
          <w:t>EFSA M</w:t>
        </w:r>
        <w:r w:rsidR="00565096" w:rsidRPr="00971175">
          <w:rPr>
            <w:rStyle w:val="Hyperlink"/>
            <w:lang w:eastAsia="en-US"/>
          </w:rPr>
          <w:t>anual for reporting 202</w:t>
        </w:r>
        <w:r w:rsidR="00B83F8E">
          <w:rPr>
            <w:rStyle w:val="Hyperlink"/>
            <w:lang w:eastAsia="en-US"/>
          </w:rPr>
          <w:t>2</w:t>
        </w:r>
        <w:r w:rsidR="00565096" w:rsidRPr="00971175">
          <w:rPr>
            <w:rStyle w:val="Hyperlink"/>
            <w:lang w:eastAsia="en-US"/>
          </w:rPr>
          <w:t xml:space="preserve"> antimicrobial resistance data within the framework of Directive 2003/99/EC and Decision 2020/1729/EU</w:t>
        </w:r>
      </w:hyperlink>
      <w:r w:rsidR="00565096">
        <w:rPr>
          <w:lang w:eastAsia="en-US"/>
        </w:rPr>
        <w:t>.</w:t>
      </w:r>
    </w:p>
    <w:p w14:paraId="20B0FDEA" w14:textId="77777777" w:rsidR="000C1690" w:rsidRDefault="000C1690" w:rsidP="000C1690">
      <w:pPr>
        <w:pStyle w:val="EC-Para"/>
        <w:jc w:val="both"/>
      </w:pPr>
    </w:p>
    <w:p w14:paraId="4109B6B3" w14:textId="77777777" w:rsidR="000C1690" w:rsidRPr="0072746F" w:rsidRDefault="000C1690" w:rsidP="0064770F">
      <w:pPr>
        <w:pStyle w:val="EC-Title-6"/>
      </w:pPr>
      <w:bookmarkStart w:id="62" w:name="_Toc99028481"/>
      <w:r w:rsidRPr="0072746F">
        <w:t xml:space="preserve">Surveillance </w:t>
      </w:r>
      <w:r w:rsidRPr="0064770F">
        <w:t>Atlas</w:t>
      </w:r>
      <w:r w:rsidRPr="0072746F">
        <w:t xml:space="preserve"> indicators</w:t>
      </w:r>
      <w:bookmarkEnd w:id="62"/>
    </w:p>
    <w:p w14:paraId="2CB2DB51" w14:textId="77777777" w:rsidR="000C1690" w:rsidRDefault="000C1690" w:rsidP="0064770F">
      <w:pPr>
        <w:pStyle w:val="EC-Para"/>
        <w:spacing w:before="60" w:afterLines="60" w:after="144" w:line="259" w:lineRule="auto"/>
        <w:rPr>
          <w:rFonts w:cs="Tahoma"/>
        </w:rPr>
      </w:pPr>
      <w:r w:rsidRPr="005E139C">
        <w:rPr>
          <w:rFonts w:cs="Tahoma"/>
        </w:rPr>
        <w:t>The Surveillan</w:t>
      </w:r>
      <w:r>
        <w:rPr>
          <w:rFonts w:cs="Tahoma"/>
        </w:rPr>
        <w:t xml:space="preserve">ce Atlas indicators for </w:t>
      </w:r>
      <w:r w:rsidRPr="004B735F">
        <w:rPr>
          <w:rFonts w:cs="Tahoma"/>
          <w:i/>
          <w:iCs/>
        </w:rPr>
        <w:t>Salmonella</w:t>
      </w:r>
      <w:r>
        <w:rPr>
          <w:rFonts w:cs="Tahoma"/>
        </w:rPr>
        <w:t xml:space="preserve"> antimicrobial resistance </w:t>
      </w:r>
      <w:r w:rsidRPr="005E139C">
        <w:rPr>
          <w:rFonts w:cs="Tahoma"/>
        </w:rPr>
        <w:t>are:</w:t>
      </w:r>
    </w:p>
    <w:p w14:paraId="64946BF8" w14:textId="77777777" w:rsidR="000C1690" w:rsidRPr="007B34B1" w:rsidRDefault="000C1690" w:rsidP="00452CE3">
      <w:pPr>
        <w:numPr>
          <w:ilvl w:val="0"/>
          <w:numId w:val="45"/>
        </w:numPr>
        <w:kinsoku w:val="0"/>
        <w:autoSpaceDE w:val="0"/>
        <w:autoSpaceDN w:val="0"/>
        <w:adjustRightInd w:val="0"/>
        <w:spacing w:before="60" w:afterLines="60" w:after="144"/>
        <w:rPr>
          <w:rFonts w:eastAsia="Arial Unicode MS" w:cs="Tahoma"/>
          <w:kern w:val="22"/>
          <w:szCs w:val="18"/>
        </w:rPr>
      </w:pPr>
      <w:r>
        <w:rPr>
          <w:rFonts w:eastAsia="Arial Unicode MS" w:cs="Tahoma"/>
          <w:kern w:val="22"/>
          <w:szCs w:val="18"/>
        </w:rPr>
        <w:t xml:space="preserve">Non-wild type (NWT) isolates </w:t>
      </w:r>
      <w:proofErr w:type="gramStart"/>
      <w:r>
        <w:rPr>
          <w:rFonts w:eastAsia="Arial Unicode MS" w:cs="Tahoma"/>
          <w:kern w:val="22"/>
          <w:szCs w:val="18"/>
        </w:rPr>
        <w:t>percentage</w:t>
      </w:r>
      <w:r w:rsidRPr="007B34B1">
        <w:rPr>
          <w:rFonts w:eastAsia="Arial Unicode MS" w:cs="Tahoma"/>
          <w:kern w:val="22"/>
          <w:szCs w:val="18"/>
        </w:rPr>
        <w:t>;</w:t>
      </w:r>
      <w:proofErr w:type="gramEnd"/>
    </w:p>
    <w:p w14:paraId="2CFEF61E" w14:textId="77777777" w:rsidR="000C1690" w:rsidRDefault="000C1690" w:rsidP="00452CE3">
      <w:pPr>
        <w:numPr>
          <w:ilvl w:val="0"/>
          <w:numId w:val="45"/>
        </w:numPr>
        <w:kinsoku w:val="0"/>
        <w:autoSpaceDE w:val="0"/>
        <w:autoSpaceDN w:val="0"/>
        <w:adjustRightInd w:val="0"/>
        <w:spacing w:before="60" w:afterLines="60" w:after="144"/>
        <w:rPr>
          <w:rFonts w:eastAsia="Arial Unicode MS" w:cs="Tahoma"/>
          <w:kern w:val="22"/>
          <w:szCs w:val="18"/>
        </w:rPr>
      </w:pPr>
      <w:r w:rsidRPr="007B34B1">
        <w:rPr>
          <w:rFonts w:eastAsia="Arial Unicode MS" w:cs="Tahoma"/>
          <w:kern w:val="22"/>
          <w:szCs w:val="18"/>
        </w:rPr>
        <w:t>No</w:t>
      </w:r>
      <w:r>
        <w:rPr>
          <w:rFonts w:eastAsia="Arial Unicode MS" w:cs="Tahoma"/>
          <w:kern w:val="22"/>
          <w:szCs w:val="18"/>
        </w:rPr>
        <w:t xml:space="preserve">n-wild type or I+R isolates </w:t>
      </w:r>
      <w:proofErr w:type="gramStart"/>
      <w:r>
        <w:rPr>
          <w:rFonts w:eastAsia="Arial Unicode MS" w:cs="Tahoma"/>
          <w:kern w:val="22"/>
          <w:szCs w:val="18"/>
        </w:rPr>
        <w:t>percentage</w:t>
      </w:r>
      <w:r w:rsidRPr="007B34B1">
        <w:rPr>
          <w:rFonts w:eastAsia="Arial Unicode MS" w:cs="Tahoma"/>
          <w:kern w:val="22"/>
          <w:szCs w:val="18"/>
        </w:rPr>
        <w:t>;</w:t>
      </w:r>
      <w:proofErr w:type="gramEnd"/>
    </w:p>
    <w:p w14:paraId="4C349B63" w14:textId="77777777" w:rsidR="000C1690" w:rsidRDefault="000C1690" w:rsidP="00452CE3">
      <w:pPr>
        <w:numPr>
          <w:ilvl w:val="0"/>
          <w:numId w:val="45"/>
        </w:numPr>
        <w:kinsoku w:val="0"/>
        <w:autoSpaceDE w:val="0"/>
        <w:autoSpaceDN w:val="0"/>
        <w:adjustRightInd w:val="0"/>
        <w:spacing w:before="60" w:afterLines="60" w:after="144"/>
        <w:rPr>
          <w:rFonts w:eastAsia="Arial Unicode MS" w:cs="Tahoma"/>
          <w:kern w:val="22"/>
          <w:szCs w:val="18"/>
        </w:rPr>
      </w:pPr>
      <w:r>
        <w:rPr>
          <w:rFonts w:eastAsia="Arial Unicode MS" w:cs="Tahoma"/>
          <w:kern w:val="22"/>
          <w:szCs w:val="18"/>
        </w:rPr>
        <w:t>Clinically resistant (R) isolates percentage</w:t>
      </w:r>
    </w:p>
    <w:p w14:paraId="193A118A" w14:textId="77777777" w:rsidR="000C1690" w:rsidRDefault="000C1690" w:rsidP="00452CE3">
      <w:pPr>
        <w:numPr>
          <w:ilvl w:val="0"/>
          <w:numId w:val="45"/>
        </w:numPr>
        <w:kinsoku w:val="0"/>
        <w:autoSpaceDE w:val="0"/>
        <w:autoSpaceDN w:val="0"/>
        <w:adjustRightInd w:val="0"/>
        <w:spacing w:before="60" w:afterLines="60" w:after="144"/>
        <w:rPr>
          <w:rFonts w:eastAsia="Arial Unicode MS" w:cs="Tahoma"/>
          <w:kern w:val="22"/>
          <w:szCs w:val="18"/>
        </w:rPr>
      </w:pPr>
      <w:r>
        <w:rPr>
          <w:rFonts w:eastAsia="Arial Unicode MS" w:cs="Tahoma"/>
          <w:kern w:val="22"/>
          <w:szCs w:val="18"/>
        </w:rPr>
        <w:t>Total tested isolates</w:t>
      </w:r>
    </w:p>
    <w:p w14:paraId="47F11B48" w14:textId="77777777" w:rsidR="000C1690" w:rsidRPr="00DB1F22" w:rsidRDefault="000C1690" w:rsidP="0064770F">
      <w:pPr>
        <w:kinsoku w:val="0"/>
        <w:autoSpaceDE w:val="0"/>
        <w:autoSpaceDN w:val="0"/>
        <w:adjustRightInd w:val="0"/>
        <w:spacing w:before="60" w:afterLines="60" w:after="144"/>
        <w:rPr>
          <w:rFonts w:eastAsia="Arial Unicode MS" w:cs="Tahoma"/>
          <w:kern w:val="22"/>
          <w:szCs w:val="18"/>
        </w:rPr>
      </w:pPr>
      <w:r w:rsidRPr="00DB1F22">
        <w:rPr>
          <w:rFonts w:eastAsia="Arial Unicode MS" w:cs="Tahoma"/>
          <w:kern w:val="22"/>
          <w:szCs w:val="18"/>
        </w:rPr>
        <w:t xml:space="preserve">For the </w:t>
      </w:r>
      <w:r w:rsidRPr="00DB1F22">
        <w:rPr>
          <w:rFonts w:eastAsia="Arial Unicode MS" w:cs="Tahoma"/>
          <w:kern w:val="22"/>
          <w:szCs w:val="18"/>
          <w:u w:val="single"/>
        </w:rPr>
        <w:t>resistance indicators</w:t>
      </w:r>
      <w:r w:rsidRPr="00DB1F22">
        <w:rPr>
          <w:rFonts w:eastAsia="Arial Unicode MS" w:cs="Tahoma"/>
          <w:kern w:val="22"/>
          <w:szCs w:val="18"/>
        </w:rPr>
        <w:t xml:space="preserve">, the data may be displayed in a bar chart as:  </w:t>
      </w:r>
    </w:p>
    <w:p w14:paraId="07B07852" w14:textId="77777777" w:rsidR="000C1690" w:rsidRPr="00DB1F22" w:rsidRDefault="000C1690" w:rsidP="0064770F">
      <w:pPr>
        <w:numPr>
          <w:ilvl w:val="0"/>
          <w:numId w:val="1"/>
        </w:numPr>
        <w:kinsoku w:val="0"/>
        <w:autoSpaceDE w:val="0"/>
        <w:autoSpaceDN w:val="0"/>
        <w:adjustRightInd w:val="0"/>
        <w:spacing w:before="60" w:afterLines="60" w:after="144"/>
        <w:rPr>
          <w:rFonts w:eastAsia="Arial Unicode MS" w:cs="Tahoma"/>
          <w:kern w:val="22"/>
          <w:szCs w:val="18"/>
        </w:rPr>
      </w:pPr>
      <w:r w:rsidRPr="00DB1F22">
        <w:rPr>
          <w:rFonts w:eastAsia="Arial Unicode MS" w:cs="Tahoma"/>
          <w:kern w:val="22"/>
          <w:szCs w:val="18"/>
        </w:rPr>
        <w:t>Proportion resistant isolates by age-group (for age groups 0-4, 5-14, 15-24, 25-44, 45-64, 65 years and above</w:t>
      </w:r>
      <w:proofErr w:type="gramStart"/>
      <w:r w:rsidRPr="00DB1F22">
        <w:rPr>
          <w:rFonts w:eastAsia="Arial Unicode MS" w:cs="Tahoma"/>
          <w:kern w:val="22"/>
          <w:szCs w:val="18"/>
        </w:rPr>
        <w:t>);</w:t>
      </w:r>
      <w:proofErr w:type="gramEnd"/>
    </w:p>
    <w:p w14:paraId="18048921" w14:textId="77777777" w:rsidR="000C1690" w:rsidRPr="00DB1F22" w:rsidRDefault="000C1690" w:rsidP="0064770F">
      <w:pPr>
        <w:numPr>
          <w:ilvl w:val="0"/>
          <w:numId w:val="1"/>
        </w:numPr>
        <w:kinsoku w:val="0"/>
        <w:autoSpaceDE w:val="0"/>
        <w:autoSpaceDN w:val="0"/>
        <w:adjustRightInd w:val="0"/>
        <w:spacing w:before="60" w:afterLines="60" w:after="144"/>
        <w:rPr>
          <w:rFonts w:eastAsia="Arial Unicode MS" w:cs="Tahoma"/>
          <w:kern w:val="22"/>
          <w:szCs w:val="18"/>
        </w:rPr>
      </w:pPr>
      <w:r w:rsidRPr="00DB1F22">
        <w:rPr>
          <w:rFonts w:eastAsia="Arial Unicode MS" w:cs="Tahoma"/>
          <w:kern w:val="22"/>
          <w:szCs w:val="18"/>
        </w:rPr>
        <w:t xml:space="preserve">Proportion resistant isolates by </w:t>
      </w:r>
      <w:proofErr w:type="gramStart"/>
      <w:r w:rsidRPr="00DB1F22">
        <w:rPr>
          <w:rFonts w:eastAsia="Arial Unicode MS" w:cs="Tahoma"/>
          <w:kern w:val="22"/>
          <w:szCs w:val="18"/>
        </w:rPr>
        <w:t>gender;</w:t>
      </w:r>
      <w:proofErr w:type="gramEnd"/>
    </w:p>
    <w:p w14:paraId="010D7854" w14:textId="77777777" w:rsidR="000C1690" w:rsidRPr="00DB1F22" w:rsidRDefault="000C1690" w:rsidP="0064770F">
      <w:pPr>
        <w:numPr>
          <w:ilvl w:val="0"/>
          <w:numId w:val="1"/>
        </w:numPr>
        <w:kinsoku w:val="0"/>
        <w:autoSpaceDE w:val="0"/>
        <w:autoSpaceDN w:val="0"/>
        <w:adjustRightInd w:val="0"/>
        <w:spacing w:before="60" w:afterLines="60" w:after="144"/>
        <w:rPr>
          <w:rFonts w:eastAsia="Arial Unicode MS" w:cs="Tahoma"/>
          <w:kern w:val="22"/>
          <w:szCs w:val="18"/>
        </w:rPr>
      </w:pPr>
      <w:r w:rsidRPr="00DB1F22">
        <w:rPr>
          <w:rFonts w:eastAsia="Arial Unicode MS" w:cs="Tahoma"/>
          <w:kern w:val="22"/>
          <w:szCs w:val="18"/>
        </w:rPr>
        <w:t xml:space="preserve">Proportion resistant isolates by geographical region, in case of travel-associated infections </w:t>
      </w:r>
    </w:p>
    <w:p w14:paraId="7CCDF0F9" w14:textId="77777777" w:rsidR="000C1690" w:rsidRDefault="000C1690" w:rsidP="000C1690">
      <w:pPr>
        <w:kinsoku w:val="0"/>
        <w:autoSpaceDE w:val="0"/>
        <w:autoSpaceDN w:val="0"/>
        <w:adjustRightInd w:val="0"/>
        <w:spacing w:line="200" w:lineRule="atLeast"/>
        <w:rPr>
          <w:rFonts w:eastAsia="Arial Unicode MS" w:cs="Tahoma"/>
          <w:kern w:val="22"/>
          <w:szCs w:val="18"/>
          <w:highlight w:val="yellow"/>
        </w:rPr>
      </w:pPr>
    </w:p>
    <w:p w14:paraId="03A28516" w14:textId="77777777" w:rsidR="000C1690" w:rsidRDefault="000C1690" w:rsidP="000C1690">
      <w:pPr>
        <w:pStyle w:val="EC-Para"/>
        <w:jc w:val="both"/>
      </w:pPr>
      <w:r>
        <w:t>Indicators are displayed as “</w:t>
      </w:r>
      <w:r w:rsidRPr="00321372">
        <w:rPr>
          <w:rFonts w:eastAsiaTheme="minorHAnsi" w:cs="Tahoma"/>
          <w:b/>
          <w:lang w:eastAsia="en-US"/>
        </w:rPr>
        <w:t>–</w:t>
      </w:r>
      <w:r>
        <w:t xml:space="preserve">” and not calculated for when fewer than 10 isolates had been tested for the selected combination (e.g. </w:t>
      </w:r>
      <w:r w:rsidRPr="004B735F">
        <w:rPr>
          <w:i/>
          <w:iCs/>
        </w:rPr>
        <w:t>Salmonella</w:t>
      </w:r>
      <w:r>
        <w:t xml:space="preserve"> serotype, importation status and antimicrobial) and </w:t>
      </w:r>
      <w:proofErr w:type="gramStart"/>
      <w:r>
        <w:t>time period</w:t>
      </w:r>
      <w:proofErr w:type="gramEnd"/>
      <w:r>
        <w:t>.</w:t>
      </w:r>
    </w:p>
    <w:p w14:paraId="0CD848FB" w14:textId="77777777" w:rsidR="000C1690" w:rsidRDefault="000C1690" w:rsidP="000C1690">
      <w:pPr>
        <w:pStyle w:val="ec-para0"/>
        <w:shd w:val="clear" w:color="auto" w:fill="FFFFFF"/>
        <w:spacing w:after="0"/>
        <w:jc w:val="both"/>
        <w:rPr>
          <w:rFonts w:ascii="Tahoma" w:eastAsia="Calibri" w:hAnsi="Tahoma" w:cs="Tahoma"/>
          <w:sz w:val="18"/>
          <w:szCs w:val="18"/>
          <w:lang w:eastAsia="en-US"/>
        </w:rPr>
      </w:pPr>
      <w:r w:rsidRPr="00572A82">
        <w:rPr>
          <w:rFonts w:ascii="Tahoma" w:eastAsia="Calibri" w:hAnsi="Tahoma" w:cs="Tahoma"/>
          <w:sz w:val="18"/>
          <w:szCs w:val="18"/>
          <w:lang w:eastAsia="en-US"/>
        </w:rPr>
        <w:t xml:space="preserve">Indicators by age group and gender are not displayed if more than 50% of cases have undocumented information (unknown or missing) for a given geographical resolution (e.g. country, EU/EEA) and </w:t>
      </w:r>
      <w:proofErr w:type="gramStart"/>
      <w:r w:rsidRPr="00572A82">
        <w:rPr>
          <w:rFonts w:ascii="Tahoma" w:eastAsia="Calibri" w:hAnsi="Tahoma" w:cs="Tahoma"/>
          <w:sz w:val="18"/>
          <w:szCs w:val="18"/>
          <w:lang w:eastAsia="en-US"/>
        </w:rPr>
        <w:t>time period</w:t>
      </w:r>
      <w:proofErr w:type="gramEnd"/>
      <w:r w:rsidRPr="00572A82">
        <w:rPr>
          <w:rFonts w:ascii="Tahoma" w:eastAsia="Calibri" w:hAnsi="Tahoma" w:cs="Tahoma"/>
          <w:sz w:val="18"/>
          <w:szCs w:val="18"/>
          <w:lang w:eastAsia="en-US"/>
        </w:rPr>
        <w:t>.</w:t>
      </w:r>
    </w:p>
    <w:p w14:paraId="60746A32" w14:textId="77777777" w:rsidR="000C1690" w:rsidRDefault="000C1690" w:rsidP="000C1690">
      <w:pPr>
        <w:pStyle w:val="ec-para0"/>
        <w:shd w:val="clear" w:color="auto" w:fill="FFFFFF"/>
        <w:spacing w:after="0"/>
        <w:jc w:val="both"/>
        <w:rPr>
          <w:rFonts w:ascii="Tahoma" w:eastAsia="Calibri" w:hAnsi="Tahoma" w:cs="Tahoma"/>
          <w:sz w:val="18"/>
          <w:szCs w:val="18"/>
          <w:lang w:eastAsia="en-US"/>
        </w:rPr>
      </w:pPr>
    </w:p>
    <w:p w14:paraId="6D1AF606" w14:textId="570634CE" w:rsidR="000C1690" w:rsidRPr="00572A82" w:rsidRDefault="000C1690" w:rsidP="000C1690">
      <w:pPr>
        <w:pStyle w:val="ec-para0"/>
        <w:shd w:val="clear" w:color="auto" w:fill="FFFFFF"/>
        <w:spacing w:after="0"/>
        <w:jc w:val="both"/>
        <w:rPr>
          <w:rFonts w:ascii="Tahoma" w:eastAsia="Calibri" w:hAnsi="Tahoma" w:cs="Tahoma"/>
          <w:sz w:val="18"/>
          <w:szCs w:val="18"/>
          <w:lang w:eastAsia="en-US"/>
        </w:rPr>
      </w:pPr>
      <w:r w:rsidRPr="008D3596">
        <w:rPr>
          <w:rFonts w:ascii="Tahoma" w:eastAsia="Calibri" w:hAnsi="Tahoma" w:cs="Tahoma"/>
          <w:sz w:val="18"/>
          <w:szCs w:val="18"/>
          <w:lang w:eastAsia="en-US"/>
        </w:rPr>
        <w:t xml:space="preserve">The Surveillance Atlas indicators were calculated </w:t>
      </w:r>
      <w:r>
        <w:rPr>
          <w:rFonts w:ascii="Tahoma" w:eastAsia="Calibri" w:hAnsi="Tahoma" w:cs="Tahoma"/>
          <w:sz w:val="18"/>
          <w:szCs w:val="18"/>
          <w:lang w:eastAsia="en-US"/>
        </w:rPr>
        <w:t xml:space="preserve">from 2013 </w:t>
      </w:r>
      <w:r w:rsidRPr="008D3596">
        <w:rPr>
          <w:rFonts w:ascii="Tahoma" w:eastAsia="Calibri" w:hAnsi="Tahoma" w:cs="Tahoma"/>
          <w:sz w:val="18"/>
          <w:szCs w:val="18"/>
          <w:lang w:eastAsia="en-US"/>
        </w:rPr>
        <w:t>up to the end of 20</w:t>
      </w:r>
      <w:r>
        <w:rPr>
          <w:rFonts w:ascii="Tahoma" w:eastAsia="Calibri" w:hAnsi="Tahoma" w:cs="Tahoma"/>
          <w:sz w:val="18"/>
          <w:szCs w:val="18"/>
          <w:lang w:eastAsia="en-US"/>
        </w:rPr>
        <w:t>2</w:t>
      </w:r>
      <w:r w:rsidR="00B83F8E">
        <w:rPr>
          <w:rFonts w:ascii="Tahoma" w:eastAsia="Calibri" w:hAnsi="Tahoma" w:cs="Tahoma"/>
          <w:sz w:val="18"/>
          <w:szCs w:val="18"/>
          <w:lang w:eastAsia="en-US"/>
        </w:rPr>
        <w:t>2</w:t>
      </w:r>
      <w:r w:rsidRPr="008D3596">
        <w:rPr>
          <w:rFonts w:ascii="Tahoma" w:eastAsia="Calibri" w:hAnsi="Tahoma" w:cs="Tahoma"/>
          <w:sz w:val="18"/>
          <w:szCs w:val="18"/>
          <w:lang w:eastAsia="en-US"/>
        </w:rPr>
        <w:t>.</w:t>
      </w:r>
    </w:p>
    <w:p w14:paraId="3E5D39AB" w14:textId="77777777" w:rsidR="000C1690" w:rsidRPr="00572A82" w:rsidRDefault="000C1690" w:rsidP="000C1690">
      <w:pPr>
        <w:kinsoku w:val="0"/>
        <w:autoSpaceDE w:val="0"/>
        <w:autoSpaceDN w:val="0"/>
        <w:adjustRightInd w:val="0"/>
        <w:spacing w:line="200" w:lineRule="atLeast"/>
        <w:rPr>
          <w:rFonts w:eastAsia="Arial Unicode MS" w:cs="Tahoma"/>
          <w:kern w:val="22"/>
          <w:szCs w:val="18"/>
        </w:rPr>
      </w:pPr>
    </w:p>
    <w:p w14:paraId="115AB394" w14:textId="44400C00" w:rsidR="00C75224" w:rsidRDefault="00C75224" w:rsidP="00C75224">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0C1690" w14:paraId="4A644304" w14:textId="77777777" w:rsidTr="00034EC0">
        <w:tc>
          <w:tcPr>
            <w:tcW w:w="1101" w:type="dxa"/>
            <w:tcBorders>
              <w:top w:val="single" w:sz="4" w:space="0" w:color="000000"/>
              <w:left w:val="single" w:sz="4" w:space="0" w:color="000000"/>
              <w:bottom w:val="single" w:sz="4" w:space="0" w:color="000000"/>
              <w:right w:val="single" w:sz="4" w:space="0" w:color="000000"/>
            </w:tcBorders>
            <w:shd w:val="clear" w:color="auto" w:fill="69AE23"/>
            <w:hideMark/>
          </w:tcPr>
          <w:p w14:paraId="7E547173" w14:textId="77777777" w:rsidR="000C1690" w:rsidRPr="00C57199" w:rsidRDefault="000C1690" w:rsidP="00034EC0">
            <w:pPr>
              <w:pStyle w:val="EC-Para"/>
              <w:rPr>
                <w:b/>
                <w:bCs/>
                <w:color w:val="FFFFFF" w:themeColor="background1"/>
                <w:lang w:eastAsia="en-US"/>
              </w:rPr>
            </w:pPr>
            <w:r w:rsidRPr="00C57199">
              <w:rPr>
                <w:b/>
                <w:bCs/>
                <w:color w:val="FFFFFF" w:themeColor="background1"/>
                <w:lang w:eastAsia="en-US"/>
              </w:rPr>
              <w:t>Symbol</w:t>
            </w:r>
          </w:p>
        </w:tc>
        <w:tc>
          <w:tcPr>
            <w:tcW w:w="5103" w:type="dxa"/>
            <w:tcBorders>
              <w:top w:val="single" w:sz="4" w:space="0" w:color="000000"/>
              <w:left w:val="single" w:sz="4" w:space="0" w:color="000000"/>
              <w:bottom w:val="single" w:sz="4" w:space="0" w:color="000000"/>
              <w:right w:val="single" w:sz="4" w:space="0" w:color="000000"/>
            </w:tcBorders>
            <w:shd w:val="clear" w:color="auto" w:fill="69AE23"/>
            <w:hideMark/>
          </w:tcPr>
          <w:p w14:paraId="08915486" w14:textId="77777777" w:rsidR="000C1690" w:rsidRPr="00C57199" w:rsidRDefault="000C1690" w:rsidP="00034EC0">
            <w:pPr>
              <w:pStyle w:val="EC-Para"/>
              <w:rPr>
                <w:b/>
                <w:bCs/>
                <w:color w:val="FFFFFF" w:themeColor="background1"/>
                <w:lang w:eastAsia="en-US"/>
              </w:rPr>
            </w:pPr>
            <w:r w:rsidRPr="00C57199">
              <w:rPr>
                <w:b/>
                <w:bCs/>
                <w:color w:val="FFFFFF" w:themeColor="background1"/>
                <w:lang w:eastAsia="en-US"/>
              </w:rPr>
              <w:t>Comment</w:t>
            </w:r>
          </w:p>
        </w:tc>
      </w:tr>
      <w:tr w:rsidR="000C1690" w14:paraId="383BBFA5" w14:textId="77777777" w:rsidTr="00034EC0">
        <w:tc>
          <w:tcPr>
            <w:tcW w:w="1101" w:type="dxa"/>
            <w:tcBorders>
              <w:top w:val="single" w:sz="4" w:space="0" w:color="000000"/>
              <w:left w:val="single" w:sz="4" w:space="0" w:color="000000"/>
              <w:bottom w:val="single" w:sz="4" w:space="0" w:color="000000"/>
              <w:right w:val="single" w:sz="4" w:space="0" w:color="000000"/>
            </w:tcBorders>
            <w:hideMark/>
          </w:tcPr>
          <w:p w14:paraId="036BBBFC" w14:textId="77777777" w:rsidR="000C1690" w:rsidRDefault="000C1690" w:rsidP="00034EC0">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717699E" w14:textId="77777777" w:rsidR="000C1690" w:rsidRDefault="000C1690" w:rsidP="00034EC0">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0C1690" w14:paraId="3663654F" w14:textId="77777777" w:rsidTr="00034EC0">
        <w:tc>
          <w:tcPr>
            <w:tcW w:w="1101" w:type="dxa"/>
            <w:tcBorders>
              <w:top w:val="single" w:sz="4" w:space="0" w:color="000000"/>
              <w:left w:val="single" w:sz="4" w:space="0" w:color="000000"/>
              <w:bottom w:val="single" w:sz="4" w:space="0" w:color="000000"/>
              <w:right w:val="single" w:sz="4" w:space="0" w:color="000000"/>
            </w:tcBorders>
            <w:hideMark/>
          </w:tcPr>
          <w:p w14:paraId="6733F056" w14:textId="77777777" w:rsidR="000C1690" w:rsidRDefault="000C1690" w:rsidP="00034EC0">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4E97F373" w14:textId="77777777" w:rsidR="000C1690" w:rsidRDefault="000C1690" w:rsidP="00034EC0">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1E325C12" w14:textId="77777777" w:rsidR="000C1690" w:rsidRDefault="000C1690" w:rsidP="000C1690">
      <w:pPr>
        <w:pStyle w:val="EC-Para"/>
        <w:rPr>
          <w:lang w:eastAsia="en-US"/>
        </w:rPr>
      </w:pPr>
    </w:p>
    <w:p w14:paraId="0D02E640" w14:textId="77777777" w:rsidR="000C1690" w:rsidRPr="005E0D54" w:rsidRDefault="000C1690" w:rsidP="000C1690">
      <w:pPr>
        <w:pStyle w:val="EC-Title-6"/>
      </w:pPr>
      <w:bookmarkStart w:id="63" w:name="_Toc99028482"/>
      <w:r w:rsidRPr="005E0D54">
        <w:t>Interpretation</w:t>
      </w:r>
      <w:bookmarkEnd w:id="63"/>
      <w:r w:rsidRPr="005E0D54">
        <w:t xml:space="preserve"> </w:t>
      </w:r>
    </w:p>
    <w:p w14:paraId="4347D235" w14:textId="77777777" w:rsidR="000C1690" w:rsidRDefault="000C1690" w:rsidP="000C1690">
      <w:pPr>
        <w:pStyle w:val="EC-Para"/>
        <w:jc w:val="both"/>
        <w:rPr>
          <w:rFonts w:cs="Tahoma"/>
          <w:lang w:eastAsia="en-US"/>
        </w:rPr>
      </w:pPr>
      <w:r w:rsidRPr="00D45E3C">
        <w:rPr>
          <w:rFonts w:eastAsiaTheme="minorHAnsi" w:cs="Tahoma"/>
          <w:lang w:eastAsia="en-US"/>
        </w:rPr>
        <w:t xml:space="preserve">The </w:t>
      </w:r>
      <w:r>
        <w:rPr>
          <w:rFonts w:eastAsiaTheme="minorHAnsi" w:cs="Tahoma"/>
          <w:lang w:eastAsia="en-US"/>
        </w:rPr>
        <w:t>data</w:t>
      </w:r>
      <w:r w:rsidRPr="00D45E3C">
        <w:rPr>
          <w:rFonts w:eastAsiaTheme="minorHAnsi" w:cs="Tahoma"/>
          <w:lang w:eastAsia="en-US"/>
        </w:rPr>
        <w:t xml:space="preserve">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w:t>
      </w:r>
      <w:r w:rsidRPr="00D45E3C">
        <w:rPr>
          <w:rFonts w:cs="Tahoma"/>
        </w:rPr>
        <w:t xml:space="preserve"> </w:t>
      </w:r>
      <w:r>
        <w:rPr>
          <w:rFonts w:cs="Tahoma"/>
        </w:rPr>
        <w:t xml:space="preserve">and so does </w:t>
      </w:r>
      <w:r w:rsidRPr="00C845AB">
        <w:rPr>
          <w:rFonts w:cs="Tahoma"/>
          <w:lang w:eastAsia="en-US"/>
        </w:rPr>
        <w:t xml:space="preserve">case under-ascertainment </w:t>
      </w:r>
      <w:r>
        <w:rPr>
          <w:rFonts w:cs="Tahoma"/>
          <w:lang w:eastAsia="en-US"/>
        </w:rPr>
        <w:t xml:space="preserve">and under-reporting </w:t>
      </w:r>
      <w:r w:rsidRPr="00C845AB">
        <w:rPr>
          <w:rFonts w:cs="Tahoma"/>
          <w:lang w:eastAsia="en-US"/>
        </w:rPr>
        <w:t>between countries</w:t>
      </w:r>
      <w:r>
        <w:rPr>
          <w:rFonts w:cs="Tahoma"/>
          <w:lang w:eastAsia="en-US"/>
        </w:rPr>
        <w:t xml:space="preserve">. </w:t>
      </w:r>
    </w:p>
    <w:p w14:paraId="3558147F" w14:textId="77777777" w:rsidR="000C1690" w:rsidRDefault="000C1690" w:rsidP="000C1690">
      <w:pPr>
        <w:pStyle w:val="EC-Para"/>
        <w:jc w:val="both"/>
      </w:pPr>
      <w:r w:rsidRPr="002B6A09">
        <w:t xml:space="preserve">All data </w:t>
      </w:r>
      <w:r>
        <w:t xml:space="preserve">provided as </w:t>
      </w:r>
      <w:r w:rsidRPr="002B6A09">
        <w:t xml:space="preserve">measured MIC or zone mm values were results of </w:t>
      </w:r>
      <w:r>
        <w:t xml:space="preserve">antimicrobial susceptibility testing </w:t>
      </w:r>
      <w:r w:rsidRPr="002B6A09">
        <w:t xml:space="preserve">at the </w:t>
      </w:r>
      <w:r w:rsidRPr="004315FF">
        <w:t>NPHRLs</w:t>
      </w:r>
      <w:r w:rsidRPr="002B6A09">
        <w:t xml:space="preserve">, </w:t>
      </w:r>
      <w:proofErr w:type="gramStart"/>
      <w:r w:rsidRPr="002B6A09">
        <w:t>with the exception of</w:t>
      </w:r>
      <w:proofErr w:type="gramEnd"/>
      <w:r w:rsidRPr="002B6A09">
        <w:t xml:space="preserve"> Italy for </w:t>
      </w:r>
      <w:r w:rsidRPr="002B6A09">
        <w:rPr>
          <w:i/>
        </w:rPr>
        <w:t>Salmonella</w:t>
      </w:r>
      <w:r w:rsidRPr="002B6A09">
        <w:t xml:space="preserve"> where two regional laboratories also contribut</w:t>
      </w:r>
      <w:r>
        <w:t>ed.</w:t>
      </w:r>
      <w:r w:rsidRPr="002B6A09">
        <w:t xml:space="preserve"> </w:t>
      </w:r>
      <w:r>
        <w:t xml:space="preserve">The NPHRLs participate in external quality assessments arranged by ECDC to maintain a high data quality. The submission of isolates to the NPHRLs however vary by country – in some countries, all </w:t>
      </w:r>
      <w:r w:rsidRPr="009879B8">
        <w:rPr>
          <w:i/>
          <w:iCs/>
        </w:rPr>
        <w:t>Salmonella</w:t>
      </w:r>
      <w:r>
        <w:t xml:space="preserve"> isolated from human infections are sent to the NPHRL while in others, isolates may be sent only when further typing is deemed necessary, in outbreak situations or is focused on specific serotypes. </w:t>
      </w:r>
      <w:r w:rsidRPr="002B6A09">
        <w:t xml:space="preserve">Data interpreted with clinical breakpoints </w:t>
      </w:r>
      <w:r>
        <w:t>are</w:t>
      </w:r>
      <w:r w:rsidRPr="002B6A09">
        <w:t xml:space="preserve"> normally from local or regional laboratories and reported together with the information on the clinical case. In these cases, </w:t>
      </w:r>
      <w:r>
        <w:t xml:space="preserve">the antimicrobial susceptibility testing </w:t>
      </w:r>
      <w:r w:rsidRPr="002B6A09">
        <w:t>ha</w:t>
      </w:r>
      <w:r>
        <w:t>s</w:t>
      </w:r>
      <w:r w:rsidRPr="002B6A09">
        <w:t xml:space="preserve"> primarily been performed with the purpose of treatment of the case rather than AMR monitoring. For this reason, the number of tests per antimicrobial varie</w:t>
      </w:r>
      <w:r>
        <w:t>s</w:t>
      </w:r>
      <w:r w:rsidRPr="002B6A09">
        <w:t>.</w:t>
      </w:r>
    </w:p>
    <w:p w14:paraId="0F170C6E" w14:textId="77777777" w:rsidR="000C1690" w:rsidRPr="007035BD" w:rsidRDefault="000C1690" w:rsidP="000C1690">
      <w:pPr>
        <w:pStyle w:val="TextText"/>
        <w:spacing w:before="0" w:after="120" w:line="240" w:lineRule="auto"/>
        <w:rPr>
          <w:rFonts w:ascii="Tahoma" w:eastAsia="Arial Unicode MS" w:hAnsi="Tahoma" w:cs="Times New Roman"/>
          <w:color w:val="auto"/>
          <w:kern w:val="22"/>
          <w:sz w:val="18"/>
          <w:szCs w:val="18"/>
          <w:lang w:eastAsia="ko-KR"/>
        </w:rPr>
      </w:pPr>
      <w:r w:rsidRPr="007035BD">
        <w:rPr>
          <w:rFonts w:ascii="Tahoma" w:eastAsia="Arial Unicode MS" w:hAnsi="Tahoma" w:cs="Times New Roman"/>
          <w:color w:val="auto"/>
          <w:kern w:val="22"/>
          <w:sz w:val="18"/>
          <w:szCs w:val="18"/>
          <w:lang w:eastAsia="ko-KR"/>
        </w:rPr>
        <w:t xml:space="preserve">The guidelines for clinical breakpoints vary among countries in Europe, and in some instances even between laboratories in the same country. By now, most European laboratories have changed from CLSI to EUCAST clinical guidelines. As a result, the interpretation of results may </w:t>
      </w:r>
      <w:r>
        <w:rPr>
          <w:rFonts w:ascii="Tahoma" w:eastAsia="Arial Unicode MS" w:hAnsi="Tahoma" w:cs="Times New Roman"/>
          <w:color w:val="auto"/>
          <w:kern w:val="22"/>
          <w:sz w:val="18"/>
          <w:szCs w:val="18"/>
          <w:lang w:eastAsia="ko-KR"/>
        </w:rPr>
        <w:t xml:space="preserve">have </w:t>
      </w:r>
      <w:r w:rsidRPr="007035BD">
        <w:rPr>
          <w:rFonts w:ascii="Tahoma" w:eastAsia="Arial Unicode MS" w:hAnsi="Tahoma" w:cs="Times New Roman"/>
          <w:color w:val="auto"/>
          <w:kern w:val="22"/>
          <w:sz w:val="18"/>
          <w:szCs w:val="18"/>
          <w:lang w:eastAsia="ko-KR"/>
        </w:rPr>
        <w:t>change</w:t>
      </w:r>
      <w:r>
        <w:rPr>
          <w:rFonts w:ascii="Tahoma" w:eastAsia="Arial Unicode MS" w:hAnsi="Tahoma" w:cs="Times New Roman"/>
          <w:color w:val="auto"/>
          <w:kern w:val="22"/>
          <w:sz w:val="18"/>
          <w:szCs w:val="18"/>
          <w:lang w:eastAsia="ko-KR"/>
        </w:rPr>
        <w:t>d</w:t>
      </w:r>
      <w:r w:rsidRPr="007035BD">
        <w:rPr>
          <w:rFonts w:ascii="Tahoma" w:eastAsia="Arial Unicode MS" w:hAnsi="Tahoma" w:cs="Times New Roman"/>
          <w:color w:val="auto"/>
          <w:kern w:val="22"/>
          <w:sz w:val="18"/>
          <w:szCs w:val="18"/>
          <w:lang w:eastAsia="ko-KR"/>
        </w:rPr>
        <w:t xml:space="preserve"> over time. In addition, clinical breakpoints may change over time, as breakpoints may be revised. This is particularly the case for ciprofloxacin where the EUCAST clinical breakpoint for </w:t>
      </w:r>
      <w:r w:rsidRPr="007035BD">
        <w:rPr>
          <w:rFonts w:ascii="Tahoma" w:eastAsia="Arial Unicode MS" w:hAnsi="Tahoma" w:cs="Times New Roman"/>
          <w:i/>
          <w:iCs/>
          <w:color w:val="auto"/>
          <w:kern w:val="22"/>
          <w:sz w:val="18"/>
          <w:szCs w:val="18"/>
          <w:lang w:eastAsia="ko-KR"/>
        </w:rPr>
        <w:t>Salmonella</w:t>
      </w:r>
      <w:r w:rsidRPr="007035BD">
        <w:rPr>
          <w:rFonts w:ascii="Tahoma" w:eastAsia="Arial Unicode MS" w:hAnsi="Tahoma" w:cs="Times New Roman"/>
          <w:color w:val="auto"/>
          <w:kern w:val="22"/>
          <w:sz w:val="18"/>
          <w:szCs w:val="18"/>
          <w:lang w:eastAsia="ko-KR"/>
        </w:rPr>
        <w:t xml:space="preserve"> was significantly lowered in 2014. </w:t>
      </w:r>
      <w:r>
        <w:rPr>
          <w:rFonts w:ascii="Tahoma" w:eastAsia="Arial Unicode MS" w:hAnsi="Tahoma" w:cs="Times New Roman"/>
          <w:color w:val="auto"/>
          <w:kern w:val="22"/>
          <w:sz w:val="18"/>
          <w:szCs w:val="18"/>
          <w:lang w:eastAsia="ko-KR"/>
        </w:rPr>
        <w:t xml:space="preserve">As countries implemented this change at different times, </w:t>
      </w:r>
      <w:r w:rsidRPr="007035BD">
        <w:rPr>
          <w:rFonts w:ascii="Tahoma" w:eastAsia="Arial Unicode MS" w:hAnsi="Tahoma" w:cs="Times New Roman"/>
          <w:color w:val="auto"/>
          <w:kern w:val="22"/>
          <w:sz w:val="18"/>
          <w:szCs w:val="18"/>
          <w:lang w:eastAsia="ko-KR"/>
        </w:rPr>
        <w:t>a combined resistance to fluoroquinolones and quinolones is also presented to circumvent th</w:t>
      </w:r>
      <w:r>
        <w:rPr>
          <w:rFonts w:ascii="Tahoma" w:eastAsia="Arial Unicode MS" w:hAnsi="Tahoma" w:cs="Times New Roman"/>
          <w:color w:val="auto"/>
          <w:kern w:val="22"/>
          <w:sz w:val="18"/>
          <w:szCs w:val="18"/>
          <w:lang w:eastAsia="ko-KR"/>
        </w:rPr>
        <w:t>is problem</w:t>
      </w:r>
      <w:r w:rsidRPr="007035BD">
        <w:rPr>
          <w:rFonts w:ascii="Tahoma" w:eastAsia="Arial Unicode MS" w:hAnsi="Tahoma" w:cs="Times New Roman"/>
          <w:color w:val="auto"/>
          <w:kern w:val="22"/>
          <w:sz w:val="18"/>
          <w:szCs w:val="18"/>
          <w:lang w:eastAsia="ko-KR"/>
        </w:rPr>
        <w:t xml:space="preserve">. For data submitted as quantitative values, the current breakpoints are applied also to historical data. </w:t>
      </w:r>
    </w:p>
    <w:p w14:paraId="02448599" w14:textId="77777777" w:rsidR="000C1690" w:rsidRPr="009C0EDC" w:rsidRDefault="000C1690" w:rsidP="000C1690">
      <w:pPr>
        <w:pStyle w:val="EC-Para"/>
        <w:jc w:val="both"/>
      </w:pPr>
      <w:r w:rsidRPr="00767A99">
        <w:t xml:space="preserve">In </w:t>
      </w:r>
      <w:r w:rsidRPr="00767A99">
        <w:rPr>
          <w:i/>
          <w:iCs/>
        </w:rPr>
        <w:t>Salmonella</w:t>
      </w:r>
      <w:r w:rsidRPr="00767A99">
        <w:t xml:space="preserve">, clonal spread is </w:t>
      </w:r>
      <w:proofErr w:type="gramStart"/>
      <w:r w:rsidRPr="00767A99">
        <w:t>occurring</w:t>
      </w:r>
      <w:proofErr w:type="gramEnd"/>
      <w:r w:rsidRPr="00767A99">
        <w:t xml:space="preserve"> </w:t>
      </w:r>
      <w:r>
        <w:t xml:space="preserve">and certain resistance patterns are commonly associated with specific </w:t>
      </w:r>
      <w:r w:rsidRPr="00A10EF7">
        <w:rPr>
          <w:i/>
          <w:iCs/>
        </w:rPr>
        <w:t>Salmonella</w:t>
      </w:r>
      <w:r>
        <w:t xml:space="preserve"> serotypes, e.g. </w:t>
      </w:r>
      <w:r w:rsidRPr="00767A99">
        <w:t xml:space="preserve">resistance </w:t>
      </w:r>
      <w:r>
        <w:t xml:space="preserve">to ampicillin, streptomycin, </w:t>
      </w:r>
      <w:proofErr w:type="spellStart"/>
      <w:r>
        <w:t>sulfonamides</w:t>
      </w:r>
      <w:proofErr w:type="spellEnd"/>
      <w:r>
        <w:t xml:space="preserve"> and tetracycline (</w:t>
      </w:r>
      <w:proofErr w:type="spellStart"/>
      <w:r>
        <w:t>ASSuT</w:t>
      </w:r>
      <w:proofErr w:type="spellEnd"/>
      <w:r>
        <w:t xml:space="preserve">) in </w:t>
      </w:r>
      <w:r w:rsidRPr="00767A99">
        <w:t xml:space="preserve">monophasic </w:t>
      </w:r>
      <w:r w:rsidRPr="00A10EF7">
        <w:rPr>
          <w:i/>
          <w:iCs/>
        </w:rPr>
        <w:t>S</w:t>
      </w:r>
      <w:r w:rsidRPr="00767A99">
        <w:t>. Typhimurium DT193</w:t>
      </w:r>
      <w:r>
        <w:t xml:space="preserve"> and </w:t>
      </w:r>
      <w:r w:rsidRPr="00767A99">
        <w:t xml:space="preserve">highly-ciprofloxacin resistant and multidrug-resistant </w:t>
      </w:r>
      <w:r w:rsidRPr="00A10EF7">
        <w:rPr>
          <w:i/>
          <w:iCs/>
        </w:rPr>
        <w:t>S</w:t>
      </w:r>
      <w:r w:rsidRPr="00767A99">
        <w:t>. Kentucky ST198.</w:t>
      </w:r>
      <w:r>
        <w:t xml:space="preserve"> As t</w:t>
      </w:r>
      <w:r w:rsidRPr="00C33D3F">
        <w:rPr>
          <w:rFonts w:cs="Tahoma"/>
          <w:iCs/>
        </w:rPr>
        <w:t xml:space="preserve">he serovar distribution within </w:t>
      </w:r>
      <w:r w:rsidRPr="00C33D3F">
        <w:rPr>
          <w:rFonts w:cs="Tahoma"/>
          <w:i/>
          <w:iCs/>
        </w:rPr>
        <w:t>Salmonella</w:t>
      </w:r>
      <w:r w:rsidRPr="00C33D3F">
        <w:rPr>
          <w:rFonts w:cs="Tahoma"/>
          <w:iCs/>
        </w:rPr>
        <w:t xml:space="preserve"> spp. varies by country depending on their frequency among human cases and/or specific sampling strategies for further typing and </w:t>
      </w:r>
      <w:r>
        <w:rPr>
          <w:rFonts w:cs="Tahoma"/>
          <w:iCs/>
        </w:rPr>
        <w:t>susceptibility testing</w:t>
      </w:r>
      <w:r w:rsidRPr="00C33D3F">
        <w:rPr>
          <w:rFonts w:cs="Tahoma"/>
          <w:iCs/>
        </w:rPr>
        <w:t xml:space="preserve"> at the </w:t>
      </w:r>
      <w:r>
        <w:rPr>
          <w:rFonts w:cs="Tahoma"/>
          <w:iCs/>
        </w:rPr>
        <w:t xml:space="preserve">NPHRLs, </w:t>
      </w:r>
      <w:r w:rsidRPr="00C33D3F">
        <w:rPr>
          <w:rFonts w:cs="Tahoma"/>
          <w:iCs/>
        </w:rPr>
        <w:t xml:space="preserve">comparisons </w:t>
      </w:r>
      <w:r w:rsidRPr="009C0EDC">
        <w:rPr>
          <w:rFonts w:cs="Tahoma"/>
          <w:iCs/>
        </w:rPr>
        <w:t xml:space="preserve">between countries should be avoided at the level of </w:t>
      </w:r>
      <w:r w:rsidRPr="009C0EDC">
        <w:rPr>
          <w:rFonts w:cs="Tahoma"/>
          <w:i/>
          <w:iCs/>
        </w:rPr>
        <w:t>Salmonella</w:t>
      </w:r>
      <w:r w:rsidRPr="009C0EDC">
        <w:rPr>
          <w:rFonts w:cs="Tahoma"/>
          <w:iCs/>
        </w:rPr>
        <w:t xml:space="preserve"> spp.</w:t>
      </w:r>
    </w:p>
    <w:p w14:paraId="19C5E373" w14:textId="77777777" w:rsidR="000C1690" w:rsidRDefault="000C1690" w:rsidP="000C1690">
      <w:pPr>
        <w:pStyle w:val="EC-Para"/>
        <w:jc w:val="both"/>
      </w:pPr>
      <w:r w:rsidRPr="009C0EDC">
        <w:rPr>
          <w:rFonts w:cs="Tahoma"/>
          <w:lang w:eastAsia="en-US"/>
        </w:rPr>
        <w:t xml:space="preserve">The completeness of the travel history varies between countries and years; some countries </w:t>
      </w:r>
      <w:proofErr w:type="gramStart"/>
      <w:r w:rsidRPr="009C0EDC">
        <w:rPr>
          <w:rFonts w:cs="Tahoma"/>
          <w:lang w:eastAsia="en-US"/>
        </w:rPr>
        <w:t>are able to</w:t>
      </w:r>
      <w:proofErr w:type="gramEnd"/>
      <w:r w:rsidRPr="009C0EDC">
        <w:rPr>
          <w:rFonts w:cs="Tahoma"/>
          <w:lang w:eastAsia="en-US"/>
        </w:rPr>
        <w:t xml:space="preserve"> collect and integrate this type of information from different sources, other countries are not. </w:t>
      </w:r>
      <w:r>
        <w:rPr>
          <w:rFonts w:cs="Tahoma"/>
          <w:lang w:eastAsia="en-US"/>
        </w:rPr>
        <w:t xml:space="preserve">For </w:t>
      </w:r>
      <w:r w:rsidRPr="005B0641">
        <w:rPr>
          <w:rFonts w:cs="Tahoma"/>
          <w:i/>
          <w:iCs/>
          <w:lang w:eastAsia="en-US"/>
        </w:rPr>
        <w:t>Salmonella</w:t>
      </w:r>
      <w:r>
        <w:rPr>
          <w:rFonts w:cs="Tahoma"/>
          <w:lang w:eastAsia="en-US"/>
        </w:rPr>
        <w:t xml:space="preserve"> AMR data, i</w:t>
      </w:r>
      <w:r w:rsidRPr="009C0EDC">
        <w:rPr>
          <w:rFonts w:cs="Tahoma"/>
          <w:lang w:eastAsia="en-US"/>
        </w:rPr>
        <w:t xml:space="preserve">nformation on travel status is </w:t>
      </w:r>
      <w:r>
        <w:rPr>
          <w:rFonts w:cs="Tahoma"/>
          <w:lang w:eastAsia="en-US"/>
        </w:rPr>
        <w:t>lacking</w:t>
      </w:r>
      <w:r w:rsidRPr="009C0EDC">
        <w:rPr>
          <w:rFonts w:cs="Tahoma"/>
          <w:lang w:eastAsia="en-US"/>
        </w:rPr>
        <w:t xml:space="preserve"> from many countries</w:t>
      </w:r>
      <w:r>
        <w:rPr>
          <w:rFonts w:cs="Tahoma"/>
          <w:lang w:eastAsia="en-US"/>
        </w:rPr>
        <w:t>. F</w:t>
      </w:r>
      <w:r w:rsidRPr="009C0EDC">
        <w:rPr>
          <w:rFonts w:cs="Tahoma"/>
          <w:lang w:eastAsia="en-US"/>
        </w:rPr>
        <w:t xml:space="preserve">or that reason, </w:t>
      </w:r>
      <w:r>
        <w:rPr>
          <w:rFonts w:cs="Tahoma"/>
          <w:lang w:eastAsia="en-US"/>
        </w:rPr>
        <w:t>the category ‘</w:t>
      </w:r>
      <w:r w:rsidRPr="009C0EDC">
        <w:rPr>
          <w:rFonts w:cs="Tahoma"/>
          <w:lang w:eastAsia="en-US"/>
        </w:rPr>
        <w:t>domestic or unknown</w:t>
      </w:r>
      <w:r>
        <w:rPr>
          <w:rFonts w:cs="Tahoma"/>
          <w:lang w:eastAsia="en-US"/>
        </w:rPr>
        <w:t xml:space="preserve">’ can be selected </w:t>
      </w:r>
      <w:r w:rsidRPr="009C0EDC">
        <w:rPr>
          <w:rFonts w:cs="Tahoma"/>
          <w:lang w:eastAsia="en-US"/>
        </w:rPr>
        <w:t>as it is anticipated that</w:t>
      </w:r>
      <w:r>
        <w:rPr>
          <w:rFonts w:cs="Tahoma"/>
          <w:lang w:eastAsia="en-US"/>
        </w:rPr>
        <w:t xml:space="preserve"> a</w:t>
      </w:r>
      <w:r w:rsidRPr="009C0EDC">
        <w:rPr>
          <w:rFonts w:cs="Tahoma"/>
          <w:lang w:eastAsia="en-US"/>
        </w:rPr>
        <w:t xml:space="preserve"> </w:t>
      </w:r>
      <w:r>
        <w:rPr>
          <w:rFonts w:cs="Tahoma"/>
          <w:lang w:eastAsia="en-US"/>
        </w:rPr>
        <w:t xml:space="preserve">missing value is more likely to represent no travel as travel-related infections are more likely to be notified as such by the doctor.  </w:t>
      </w:r>
      <w:r w:rsidRPr="007035BD">
        <w:t xml:space="preserve"> </w:t>
      </w:r>
    </w:p>
    <w:p w14:paraId="57B37457" w14:textId="21B79BE2" w:rsidR="000C1690" w:rsidRPr="00BA1B2C" w:rsidRDefault="000C1690" w:rsidP="000C1690">
      <w:pPr>
        <w:pStyle w:val="EFSABodytext"/>
        <w:rPr>
          <w:sz w:val="18"/>
          <w:szCs w:val="18"/>
        </w:rPr>
      </w:pPr>
      <w:r>
        <w:rPr>
          <w:sz w:val="18"/>
          <w:szCs w:val="18"/>
          <w:lang w:eastAsia="fr-FR"/>
        </w:rPr>
        <w:t>For</w:t>
      </w:r>
      <w:r w:rsidRPr="00BA1B2C">
        <w:rPr>
          <w:sz w:val="18"/>
          <w:szCs w:val="18"/>
          <w:lang w:eastAsia="fr-FR"/>
        </w:rPr>
        <w:t xml:space="preserve"> 202</w:t>
      </w:r>
      <w:r w:rsidR="00B83F8E">
        <w:rPr>
          <w:sz w:val="18"/>
          <w:szCs w:val="18"/>
          <w:lang w:eastAsia="fr-FR"/>
        </w:rPr>
        <w:t>2</w:t>
      </w:r>
      <w:r w:rsidRPr="00BA1B2C">
        <w:rPr>
          <w:sz w:val="18"/>
          <w:szCs w:val="18"/>
          <w:lang w:eastAsia="fr-FR"/>
        </w:rPr>
        <w:t xml:space="preserve">, information on AMR in </w:t>
      </w:r>
      <w:r w:rsidRPr="00BA1B2C">
        <w:rPr>
          <w:i/>
          <w:sz w:val="18"/>
          <w:szCs w:val="18"/>
          <w:lang w:eastAsia="fr-FR"/>
        </w:rPr>
        <w:t>Salmonella</w:t>
      </w:r>
      <w:r w:rsidRPr="00BA1B2C">
        <w:rPr>
          <w:sz w:val="18"/>
          <w:szCs w:val="18"/>
          <w:lang w:eastAsia="fr-FR"/>
        </w:rPr>
        <w:t xml:space="preserve"> isolates from human clinical cases was reported by 2</w:t>
      </w:r>
      <w:r w:rsidR="00B83F8E">
        <w:rPr>
          <w:sz w:val="18"/>
          <w:szCs w:val="18"/>
          <w:lang w:eastAsia="fr-FR"/>
        </w:rPr>
        <w:t>9</w:t>
      </w:r>
      <w:r w:rsidRPr="00BA1B2C">
        <w:rPr>
          <w:sz w:val="18"/>
          <w:szCs w:val="18"/>
          <w:lang w:eastAsia="fr-FR"/>
        </w:rPr>
        <w:t xml:space="preserve"> EU/EEA countries. </w:t>
      </w:r>
      <w:r w:rsidR="0069116D" w:rsidRPr="0069116D">
        <w:rPr>
          <w:sz w:val="18"/>
          <w:szCs w:val="18"/>
          <w:lang w:eastAsia="fr-FR"/>
        </w:rPr>
        <w:t>No data f</w:t>
      </w:r>
      <w:r w:rsidR="00B83F8E">
        <w:rPr>
          <w:sz w:val="18"/>
          <w:szCs w:val="18"/>
          <w:lang w:eastAsia="fr-FR"/>
        </w:rPr>
        <w:t>rom 2020 onwards</w:t>
      </w:r>
      <w:r w:rsidR="0069116D" w:rsidRPr="0069116D">
        <w:rPr>
          <w:sz w:val="18"/>
          <w:szCs w:val="18"/>
          <w:lang w:eastAsia="fr-FR"/>
        </w:rPr>
        <w:t xml:space="preserve"> w</w:t>
      </w:r>
      <w:r w:rsidR="0069116D">
        <w:rPr>
          <w:sz w:val="18"/>
          <w:szCs w:val="18"/>
          <w:lang w:eastAsia="fr-FR"/>
        </w:rPr>
        <w:t>ere</w:t>
      </w:r>
      <w:r w:rsidR="0069116D" w:rsidRPr="0069116D">
        <w:rPr>
          <w:sz w:val="18"/>
          <w:szCs w:val="18"/>
          <w:lang w:eastAsia="fr-FR"/>
        </w:rPr>
        <w:t xml:space="preserve"> reported by the United Kingdom due to its withdrawal from the EU on 30 January 2020</w:t>
      </w:r>
      <w:r w:rsidRPr="00BA1B2C">
        <w:rPr>
          <w:sz w:val="18"/>
          <w:szCs w:val="18"/>
          <w:lang w:eastAsia="fr-FR"/>
        </w:rPr>
        <w:t xml:space="preserve">. </w:t>
      </w:r>
    </w:p>
    <w:p w14:paraId="1A831BFA" w14:textId="77777777" w:rsidR="000C1690" w:rsidRPr="007035BD" w:rsidRDefault="000C1690" w:rsidP="000C1690">
      <w:pPr>
        <w:pStyle w:val="EC-Para"/>
        <w:jc w:val="both"/>
      </w:pPr>
    </w:p>
    <w:p w14:paraId="32D50EA7" w14:textId="77777777" w:rsidR="000C1690" w:rsidRPr="005E0D54" w:rsidRDefault="000C1690" w:rsidP="000C1690">
      <w:pPr>
        <w:pStyle w:val="EC-Title-6"/>
        <w:rPr>
          <w:rStyle w:val="Hyperlink"/>
          <w:sz w:val="26"/>
        </w:rPr>
      </w:pPr>
      <w:bookmarkStart w:id="64" w:name="_Toc99028483"/>
      <w:r w:rsidRPr="005E0D54">
        <w:rPr>
          <w:rStyle w:val="Hyperlink"/>
          <w:sz w:val="26"/>
        </w:rPr>
        <w:t>Reports published by ECDC on Salmonella AMR</w:t>
      </w:r>
      <w:bookmarkEnd w:id="64"/>
      <w:r w:rsidRPr="005E0D54">
        <w:rPr>
          <w:rStyle w:val="Hyperlink"/>
          <w:sz w:val="26"/>
        </w:rPr>
        <w:t xml:space="preserve"> </w:t>
      </w:r>
    </w:p>
    <w:p w14:paraId="329FE56D" w14:textId="77777777" w:rsidR="000C1690" w:rsidRDefault="000C1690" w:rsidP="000C1690">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3B314863" w14:textId="38993665" w:rsidR="000C1690" w:rsidRPr="009D4D86" w:rsidRDefault="000C1690" w:rsidP="000C1690">
      <w:pPr>
        <w:pStyle w:val="EC-Para"/>
        <w:spacing w:after="0"/>
        <w:rPr>
          <w:b/>
        </w:rPr>
      </w:pPr>
      <w:r w:rsidRPr="009D4D86">
        <w:rPr>
          <w:b/>
        </w:rPr>
        <w:t>EFSA and ECDC, 202</w:t>
      </w:r>
      <w:r w:rsidR="0091638A">
        <w:rPr>
          <w:b/>
        </w:rPr>
        <w:t>3</w:t>
      </w:r>
      <w:r w:rsidRPr="009D4D86">
        <w:rPr>
          <w:b/>
        </w:rPr>
        <w:t>. The European Union Summary Report on Antimicrobial Resistance in zoonotic and indicator bacteria from humans, animals and food in 20</w:t>
      </w:r>
      <w:r w:rsidR="00D3353D" w:rsidRPr="009D4D86">
        <w:rPr>
          <w:b/>
        </w:rPr>
        <w:t>20</w:t>
      </w:r>
      <w:r w:rsidRPr="009D4D86">
        <w:rPr>
          <w:b/>
        </w:rPr>
        <w:t>/20</w:t>
      </w:r>
      <w:r w:rsidR="00D3353D" w:rsidRPr="009D4D86">
        <w:rPr>
          <w:b/>
        </w:rPr>
        <w:t>2</w:t>
      </w:r>
      <w:r w:rsidR="0091638A">
        <w:rPr>
          <w:b/>
        </w:rPr>
        <w:t>1</w:t>
      </w:r>
      <w:r w:rsidR="00475514">
        <w:rPr>
          <w:b/>
        </w:rPr>
        <w:t xml:space="preserve"> (</w:t>
      </w:r>
      <w:r w:rsidR="00A665D8">
        <w:rPr>
          <w:b/>
        </w:rPr>
        <w:t>March 2023</w:t>
      </w:r>
      <w:r w:rsidR="00475514">
        <w:rPr>
          <w:b/>
        </w:rPr>
        <w:t>)</w:t>
      </w:r>
      <w:r w:rsidRPr="009D4D86">
        <w:rPr>
          <w:b/>
        </w:rPr>
        <w:t>:</w:t>
      </w:r>
    </w:p>
    <w:p w14:paraId="6CB2C3DF" w14:textId="60EAC031" w:rsidR="000C1690" w:rsidRDefault="00000000" w:rsidP="00B429CB">
      <w:pPr>
        <w:pStyle w:val="EC-Para"/>
      </w:pPr>
      <w:hyperlink r:id="rId72" w:history="1">
        <w:r w:rsidR="0091638A" w:rsidRPr="00322E89">
          <w:rPr>
            <w:rStyle w:val="Hyperlink"/>
            <w:sz w:val="18"/>
          </w:rPr>
          <w:t>https://www.ecdc.europa.eu/en/publications-data/european-union-summary-report-antimicrobial-resistance-zoonotic-and-indicator-7</w:t>
        </w:r>
      </w:hyperlink>
    </w:p>
    <w:p w14:paraId="1DC59938" w14:textId="4B5AB0C7" w:rsidR="00B429CB" w:rsidRDefault="00B429CB" w:rsidP="000C1690">
      <w:pPr>
        <w:pStyle w:val="EC-Para"/>
        <w:spacing w:after="0"/>
        <w:rPr>
          <w:b/>
          <w:bCs/>
        </w:rPr>
      </w:pPr>
      <w:r w:rsidRPr="00B429CB">
        <w:rPr>
          <w:b/>
          <w:bCs/>
        </w:rPr>
        <w:t>Salmonellosis - Annual Epidemiological Report for 2022</w:t>
      </w:r>
      <w:r>
        <w:rPr>
          <w:b/>
          <w:bCs/>
        </w:rPr>
        <w:t>:</w:t>
      </w:r>
    </w:p>
    <w:p w14:paraId="3D80B30D" w14:textId="26C20441" w:rsidR="00B429CB" w:rsidRPr="00B429CB" w:rsidRDefault="00000000" w:rsidP="000C1690">
      <w:pPr>
        <w:pStyle w:val="EC-Para"/>
        <w:spacing w:after="0"/>
      </w:pPr>
      <w:hyperlink r:id="rId73" w:history="1">
        <w:r w:rsidR="00B429CB" w:rsidRPr="00B429CB">
          <w:rPr>
            <w:rStyle w:val="Hyperlink"/>
            <w:sz w:val="18"/>
          </w:rPr>
          <w:t>https://www.ecdc.europa.eu/en/publications-data/salmonellosis-annual-epidemiological-report-2022</w:t>
        </w:r>
      </w:hyperlink>
      <w:r w:rsidR="00B429CB" w:rsidRPr="00B429CB">
        <w:t xml:space="preserve"> </w:t>
      </w:r>
    </w:p>
    <w:p w14:paraId="21112DE9" w14:textId="77777777" w:rsidR="000C1690" w:rsidRPr="009D4D86" w:rsidRDefault="000C1690" w:rsidP="000C1690">
      <w:pPr>
        <w:pStyle w:val="EC-Para"/>
        <w:spacing w:after="0"/>
      </w:pPr>
    </w:p>
    <w:p w14:paraId="2B1B0CB4" w14:textId="6EE392DB" w:rsidR="000C1690" w:rsidRPr="009D4D86" w:rsidRDefault="000C1690" w:rsidP="000C1690">
      <w:pPr>
        <w:pStyle w:val="EC-Para"/>
        <w:spacing w:after="0"/>
        <w:rPr>
          <w:b/>
        </w:rPr>
      </w:pPr>
      <w:r w:rsidRPr="009D4D86">
        <w:rPr>
          <w:b/>
        </w:rPr>
        <w:lastRenderedPageBreak/>
        <w:t xml:space="preserve">Fourth external quality assessment on antimicrobial susceptibility testing and detection of ESBL-, acquired </w:t>
      </w:r>
      <w:proofErr w:type="spellStart"/>
      <w:r w:rsidRPr="009D4D86">
        <w:rPr>
          <w:b/>
        </w:rPr>
        <w:t>AmpC</w:t>
      </w:r>
      <w:proofErr w:type="spellEnd"/>
      <w:r w:rsidRPr="009D4D86">
        <w:rPr>
          <w:b/>
        </w:rPr>
        <w:t xml:space="preserve">-, and </w:t>
      </w:r>
      <w:proofErr w:type="spellStart"/>
      <w:r w:rsidRPr="009D4D86">
        <w:rPr>
          <w:b/>
        </w:rPr>
        <w:t>carbapenemase</w:t>
      </w:r>
      <w:proofErr w:type="spellEnd"/>
      <w:r w:rsidRPr="009D4D86">
        <w:rPr>
          <w:b/>
        </w:rPr>
        <w:t xml:space="preserve">-production of </w:t>
      </w:r>
      <w:r w:rsidRPr="009D4D86">
        <w:rPr>
          <w:b/>
          <w:i/>
          <w:iCs/>
        </w:rPr>
        <w:t>Salmonella</w:t>
      </w:r>
      <w:r w:rsidRPr="009D4D86">
        <w:rPr>
          <w:b/>
        </w:rPr>
        <w:t>, 2018</w:t>
      </w:r>
      <w:r w:rsidR="00475514">
        <w:rPr>
          <w:b/>
        </w:rPr>
        <w:t xml:space="preserve"> (</w:t>
      </w:r>
      <w:r w:rsidR="00C816FF">
        <w:rPr>
          <w:b/>
        </w:rPr>
        <w:t>May 2021)</w:t>
      </w:r>
      <w:r w:rsidR="00A665D8">
        <w:rPr>
          <w:b/>
        </w:rPr>
        <w:t>:</w:t>
      </w:r>
    </w:p>
    <w:p w14:paraId="47C30CB0" w14:textId="77777777" w:rsidR="000C1690" w:rsidRDefault="00000000" w:rsidP="000C1690">
      <w:pPr>
        <w:pStyle w:val="EC-Para"/>
        <w:spacing w:after="0"/>
      </w:pPr>
      <w:hyperlink r:id="rId74" w:history="1">
        <w:r w:rsidR="000C1690" w:rsidRPr="009D4D86">
          <w:rPr>
            <w:rStyle w:val="Hyperlink"/>
            <w:sz w:val="18"/>
          </w:rPr>
          <w:t>https://www.ecdc.europa.eu/en/publications-data/fourth-external-quality-assessment-antimicrobial-susceptibility-testing-salmonella</w:t>
        </w:r>
      </w:hyperlink>
      <w:r w:rsidR="000C1690" w:rsidRPr="009D4D86">
        <w:t xml:space="preserve">  </w:t>
      </w:r>
    </w:p>
    <w:p w14:paraId="636E5143" w14:textId="77777777" w:rsidR="00475514" w:rsidRPr="009D4D86" w:rsidRDefault="00475514" w:rsidP="000C1690">
      <w:pPr>
        <w:pStyle w:val="EC-Para"/>
        <w:spacing w:after="0"/>
        <w:rPr>
          <w:bCs/>
        </w:rPr>
      </w:pPr>
    </w:p>
    <w:p w14:paraId="7B17D246" w14:textId="5BA22F09" w:rsidR="000C1690" w:rsidRPr="005E0D54" w:rsidRDefault="000C1690" w:rsidP="000C1690">
      <w:pPr>
        <w:pStyle w:val="EC-Title-6"/>
      </w:pPr>
      <w:bookmarkStart w:id="65" w:name="_Toc99028484"/>
      <w:r w:rsidRPr="005E0D54">
        <w:t xml:space="preserve">Annex 1. </w:t>
      </w:r>
      <w:r w:rsidRPr="00F50FCB">
        <w:rPr>
          <w:i/>
          <w:iCs/>
        </w:rPr>
        <w:t>Salmonella</w:t>
      </w:r>
      <w:r w:rsidRPr="005E0D54">
        <w:t xml:space="preserve"> AMR surveillance data overview, 2013-20</w:t>
      </w:r>
      <w:r>
        <w:t>2</w:t>
      </w:r>
      <w:bookmarkEnd w:id="65"/>
      <w:r w:rsidR="003A3982">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759"/>
        <w:gridCol w:w="860"/>
        <w:gridCol w:w="859"/>
        <w:gridCol w:w="859"/>
        <w:gridCol w:w="751"/>
        <w:gridCol w:w="751"/>
        <w:gridCol w:w="751"/>
        <w:gridCol w:w="751"/>
        <w:gridCol w:w="751"/>
        <w:gridCol w:w="747"/>
      </w:tblGrid>
      <w:tr w:rsidR="00FF5606" w:rsidRPr="00215B90" w14:paraId="094F22B2" w14:textId="77777777" w:rsidTr="003A3982">
        <w:trPr>
          <w:trHeight w:val="283"/>
        </w:trPr>
        <w:tc>
          <w:tcPr>
            <w:tcW w:w="731" w:type="pct"/>
            <w:shd w:val="clear" w:color="auto" w:fill="auto"/>
            <w:noWrap/>
            <w:vAlign w:val="center"/>
            <w:hideMark/>
          </w:tcPr>
          <w:p w14:paraId="5BEAC5C2" w14:textId="77777777" w:rsidR="00B429CB" w:rsidRPr="00215B90" w:rsidRDefault="00B429CB" w:rsidP="003A3982">
            <w:pPr>
              <w:spacing w:after="0" w:line="240" w:lineRule="auto"/>
              <w:rPr>
                <w:rFonts w:eastAsia="Times New Roman" w:cs="Tahoma"/>
                <w:b/>
                <w:bCs/>
                <w:sz w:val="16"/>
                <w:szCs w:val="16"/>
                <w:lang w:eastAsia="en-GB"/>
              </w:rPr>
            </w:pPr>
            <w:r w:rsidRPr="00B130C3">
              <w:rPr>
                <w:rFonts w:eastAsia="Times New Roman" w:cs="Tahoma"/>
                <w:b/>
                <w:bCs/>
                <w:sz w:val="16"/>
                <w:szCs w:val="16"/>
                <w:lang w:eastAsia="en-GB"/>
              </w:rPr>
              <w:t>Country</w:t>
            </w:r>
          </w:p>
        </w:tc>
        <w:tc>
          <w:tcPr>
            <w:tcW w:w="413" w:type="pct"/>
            <w:vAlign w:val="center"/>
          </w:tcPr>
          <w:p w14:paraId="51E8A9BC" w14:textId="01C1F2D8" w:rsidR="00B429CB" w:rsidRDefault="00B429CB" w:rsidP="003A3982">
            <w:pPr>
              <w:spacing w:after="0" w:line="240" w:lineRule="auto"/>
              <w:jc w:val="center"/>
              <w:rPr>
                <w:rFonts w:eastAsia="Times New Roman" w:cs="Tahoma"/>
                <w:b/>
                <w:bCs/>
                <w:color w:val="000000"/>
                <w:sz w:val="16"/>
                <w:szCs w:val="16"/>
                <w:lang w:eastAsia="en-GB"/>
              </w:rPr>
            </w:pPr>
            <w:r>
              <w:rPr>
                <w:rFonts w:eastAsia="Times New Roman" w:cs="Tahoma"/>
                <w:b/>
                <w:bCs/>
                <w:color w:val="000000"/>
                <w:sz w:val="16"/>
                <w:szCs w:val="16"/>
                <w:lang w:eastAsia="en-GB"/>
              </w:rPr>
              <w:t>2022</w:t>
            </w:r>
          </w:p>
        </w:tc>
        <w:tc>
          <w:tcPr>
            <w:tcW w:w="468" w:type="pct"/>
            <w:vAlign w:val="center"/>
          </w:tcPr>
          <w:p w14:paraId="56700F91" w14:textId="4128B65B" w:rsidR="00B429CB" w:rsidRPr="00215B90" w:rsidRDefault="00B429CB" w:rsidP="003A3982">
            <w:pPr>
              <w:spacing w:after="0" w:line="240" w:lineRule="auto"/>
              <w:jc w:val="center"/>
              <w:rPr>
                <w:rFonts w:eastAsia="Times New Roman" w:cs="Tahoma"/>
                <w:b/>
                <w:bCs/>
                <w:color w:val="000000"/>
                <w:sz w:val="16"/>
                <w:szCs w:val="16"/>
                <w:lang w:eastAsia="en-GB"/>
              </w:rPr>
            </w:pPr>
            <w:r>
              <w:rPr>
                <w:rFonts w:eastAsia="Times New Roman" w:cs="Tahoma"/>
                <w:b/>
                <w:bCs/>
                <w:color w:val="000000"/>
                <w:sz w:val="16"/>
                <w:szCs w:val="16"/>
                <w:lang w:eastAsia="en-GB"/>
              </w:rPr>
              <w:t>2021</w:t>
            </w:r>
          </w:p>
        </w:tc>
        <w:tc>
          <w:tcPr>
            <w:tcW w:w="468" w:type="pct"/>
            <w:vAlign w:val="center"/>
          </w:tcPr>
          <w:p w14:paraId="58B186E8" w14:textId="58949048" w:rsidR="00B429CB" w:rsidRPr="00215B90"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b/>
                <w:bCs/>
                <w:color w:val="000000"/>
                <w:sz w:val="16"/>
                <w:szCs w:val="16"/>
                <w:lang w:eastAsia="en-GB"/>
              </w:rPr>
              <w:t>20</w:t>
            </w:r>
            <w:r>
              <w:rPr>
                <w:rFonts w:eastAsia="Times New Roman" w:cs="Tahoma"/>
                <w:b/>
                <w:bCs/>
                <w:color w:val="000000"/>
                <w:sz w:val="16"/>
                <w:szCs w:val="16"/>
                <w:lang w:eastAsia="en-GB"/>
              </w:rPr>
              <w:t>20</w:t>
            </w:r>
          </w:p>
        </w:tc>
        <w:tc>
          <w:tcPr>
            <w:tcW w:w="468" w:type="pct"/>
            <w:shd w:val="clear" w:color="auto" w:fill="auto"/>
            <w:noWrap/>
            <w:vAlign w:val="center"/>
            <w:hideMark/>
          </w:tcPr>
          <w:p w14:paraId="2D914D8C" w14:textId="77777777" w:rsidR="00B429CB" w:rsidRPr="00215B90"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b/>
                <w:bCs/>
                <w:color w:val="000000"/>
                <w:sz w:val="16"/>
                <w:szCs w:val="16"/>
                <w:lang w:eastAsia="en-GB"/>
              </w:rPr>
              <w:t>2019</w:t>
            </w:r>
          </w:p>
        </w:tc>
        <w:tc>
          <w:tcPr>
            <w:tcW w:w="409" w:type="pct"/>
            <w:shd w:val="clear" w:color="auto" w:fill="auto"/>
            <w:noWrap/>
            <w:vAlign w:val="center"/>
            <w:hideMark/>
          </w:tcPr>
          <w:p w14:paraId="3A58B07A" w14:textId="77777777" w:rsidR="00B429CB" w:rsidRPr="00215B90"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b/>
                <w:bCs/>
                <w:color w:val="000000"/>
                <w:sz w:val="16"/>
                <w:szCs w:val="16"/>
                <w:lang w:eastAsia="en-GB"/>
              </w:rPr>
              <w:t>2018</w:t>
            </w:r>
          </w:p>
        </w:tc>
        <w:tc>
          <w:tcPr>
            <w:tcW w:w="409" w:type="pct"/>
            <w:shd w:val="clear" w:color="auto" w:fill="auto"/>
            <w:noWrap/>
            <w:vAlign w:val="center"/>
            <w:hideMark/>
          </w:tcPr>
          <w:p w14:paraId="77771022" w14:textId="77777777" w:rsidR="00B429CB" w:rsidRPr="00215B90"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b/>
                <w:bCs/>
                <w:color w:val="000000"/>
                <w:sz w:val="16"/>
                <w:szCs w:val="16"/>
                <w:lang w:eastAsia="en-GB"/>
              </w:rPr>
              <w:t>2017</w:t>
            </w:r>
          </w:p>
        </w:tc>
        <w:tc>
          <w:tcPr>
            <w:tcW w:w="409" w:type="pct"/>
            <w:shd w:val="clear" w:color="auto" w:fill="auto"/>
            <w:noWrap/>
            <w:vAlign w:val="center"/>
            <w:hideMark/>
          </w:tcPr>
          <w:p w14:paraId="2DB2E40F" w14:textId="77777777" w:rsidR="00B429CB" w:rsidRPr="00215B90"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b/>
                <w:bCs/>
                <w:color w:val="000000"/>
                <w:sz w:val="16"/>
                <w:szCs w:val="16"/>
                <w:lang w:eastAsia="en-GB"/>
              </w:rPr>
              <w:t>2016</w:t>
            </w:r>
          </w:p>
        </w:tc>
        <w:tc>
          <w:tcPr>
            <w:tcW w:w="409" w:type="pct"/>
            <w:shd w:val="clear" w:color="auto" w:fill="auto"/>
            <w:noWrap/>
            <w:vAlign w:val="center"/>
            <w:hideMark/>
          </w:tcPr>
          <w:p w14:paraId="42E3E918" w14:textId="77777777" w:rsidR="00B429CB" w:rsidRPr="00215B90"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b/>
                <w:bCs/>
                <w:color w:val="000000"/>
                <w:sz w:val="16"/>
                <w:szCs w:val="16"/>
                <w:lang w:eastAsia="en-GB"/>
              </w:rPr>
              <w:t>2015</w:t>
            </w:r>
          </w:p>
        </w:tc>
        <w:tc>
          <w:tcPr>
            <w:tcW w:w="409" w:type="pct"/>
            <w:shd w:val="clear" w:color="auto" w:fill="auto"/>
            <w:noWrap/>
            <w:vAlign w:val="center"/>
            <w:hideMark/>
          </w:tcPr>
          <w:p w14:paraId="3C7208CC" w14:textId="77777777" w:rsidR="00B429CB" w:rsidRPr="00215B90"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b/>
                <w:bCs/>
                <w:color w:val="000000"/>
                <w:sz w:val="16"/>
                <w:szCs w:val="16"/>
                <w:lang w:eastAsia="en-GB"/>
              </w:rPr>
              <w:t>2014</w:t>
            </w:r>
          </w:p>
        </w:tc>
        <w:tc>
          <w:tcPr>
            <w:tcW w:w="407" w:type="pct"/>
            <w:shd w:val="clear" w:color="auto" w:fill="auto"/>
            <w:noWrap/>
            <w:vAlign w:val="center"/>
            <w:hideMark/>
          </w:tcPr>
          <w:p w14:paraId="7DC85418" w14:textId="77777777" w:rsidR="00B429CB" w:rsidRPr="00215B90"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b/>
                <w:bCs/>
                <w:color w:val="000000"/>
                <w:sz w:val="16"/>
                <w:szCs w:val="16"/>
                <w:lang w:eastAsia="en-GB"/>
              </w:rPr>
              <w:t>2013</w:t>
            </w:r>
          </w:p>
        </w:tc>
      </w:tr>
      <w:tr w:rsidR="00FF5606" w:rsidRPr="00215B90" w14:paraId="65FAFB8D" w14:textId="77777777" w:rsidTr="003A3982">
        <w:trPr>
          <w:trHeight w:val="283"/>
        </w:trPr>
        <w:tc>
          <w:tcPr>
            <w:tcW w:w="731" w:type="pct"/>
            <w:shd w:val="clear" w:color="auto" w:fill="auto"/>
            <w:noWrap/>
            <w:vAlign w:val="center"/>
            <w:hideMark/>
          </w:tcPr>
          <w:p w14:paraId="3BF2B173" w14:textId="77777777" w:rsidR="00B429CB" w:rsidRPr="00215B90" w:rsidRDefault="00B429CB"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Austria</w:t>
            </w:r>
          </w:p>
        </w:tc>
        <w:tc>
          <w:tcPr>
            <w:tcW w:w="413" w:type="pct"/>
            <w:shd w:val="clear" w:color="auto" w:fill="92D050"/>
            <w:vAlign w:val="center"/>
          </w:tcPr>
          <w:p w14:paraId="15B3E189" w14:textId="6741FBD6" w:rsidR="00B429CB" w:rsidRPr="00B429CB"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2B7BB2AC" w14:textId="2953FA3E"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688E57C0" w14:textId="49DC8233"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37C94BD3"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406EA6C8"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0012B48"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7E6672F"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D1163FE"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F35F317"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92D050"/>
            <w:noWrap/>
            <w:vAlign w:val="center"/>
            <w:hideMark/>
          </w:tcPr>
          <w:p w14:paraId="53BBC82B"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r>
      <w:tr w:rsidR="00FF5606" w:rsidRPr="00215B90" w14:paraId="0E1061B3" w14:textId="77777777" w:rsidTr="003A3982">
        <w:trPr>
          <w:trHeight w:val="283"/>
        </w:trPr>
        <w:tc>
          <w:tcPr>
            <w:tcW w:w="731" w:type="pct"/>
            <w:shd w:val="clear" w:color="auto" w:fill="auto"/>
            <w:noWrap/>
            <w:vAlign w:val="center"/>
            <w:hideMark/>
          </w:tcPr>
          <w:p w14:paraId="68913992" w14:textId="77777777" w:rsidR="00B429CB" w:rsidRPr="00215B90" w:rsidRDefault="00B429CB"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Belgium</w:t>
            </w:r>
          </w:p>
        </w:tc>
        <w:tc>
          <w:tcPr>
            <w:tcW w:w="413" w:type="pct"/>
            <w:shd w:val="clear" w:color="auto" w:fill="92D050"/>
            <w:vAlign w:val="center"/>
          </w:tcPr>
          <w:p w14:paraId="3FD5FB0B" w14:textId="69671EB3" w:rsidR="00B429CB" w:rsidRPr="00B429CB" w:rsidRDefault="00B429CB"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7A83B565" w14:textId="30F19B0C"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265A7EB7" w14:textId="3A73760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78BC02CD"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FC467E2"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CD23B39"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8369F51"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628AEDAB"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BDD7EE"/>
            <w:noWrap/>
            <w:vAlign w:val="center"/>
            <w:hideMark/>
          </w:tcPr>
          <w:p w14:paraId="06CCB415"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7" w:type="pct"/>
            <w:shd w:val="clear" w:color="000000" w:fill="BDD7EE"/>
            <w:noWrap/>
            <w:vAlign w:val="center"/>
            <w:hideMark/>
          </w:tcPr>
          <w:p w14:paraId="76253FE0"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57DC9DD6" w14:textId="77777777" w:rsidTr="003A3982">
        <w:trPr>
          <w:trHeight w:val="283"/>
        </w:trPr>
        <w:tc>
          <w:tcPr>
            <w:tcW w:w="731" w:type="pct"/>
            <w:shd w:val="clear" w:color="auto" w:fill="auto"/>
            <w:noWrap/>
            <w:vAlign w:val="center"/>
            <w:hideMark/>
          </w:tcPr>
          <w:p w14:paraId="2580C41B" w14:textId="77777777" w:rsidR="00B429CB" w:rsidRPr="00215B90" w:rsidRDefault="00B429CB"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Bulgaria</w:t>
            </w:r>
          </w:p>
        </w:tc>
        <w:tc>
          <w:tcPr>
            <w:tcW w:w="413" w:type="pct"/>
            <w:shd w:val="clear" w:color="auto" w:fill="BDD7EE"/>
            <w:vAlign w:val="center"/>
          </w:tcPr>
          <w:p w14:paraId="608AA144" w14:textId="31205331" w:rsidR="00B429CB" w:rsidRPr="00B429CB" w:rsidRDefault="00B429CB" w:rsidP="003A3982">
            <w:pPr>
              <w:spacing w:after="0" w:line="240" w:lineRule="auto"/>
              <w:jc w:val="center"/>
              <w:rPr>
                <w:rFonts w:eastAsia="Times New Roman" w:cs="Tahoma"/>
                <w:color w:val="000000"/>
                <w:sz w:val="16"/>
                <w:szCs w:val="16"/>
                <w:lang w:eastAsia="en-GB"/>
              </w:rPr>
            </w:pPr>
            <w:r w:rsidRPr="00B429CB">
              <w:rPr>
                <w:rFonts w:eastAsia="Times New Roman" w:cs="Tahoma"/>
                <w:color w:val="000000"/>
                <w:sz w:val="16"/>
                <w:szCs w:val="16"/>
                <w:lang w:eastAsia="en-GB"/>
              </w:rPr>
              <w:t>SIR</w:t>
            </w:r>
          </w:p>
        </w:tc>
        <w:tc>
          <w:tcPr>
            <w:tcW w:w="468" w:type="pct"/>
            <w:shd w:val="clear" w:color="auto" w:fill="92D050"/>
            <w:vAlign w:val="center"/>
          </w:tcPr>
          <w:p w14:paraId="460FA2B0" w14:textId="423909A5"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D9D9D9"/>
            <w:vAlign w:val="center"/>
          </w:tcPr>
          <w:p w14:paraId="57EFFC80" w14:textId="0D59B8B5"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000000" w:fill="D9D9D9"/>
            <w:noWrap/>
            <w:vAlign w:val="center"/>
            <w:hideMark/>
          </w:tcPr>
          <w:p w14:paraId="2CB69949"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742356BD"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0AC38CF8"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0B03C6C3"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2AECD0F3"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5A18D743"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7" w:type="pct"/>
            <w:shd w:val="clear" w:color="000000" w:fill="D9D9D9"/>
            <w:noWrap/>
            <w:vAlign w:val="center"/>
            <w:hideMark/>
          </w:tcPr>
          <w:p w14:paraId="06070F24"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r>
      <w:tr w:rsidR="00FF5606" w:rsidRPr="00215B90" w14:paraId="35A20DEF" w14:textId="77777777" w:rsidTr="003A3982">
        <w:trPr>
          <w:trHeight w:val="283"/>
        </w:trPr>
        <w:tc>
          <w:tcPr>
            <w:tcW w:w="731" w:type="pct"/>
            <w:shd w:val="clear" w:color="auto" w:fill="auto"/>
            <w:noWrap/>
            <w:vAlign w:val="center"/>
            <w:hideMark/>
          </w:tcPr>
          <w:p w14:paraId="30277700"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Croatia</w:t>
            </w:r>
          </w:p>
        </w:tc>
        <w:tc>
          <w:tcPr>
            <w:tcW w:w="413" w:type="pct"/>
            <w:shd w:val="clear" w:color="auto" w:fill="92D050"/>
            <w:vAlign w:val="center"/>
          </w:tcPr>
          <w:p w14:paraId="750D13CA" w14:textId="77777777" w:rsidR="00FF5606" w:rsidRPr="00B429CB"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D9D9D9"/>
            <w:vAlign w:val="center"/>
          </w:tcPr>
          <w:p w14:paraId="11BD0F97"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auto" w:fill="D9D9D9"/>
            <w:vAlign w:val="center"/>
          </w:tcPr>
          <w:p w14:paraId="1D0BDA37"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000000" w:fill="D9D9D9"/>
            <w:noWrap/>
            <w:vAlign w:val="center"/>
            <w:hideMark/>
          </w:tcPr>
          <w:p w14:paraId="6ABF38F5"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44F90C0F"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21507B5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27993F15"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3D15C71F"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0784B679"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7" w:type="pct"/>
            <w:shd w:val="clear" w:color="000000" w:fill="D9D9D9"/>
            <w:noWrap/>
            <w:vAlign w:val="center"/>
            <w:hideMark/>
          </w:tcPr>
          <w:p w14:paraId="0958FB0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r>
      <w:tr w:rsidR="00FF5606" w:rsidRPr="00215B90" w14:paraId="0712D652" w14:textId="77777777" w:rsidTr="003A3982">
        <w:trPr>
          <w:trHeight w:val="283"/>
        </w:trPr>
        <w:tc>
          <w:tcPr>
            <w:tcW w:w="731" w:type="pct"/>
            <w:shd w:val="clear" w:color="auto" w:fill="auto"/>
            <w:noWrap/>
            <w:vAlign w:val="center"/>
            <w:hideMark/>
          </w:tcPr>
          <w:p w14:paraId="459FF8B4" w14:textId="77777777" w:rsidR="00B429CB" w:rsidRPr="00215B90" w:rsidRDefault="00B429CB"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Cyprus</w:t>
            </w:r>
          </w:p>
        </w:tc>
        <w:tc>
          <w:tcPr>
            <w:tcW w:w="413" w:type="pct"/>
            <w:shd w:val="clear" w:color="auto" w:fill="92D050"/>
            <w:vAlign w:val="center"/>
          </w:tcPr>
          <w:p w14:paraId="7FC7B477" w14:textId="48DD3297" w:rsidR="00B429CB" w:rsidRPr="00B429CB"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3A43EECD" w14:textId="470757FF"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2514E2B1" w14:textId="5FE6F4A3"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2D4956DA"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195A5A9"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150134A4"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6A4D2EF3"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2E0F0309"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D9D9D9"/>
            <w:noWrap/>
            <w:vAlign w:val="center"/>
            <w:hideMark/>
          </w:tcPr>
          <w:p w14:paraId="10F4332F"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7" w:type="pct"/>
            <w:shd w:val="clear" w:color="000000" w:fill="D9D9D9"/>
            <w:noWrap/>
            <w:vAlign w:val="center"/>
            <w:hideMark/>
          </w:tcPr>
          <w:p w14:paraId="035C4D6C"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r>
      <w:tr w:rsidR="00FF5606" w:rsidRPr="00215B90" w14:paraId="5175CBDD" w14:textId="77777777" w:rsidTr="003A3982">
        <w:trPr>
          <w:trHeight w:val="283"/>
        </w:trPr>
        <w:tc>
          <w:tcPr>
            <w:tcW w:w="731" w:type="pct"/>
            <w:shd w:val="clear" w:color="auto" w:fill="auto"/>
            <w:noWrap/>
            <w:vAlign w:val="center"/>
            <w:hideMark/>
          </w:tcPr>
          <w:p w14:paraId="76807510" w14:textId="77777777" w:rsidR="00B429CB" w:rsidRPr="00215B90" w:rsidRDefault="00B429CB"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Czech Republic</w:t>
            </w:r>
          </w:p>
        </w:tc>
        <w:tc>
          <w:tcPr>
            <w:tcW w:w="413" w:type="pct"/>
            <w:shd w:val="clear" w:color="auto" w:fill="92D050"/>
            <w:vAlign w:val="center"/>
          </w:tcPr>
          <w:p w14:paraId="0BB8147B" w14:textId="0EB6FB94" w:rsidR="00B429CB" w:rsidRPr="00B429CB"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D9D9D9"/>
            <w:vAlign w:val="center"/>
          </w:tcPr>
          <w:p w14:paraId="0D184A20" w14:textId="68A7E2E3"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auto" w:fill="D9D9D9"/>
            <w:vAlign w:val="center"/>
          </w:tcPr>
          <w:p w14:paraId="3917E538" w14:textId="051B8DB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000000" w:fill="D9D9D9"/>
            <w:noWrap/>
            <w:vAlign w:val="center"/>
            <w:hideMark/>
          </w:tcPr>
          <w:p w14:paraId="64C1594D"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688BD582"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578AC3B4"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0182A450"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0BE65553"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1E6416D7"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7" w:type="pct"/>
            <w:shd w:val="clear" w:color="000000" w:fill="D9D9D9"/>
            <w:noWrap/>
            <w:vAlign w:val="center"/>
            <w:hideMark/>
          </w:tcPr>
          <w:p w14:paraId="00CCF23D" w14:textId="77777777" w:rsidR="00B429CB" w:rsidRPr="00215B90" w:rsidRDefault="00B429CB"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r>
      <w:tr w:rsidR="00FF5606" w:rsidRPr="00215B90" w14:paraId="0D1D0EDF" w14:textId="77777777" w:rsidTr="003A3982">
        <w:trPr>
          <w:trHeight w:val="283"/>
        </w:trPr>
        <w:tc>
          <w:tcPr>
            <w:tcW w:w="731" w:type="pct"/>
            <w:shd w:val="clear" w:color="auto" w:fill="auto"/>
            <w:noWrap/>
            <w:vAlign w:val="center"/>
            <w:hideMark/>
          </w:tcPr>
          <w:p w14:paraId="2F1ABA3C"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Denmark</w:t>
            </w:r>
          </w:p>
        </w:tc>
        <w:tc>
          <w:tcPr>
            <w:tcW w:w="413" w:type="pct"/>
            <w:shd w:val="clear" w:color="auto" w:fill="92D050"/>
            <w:vAlign w:val="center"/>
          </w:tcPr>
          <w:p w14:paraId="7369BB1E" w14:textId="1A81BFB5" w:rsidR="00FF5606" w:rsidRPr="00B429CB"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0DBBCE9B" w14:textId="1EFB726D"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2F676E6F" w14:textId="5E0F5850"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2E045B9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83B4DD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1626B0C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6557F96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B072EE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D9FD30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92D050"/>
            <w:noWrap/>
            <w:vAlign w:val="center"/>
            <w:hideMark/>
          </w:tcPr>
          <w:p w14:paraId="57705FEE"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r>
      <w:tr w:rsidR="00FF5606" w:rsidRPr="00215B90" w14:paraId="23737E0A" w14:textId="77777777" w:rsidTr="003A3982">
        <w:trPr>
          <w:trHeight w:val="283"/>
        </w:trPr>
        <w:tc>
          <w:tcPr>
            <w:tcW w:w="731" w:type="pct"/>
            <w:shd w:val="clear" w:color="auto" w:fill="auto"/>
            <w:noWrap/>
            <w:vAlign w:val="center"/>
            <w:hideMark/>
          </w:tcPr>
          <w:p w14:paraId="2ED03995"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Estonia</w:t>
            </w:r>
          </w:p>
        </w:tc>
        <w:tc>
          <w:tcPr>
            <w:tcW w:w="413" w:type="pct"/>
            <w:shd w:val="clear" w:color="auto" w:fill="92D050"/>
            <w:vAlign w:val="center"/>
          </w:tcPr>
          <w:p w14:paraId="0561FB8F" w14:textId="7EA44EF4" w:rsidR="00FF5606" w:rsidRPr="00B429CB"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44C6ACC2" w14:textId="485D5384"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053DE84B" w14:textId="23B07D61"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33052C96"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688C37D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6646A8D7"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3FC81E5E"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B41C2F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24E0FD6F"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BDD7EE"/>
            <w:noWrap/>
            <w:vAlign w:val="center"/>
            <w:hideMark/>
          </w:tcPr>
          <w:p w14:paraId="6667494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23DE8624" w14:textId="77777777" w:rsidTr="003A3982">
        <w:trPr>
          <w:trHeight w:val="283"/>
        </w:trPr>
        <w:tc>
          <w:tcPr>
            <w:tcW w:w="731" w:type="pct"/>
            <w:shd w:val="clear" w:color="auto" w:fill="auto"/>
            <w:noWrap/>
            <w:vAlign w:val="center"/>
            <w:hideMark/>
          </w:tcPr>
          <w:p w14:paraId="20B71D87"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Finland</w:t>
            </w:r>
          </w:p>
        </w:tc>
        <w:tc>
          <w:tcPr>
            <w:tcW w:w="413" w:type="pct"/>
            <w:shd w:val="clear" w:color="auto" w:fill="92D050"/>
            <w:vAlign w:val="center"/>
          </w:tcPr>
          <w:p w14:paraId="0F27E800" w14:textId="0075DC6F" w:rsidR="00FF5606" w:rsidRPr="00B429CB"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5C9D4EC9" w14:textId="702B9FED"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2BF479FE" w14:textId="3F5FE33C"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5CF8D6B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1523BB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AC8CFE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64DC287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6D08E70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9948956"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92D050"/>
            <w:noWrap/>
            <w:vAlign w:val="center"/>
            <w:hideMark/>
          </w:tcPr>
          <w:p w14:paraId="226550EE"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r>
      <w:tr w:rsidR="00FF5606" w:rsidRPr="00215B90" w14:paraId="0B6FA6D5" w14:textId="77777777" w:rsidTr="003A3982">
        <w:trPr>
          <w:trHeight w:val="283"/>
        </w:trPr>
        <w:tc>
          <w:tcPr>
            <w:tcW w:w="731" w:type="pct"/>
            <w:shd w:val="clear" w:color="auto" w:fill="auto"/>
            <w:noWrap/>
            <w:vAlign w:val="center"/>
            <w:hideMark/>
          </w:tcPr>
          <w:p w14:paraId="2ACCD817"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France</w:t>
            </w:r>
          </w:p>
        </w:tc>
        <w:tc>
          <w:tcPr>
            <w:tcW w:w="413" w:type="pct"/>
            <w:shd w:val="clear" w:color="auto" w:fill="92D050"/>
            <w:vAlign w:val="center"/>
          </w:tcPr>
          <w:p w14:paraId="264D915B" w14:textId="341DB53E"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0286C584" w14:textId="17018600"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0F8AA900" w14:textId="05A0BD31"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558212C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A175BD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6D2A66F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EBD36A7"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BE6503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BDD7EE"/>
            <w:noWrap/>
            <w:vAlign w:val="center"/>
            <w:hideMark/>
          </w:tcPr>
          <w:p w14:paraId="1D9FA2D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7" w:type="pct"/>
            <w:shd w:val="clear" w:color="000000" w:fill="BDD7EE"/>
            <w:noWrap/>
            <w:vAlign w:val="center"/>
            <w:hideMark/>
          </w:tcPr>
          <w:p w14:paraId="10363A8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74F853D9" w14:textId="77777777" w:rsidTr="003A3982">
        <w:trPr>
          <w:trHeight w:val="283"/>
        </w:trPr>
        <w:tc>
          <w:tcPr>
            <w:tcW w:w="731" w:type="pct"/>
            <w:shd w:val="clear" w:color="auto" w:fill="auto"/>
            <w:noWrap/>
            <w:vAlign w:val="center"/>
            <w:hideMark/>
          </w:tcPr>
          <w:p w14:paraId="555FFACA" w14:textId="759DFD6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Germany</w:t>
            </w:r>
          </w:p>
        </w:tc>
        <w:tc>
          <w:tcPr>
            <w:tcW w:w="413" w:type="pct"/>
            <w:shd w:val="clear" w:color="auto" w:fill="92D050"/>
            <w:vAlign w:val="center"/>
          </w:tcPr>
          <w:p w14:paraId="77910E5E" w14:textId="72BECA16"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2F29A8D1" w14:textId="3A12A001"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D9D9D9"/>
            <w:vAlign w:val="center"/>
          </w:tcPr>
          <w:p w14:paraId="5E25072D" w14:textId="00BB5E9F"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000000" w:fill="BDD7EE"/>
            <w:noWrap/>
            <w:vAlign w:val="center"/>
            <w:hideMark/>
          </w:tcPr>
          <w:p w14:paraId="4D91237C" w14:textId="0C7D2DF3"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t>*</w:t>
            </w:r>
          </w:p>
        </w:tc>
        <w:tc>
          <w:tcPr>
            <w:tcW w:w="409" w:type="pct"/>
            <w:shd w:val="clear" w:color="000000" w:fill="BDD7EE"/>
            <w:noWrap/>
            <w:vAlign w:val="center"/>
            <w:hideMark/>
          </w:tcPr>
          <w:p w14:paraId="540B3997" w14:textId="6DB19B58"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t>*</w:t>
            </w:r>
          </w:p>
        </w:tc>
        <w:tc>
          <w:tcPr>
            <w:tcW w:w="409" w:type="pct"/>
            <w:shd w:val="clear" w:color="000000" w:fill="BDD7EE"/>
            <w:noWrap/>
            <w:vAlign w:val="center"/>
            <w:hideMark/>
          </w:tcPr>
          <w:p w14:paraId="4DAD4520" w14:textId="59B4310D"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t>*</w:t>
            </w:r>
          </w:p>
        </w:tc>
        <w:tc>
          <w:tcPr>
            <w:tcW w:w="409" w:type="pct"/>
            <w:shd w:val="clear" w:color="000000" w:fill="BDD7EE"/>
            <w:noWrap/>
            <w:vAlign w:val="center"/>
            <w:hideMark/>
          </w:tcPr>
          <w:p w14:paraId="0B41AC5A" w14:textId="0C49904F"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t>*</w:t>
            </w:r>
          </w:p>
        </w:tc>
        <w:tc>
          <w:tcPr>
            <w:tcW w:w="409" w:type="pct"/>
            <w:shd w:val="clear" w:color="000000" w:fill="BDD7EE"/>
            <w:noWrap/>
            <w:vAlign w:val="center"/>
            <w:hideMark/>
          </w:tcPr>
          <w:p w14:paraId="717DB65C" w14:textId="14A9D999"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t>*</w:t>
            </w:r>
          </w:p>
        </w:tc>
        <w:tc>
          <w:tcPr>
            <w:tcW w:w="409" w:type="pct"/>
            <w:shd w:val="clear" w:color="000000" w:fill="BDD7EE"/>
            <w:noWrap/>
            <w:vAlign w:val="center"/>
            <w:hideMark/>
          </w:tcPr>
          <w:p w14:paraId="7EC9D410" w14:textId="6AD16008"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t>*</w:t>
            </w:r>
          </w:p>
        </w:tc>
        <w:tc>
          <w:tcPr>
            <w:tcW w:w="407" w:type="pct"/>
            <w:shd w:val="clear" w:color="000000" w:fill="BDD7EE"/>
            <w:noWrap/>
            <w:vAlign w:val="center"/>
            <w:hideMark/>
          </w:tcPr>
          <w:p w14:paraId="1FD978B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318D45A4" w14:textId="77777777" w:rsidTr="003A3982">
        <w:trPr>
          <w:trHeight w:val="283"/>
        </w:trPr>
        <w:tc>
          <w:tcPr>
            <w:tcW w:w="731" w:type="pct"/>
            <w:shd w:val="clear" w:color="auto" w:fill="auto"/>
            <w:noWrap/>
            <w:vAlign w:val="center"/>
            <w:hideMark/>
          </w:tcPr>
          <w:p w14:paraId="75B5B074"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Greece</w:t>
            </w:r>
          </w:p>
        </w:tc>
        <w:tc>
          <w:tcPr>
            <w:tcW w:w="413" w:type="pct"/>
            <w:shd w:val="clear" w:color="auto" w:fill="92D050"/>
            <w:vAlign w:val="center"/>
          </w:tcPr>
          <w:p w14:paraId="78BC4B54" w14:textId="086DBECF"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7C5693E0" w14:textId="7714EC5B" w:rsidR="00FF5606" w:rsidRPr="00215B90" w:rsidRDefault="00FF5606" w:rsidP="003A3982">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Q</w:t>
            </w:r>
          </w:p>
        </w:tc>
        <w:tc>
          <w:tcPr>
            <w:tcW w:w="468" w:type="pct"/>
            <w:shd w:val="clear" w:color="auto" w:fill="D9D9D9"/>
            <w:vAlign w:val="center"/>
          </w:tcPr>
          <w:p w14:paraId="563F3F76" w14:textId="35BF0604"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000000" w:fill="92D050"/>
            <w:noWrap/>
            <w:vAlign w:val="center"/>
            <w:hideMark/>
          </w:tcPr>
          <w:p w14:paraId="53726C4E"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D9D9D9"/>
            <w:noWrap/>
            <w:vAlign w:val="center"/>
            <w:hideMark/>
          </w:tcPr>
          <w:p w14:paraId="67B1CF6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92D050"/>
            <w:noWrap/>
            <w:vAlign w:val="center"/>
            <w:hideMark/>
          </w:tcPr>
          <w:p w14:paraId="2B6E0E1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38203FC2"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483ACB6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129AAED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BDD7EE"/>
            <w:noWrap/>
            <w:vAlign w:val="center"/>
            <w:hideMark/>
          </w:tcPr>
          <w:p w14:paraId="53319E2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0DA2C667" w14:textId="77777777" w:rsidTr="003A3982">
        <w:trPr>
          <w:trHeight w:val="283"/>
        </w:trPr>
        <w:tc>
          <w:tcPr>
            <w:tcW w:w="731" w:type="pct"/>
            <w:shd w:val="clear" w:color="auto" w:fill="auto"/>
            <w:noWrap/>
            <w:vAlign w:val="center"/>
            <w:hideMark/>
          </w:tcPr>
          <w:p w14:paraId="13B567A4"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Hungary</w:t>
            </w:r>
          </w:p>
        </w:tc>
        <w:tc>
          <w:tcPr>
            <w:tcW w:w="413" w:type="pct"/>
            <w:shd w:val="clear" w:color="auto" w:fill="BDD7EE"/>
            <w:vAlign w:val="center"/>
          </w:tcPr>
          <w:p w14:paraId="5CC4FB56" w14:textId="7F4086D2"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SIR</w:t>
            </w:r>
          </w:p>
        </w:tc>
        <w:tc>
          <w:tcPr>
            <w:tcW w:w="468" w:type="pct"/>
            <w:shd w:val="clear" w:color="auto" w:fill="BDD7EE"/>
            <w:vAlign w:val="center"/>
          </w:tcPr>
          <w:p w14:paraId="20A2FCC5" w14:textId="057E63BD"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68" w:type="pct"/>
            <w:shd w:val="clear" w:color="auto" w:fill="BDD7EE"/>
            <w:vAlign w:val="center"/>
          </w:tcPr>
          <w:p w14:paraId="3155C7DC" w14:textId="1858C5A5"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68" w:type="pct"/>
            <w:shd w:val="clear" w:color="000000" w:fill="D9D9D9"/>
            <w:noWrap/>
            <w:vAlign w:val="center"/>
            <w:hideMark/>
          </w:tcPr>
          <w:p w14:paraId="42E10F20"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BDD7EE"/>
            <w:noWrap/>
            <w:vAlign w:val="center"/>
            <w:hideMark/>
          </w:tcPr>
          <w:p w14:paraId="4F0E0E0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693DD0E0"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03831E82"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583621B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2FB93890"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7" w:type="pct"/>
            <w:shd w:val="clear" w:color="000000" w:fill="BDD7EE"/>
            <w:noWrap/>
            <w:vAlign w:val="center"/>
            <w:hideMark/>
          </w:tcPr>
          <w:p w14:paraId="6FBBAB2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439482EE" w14:textId="77777777" w:rsidTr="003A3982">
        <w:trPr>
          <w:trHeight w:val="283"/>
        </w:trPr>
        <w:tc>
          <w:tcPr>
            <w:tcW w:w="731" w:type="pct"/>
            <w:shd w:val="clear" w:color="auto" w:fill="auto"/>
            <w:noWrap/>
            <w:vAlign w:val="center"/>
            <w:hideMark/>
          </w:tcPr>
          <w:p w14:paraId="38A20402"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Iceland</w:t>
            </w:r>
          </w:p>
        </w:tc>
        <w:tc>
          <w:tcPr>
            <w:tcW w:w="413" w:type="pct"/>
            <w:shd w:val="clear" w:color="auto" w:fill="92D050"/>
            <w:vAlign w:val="center"/>
          </w:tcPr>
          <w:p w14:paraId="724F2F9E" w14:textId="220A421B" w:rsidR="00FF5606" w:rsidRPr="00B429CB" w:rsidRDefault="00FF5606" w:rsidP="003A3982">
            <w:pPr>
              <w:spacing w:after="0" w:line="240" w:lineRule="auto"/>
              <w:jc w:val="center"/>
              <w:rPr>
                <w:rFonts w:eastAsia="Times New Roman" w:cs="Tahoma"/>
                <w:b/>
                <w:bCs/>
                <w:color w:val="000000"/>
                <w:sz w:val="16"/>
                <w:szCs w:val="16"/>
                <w:lang w:eastAsia="en-GB"/>
              </w:rPr>
            </w:pPr>
            <w:r>
              <w:rPr>
                <w:rFonts w:eastAsia="Times New Roman" w:cs="Tahoma"/>
                <w:color w:val="000000"/>
                <w:sz w:val="16"/>
                <w:szCs w:val="16"/>
                <w:lang w:eastAsia="en-GB"/>
              </w:rPr>
              <w:t>Q</w:t>
            </w:r>
          </w:p>
        </w:tc>
        <w:tc>
          <w:tcPr>
            <w:tcW w:w="468" w:type="pct"/>
            <w:shd w:val="clear" w:color="auto" w:fill="92D050"/>
            <w:vAlign w:val="center"/>
          </w:tcPr>
          <w:p w14:paraId="52D08EEF" w14:textId="1CCFFDFA" w:rsidR="00FF5606" w:rsidRPr="00215B90" w:rsidRDefault="00FF5606" w:rsidP="003A3982">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Q</w:t>
            </w:r>
          </w:p>
        </w:tc>
        <w:tc>
          <w:tcPr>
            <w:tcW w:w="468" w:type="pct"/>
            <w:shd w:val="clear" w:color="auto" w:fill="BDD7EE"/>
            <w:vAlign w:val="center"/>
          </w:tcPr>
          <w:p w14:paraId="3A80891C" w14:textId="3DC1E73B"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68" w:type="pct"/>
            <w:shd w:val="clear" w:color="000000" w:fill="BDD7EE"/>
            <w:noWrap/>
            <w:vAlign w:val="center"/>
            <w:hideMark/>
          </w:tcPr>
          <w:p w14:paraId="7018BC7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0003953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247F893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4BBED11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7268B1D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357C6485"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7" w:type="pct"/>
            <w:shd w:val="clear" w:color="000000" w:fill="BDD7EE"/>
            <w:noWrap/>
            <w:vAlign w:val="center"/>
            <w:hideMark/>
          </w:tcPr>
          <w:p w14:paraId="0029184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73DC092F" w14:textId="77777777" w:rsidTr="003A3982">
        <w:trPr>
          <w:trHeight w:val="283"/>
        </w:trPr>
        <w:tc>
          <w:tcPr>
            <w:tcW w:w="731" w:type="pct"/>
            <w:shd w:val="clear" w:color="auto" w:fill="auto"/>
            <w:noWrap/>
            <w:vAlign w:val="center"/>
            <w:hideMark/>
          </w:tcPr>
          <w:p w14:paraId="336FADF8"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Ireland</w:t>
            </w:r>
          </w:p>
        </w:tc>
        <w:tc>
          <w:tcPr>
            <w:tcW w:w="413" w:type="pct"/>
            <w:shd w:val="clear" w:color="auto" w:fill="B685DB"/>
            <w:vAlign w:val="center"/>
          </w:tcPr>
          <w:p w14:paraId="3CA4A53A" w14:textId="772C3AF9" w:rsidR="00FF5606" w:rsidRPr="00FF5606" w:rsidRDefault="00FF5606" w:rsidP="003A3982">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468" w:type="pct"/>
            <w:shd w:val="clear" w:color="auto" w:fill="D9D9D9"/>
            <w:vAlign w:val="center"/>
          </w:tcPr>
          <w:p w14:paraId="4B6E4E2A" w14:textId="2F1E68BB"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auto" w:fill="B685DB"/>
            <w:vAlign w:val="center"/>
          </w:tcPr>
          <w:p w14:paraId="5E71CC39" w14:textId="18774544" w:rsidR="00FF5606" w:rsidRPr="00215B90" w:rsidRDefault="00FF5606" w:rsidP="003A3982">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468" w:type="pct"/>
            <w:shd w:val="clear" w:color="000000" w:fill="B685DB"/>
            <w:noWrap/>
            <w:vAlign w:val="center"/>
            <w:hideMark/>
          </w:tcPr>
          <w:p w14:paraId="4EB48B56" w14:textId="05FA0BD4" w:rsidR="00FF5606" w:rsidRPr="00215B90" w:rsidRDefault="00FF5606" w:rsidP="003A3982">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409" w:type="pct"/>
            <w:shd w:val="clear" w:color="000000" w:fill="92D050"/>
            <w:noWrap/>
            <w:vAlign w:val="center"/>
            <w:hideMark/>
          </w:tcPr>
          <w:p w14:paraId="7F5239E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1084670E"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42723B9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33659A00"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BD1D30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92D050"/>
            <w:noWrap/>
            <w:vAlign w:val="center"/>
            <w:hideMark/>
          </w:tcPr>
          <w:p w14:paraId="1B99BC5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r>
      <w:tr w:rsidR="00FF5606" w:rsidRPr="00215B90" w14:paraId="16235272" w14:textId="77777777" w:rsidTr="003A3982">
        <w:trPr>
          <w:trHeight w:val="283"/>
        </w:trPr>
        <w:tc>
          <w:tcPr>
            <w:tcW w:w="731" w:type="pct"/>
            <w:shd w:val="clear" w:color="auto" w:fill="auto"/>
            <w:noWrap/>
            <w:vAlign w:val="center"/>
            <w:hideMark/>
          </w:tcPr>
          <w:p w14:paraId="5B594243"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Italy</w:t>
            </w:r>
          </w:p>
        </w:tc>
        <w:tc>
          <w:tcPr>
            <w:tcW w:w="413" w:type="pct"/>
            <w:shd w:val="clear" w:color="auto" w:fill="92D050"/>
            <w:vAlign w:val="center"/>
          </w:tcPr>
          <w:p w14:paraId="6CA556CC" w14:textId="21F42AE2"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64D6546F" w14:textId="48868B93"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0A4FFDA7" w14:textId="2D605CD6"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39C2A61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B69AF1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206E17A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3A8E8B3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980324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16165B9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BDD7EE"/>
            <w:noWrap/>
            <w:vAlign w:val="center"/>
            <w:hideMark/>
          </w:tcPr>
          <w:p w14:paraId="72C54CE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35AC7B9C" w14:textId="77777777" w:rsidTr="003A3982">
        <w:trPr>
          <w:trHeight w:val="283"/>
        </w:trPr>
        <w:tc>
          <w:tcPr>
            <w:tcW w:w="731" w:type="pct"/>
            <w:shd w:val="clear" w:color="auto" w:fill="auto"/>
            <w:noWrap/>
            <w:vAlign w:val="center"/>
            <w:hideMark/>
          </w:tcPr>
          <w:p w14:paraId="641E98E2"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Latvia</w:t>
            </w:r>
          </w:p>
        </w:tc>
        <w:tc>
          <w:tcPr>
            <w:tcW w:w="413" w:type="pct"/>
            <w:shd w:val="clear" w:color="auto" w:fill="BDD7EE"/>
            <w:vAlign w:val="center"/>
          </w:tcPr>
          <w:p w14:paraId="10A6D2FA" w14:textId="14AB5C89"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SIR</w:t>
            </w:r>
          </w:p>
        </w:tc>
        <w:tc>
          <w:tcPr>
            <w:tcW w:w="468" w:type="pct"/>
            <w:shd w:val="clear" w:color="auto" w:fill="BDD7EE"/>
            <w:vAlign w:val="center"/>
          </w:tcPr>
          <w:p w14:paraId="4F4B6CD8" w14:textId="44231343"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68" w:type="pct"/>
            <w:shd w:val="clear" w:color="auto" w:fill="BDD7EE"/>
            <w:vAlign w:val="center"/>
          </w:tcPr>
          <w:p w14:paraId="04DBFC28" w14:textId="641330FE"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68" w:type="pct"/>
            <w:shd w:val="clear" w:color="000000" w:fill="BDD7EE"/>
            <w:noWrap/>
            <w:vAlign w:val="center"/>
            <w:hideMark/>
          </w:tcPr>
          <w:p w14:paraId="06654D25"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774D4A46"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6B27445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5C764AA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411B8CD0"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58F5E9B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7" w:type="pct"/>
            <w:shd w:val="clear" w:color="000000" w:fill="BDD7EE"/>
            <w:noWrap/>
            <w:vAlign w:val="center"/>
            <w:hideMark/>
          </w:tcPr>
          <w:p w14:paraId="6D140FB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16C3AC66" w14:textId="77777777" w:rsidTr="003A3982">
        <w:trPr>
          <w:trHeight w:val="283"/>
        </w:trPr>
        <w:tc>
          <w:tcPr>
            <w:tcW w:w="731" w:type="pct"/>
            <w:shd w:val="clear" w:color="auto" w:fill="auto"/>
            <w:noWrap/>
            <w:vAlign w:val="center"/>
            <w:hideMark/>
          </w:tcPr>
          <w:p w14:paraId="350EE11F"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Lithuania</w:t>
            </w:r>
          </w:p>
        </w:tc>
        <w:tc>
          <w:tcPr>
            <w:tcW w:w="413" w:type="pct"/>
            <w:shd w:val="clear" w:color="auto" w:fill="BDD7EE"/>
            <w:vAlign w:val="center"/>
          </w:tcPr>
          <w:p w14:paraId="525A0F7F" w14:textId="6AE6810A"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SIR</w:t>
            </w:r>
          </w:p>
        </w:tc>
        <w:tc>
          <w:tcPr>
            <w:tcW w:w="468" w:type="pct"/>
            <w:shd w:val="clear" w:color="auto" w:fill="BDD7EE"/>
            <w:vAlign w:val="center"/>
          </w:tcPr>
          <w:p w14:paraId="314CDDA0" w14:textId="6E15B8A9"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68" w:type="pct"/>
            <w:shd w:val="clear" w:color="auto" w:fill="D9D9D9"/>
            <w:vAlign w:val="center"/>
          </w:tcPr>
          <w:p w14:paraId="16DF26C0" w14:textId="1B79F8DC"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000000" w:fill="BDD7EE"/>
            <w:noWrap/>
            <w:vAlign w:val="center"/>
            <w:hideMark/>
          </w:tcPr>
          <w:p w14:paraId="09DE47F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2F7C0C7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44F66E52"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3CF311C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53FD34B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33DD1AC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7" w:type="pct"/>
            <w:shd w:val="clear" w:color="000000" w:fill="BDD7EE"/>
            <w:noWrap/>
            <w:vAlign w:val="center"/>
            <w:hideMark/>
          </w:tcPr>
          <w:p w14:paraId="44589E7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488B4FA4" w14:textId="77777777" w:rsidTr="003A3982">
        <w:trPr>
          <w:trHeight w:val="283"/>
        </w:trPr>
        <w:tc>
          <w:tcPr>
            <w:tcW w:w="731" w:type="pct"/>
            <w:shd w:val="clear" w:color="auto" w:fill="auto"/>
            <w:noWrap/>
            <w:vAlign w:val="center"/>
            <w:hideMark/>
          </w:tcPr>
          <w:p w14:paraId="6BB979E0"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Luxembourg</w:t>
            </w:r>
          </w:p>
        </w:tc>
        <w:tc>
          <w:tcPr>
            <w:tcW w:w="413" w:type="pct"/>
            <w:shd w:val="clear" w:color="auto" w:fill="92D050"/>
            <w:vAlign w:val="center"/>
          </w:tcPr>
          <w:p w14:paraId="0580FA3D" w14:textId="684B43AC"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024731FF" w14:textId="2A51218D"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458588C0" w14:textId="1CBC63A3"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2EDC09B0"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4A6C79E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3E8D925F"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8351F3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8FBD050"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3F73312E"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92D050"/>
            <w:noWrap/>
            <w:vAlign w:val="center"/>
            <w:hideMark/>
          </w:tcPr>
          <w:p w14:paraId="41327A5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r>
      <w:tr w:rsidR="00FF5606" w:rsidRPr="00215B90" w14:paraId="5105EE20" w14:textId="77777777" w:rsidTr="003A3982">
        <w:trPr>
          <w:trHeight w:val="283"/>
        </w:trPr>
        <w:tc>
          <w:tcPr>
            <w:tcW w:w="731" w:type="pct"/>
            <w:shd w:val="clear" w:color="auto" w:fill="auto"/>
            <w:noWrap/>
            <w:vAlign w:val="center"/>
            <w:hideMark/>
          </w:tcPr>
          <w:p w14:paraId="237B14BB"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Malta</w:t>
            </w:r>
          </w:p>
        </w:tc>
        <w:tc>
          <w:tcPr>
            <w:tcW w:w="413" w:type="pct"/>
            <w:shd w:val="clear" w:color="auto" w:fill="92D050"/>
            <w:vAlign w:val="center"/>
          </w:tcPr>
          <w:p w14:paraId="4CA5A976" w14:textId="2A70087C"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17806979" w14:textId="4853A9CB"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43D70EB8" w14:textId="2A217748"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2C5C78F2"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r>
              <w:rPr>
                <w:rFonts w:eastAsia="Times New Roman" w:cs="Tahoma"/>
                <w:color w:val="000000"/>
                <w:sz w:val="16"/>
                <w:szCs w:val="16"/>
                <w:lang w:eastAsia="en-GB"/>
              </w:rPr>
              <w:t>*</w:t>
            </w:r>
          </w:p>
        </w:tc>
        <w:tc>
          <w:tcPr>
            <w:tcW w:w="409" w:type="pct"/>
            <w:shd w:val="clear" w:color="000000" w:fill="BDD7EE"/>
            <w:noWrap/>
            <w:vAlign w:val="center"/>
            <w:hideMark/>
          </w:tcPr>
          <w:p w14:paraId="7298960E"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rPr>
                <w:rFonts w:eastAsia="Times New Roman" w:cs="Tahoma"/>
                <w:color w:val="000000"/>
                <w:sz w:val="16"/>
                <w:szCs w:val="16"/>
                <w:lang w:eastAsia="en-GB"/>
              </w:rPr>
              <w:t>*</w:t>
            </w:r>
          </w:p>
        </w:tc>
        <w:tc>
          <w:tcPr>
            <w:tcW w:w="409" w:type="pct"/>
            <w:shd w:val="clear" w:color="000000" w:fill="BDD7EE"/>
            <w:noWrap/>
            <w:vAlign w:val="center"/>
            <w:hideMark/>
          </w:tcPr>
          <w:p w14:paraId="62C1957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rPr>
                <w:rFonts w:eastAsia="Times New Roman" w:cs="Tahoma"/>
                <w:color w:val="000000"/>
                <w:sz w:val="16"/>
                <w:szCs w:val="16"/>
                <w:lang w:eastAsia="en-GB"/>
              </w:rPr>
              <w:t>*</w:t>
            </w:r>
          </w:p>
        </w:tc>
        <w:tc>
          <w:tcPr>
            <w:tcW w:w="409" w:type="pct"/>
            <w:shd w:val="clear" w:color="000000" w:fill="BDD7EE"/>
            <w:noWrap/>
            <w:vAlign w:val="center"/>
            <w:hideMark/>
          </w:tcPr>
          <w:p w14:paraId="3790C6B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rPr>
                <w:rFonts w:eastAsia="Times New Roman" w:cs="Tahoma"/>
                <w:color w:val="000000"/>
                <w:sz w:val="16"/>
                <w:szCs w:val="16"/>
                <w:lang w:eastAsia="en-GB"/>
              </w:rPr>
              <w:t>*</w:t>
            </w:r>
          </w:p>
        </w:tc>
        <w:tc>
          <w:tcPr>
            <w:tcW w:w="409" w:type="pct"/>
            <w:shd w:val="clear" w:color="000000" w:fill="BDD7EE"/>
            <w:noWrap/>
            <w:vAlign w:val="center"/>
            <w:hideMark/>
          </w:tcPr>
          <w:p w14:paraId="4824EA7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rPr>
                <w:rFonts w:eastAsia="Times New Roman" w:cs="Tahoma"/>
                <w:color w:val="000000"/>
                <w:sz w:val="16"/>
                <w:szCs w:val="16"/>
                <w:lang w:eastAsia="en-GB"/>
              </w:rPr>
              <w:t>*</w:t>
            </w:r>
          </w:p>
        </w:tc>
        <w:tc>
          <w:tcPr>
            <w:tcW w:w="409" w:type="pct"/>
            <w:shd w:val="clear" w:color="000000" w:fill="BDD7EE"/>
            <w:noWrap/>
            <w:vAlign w:val="center"/>
            <w:hideMark/>
          </w:tcPr>
          <w:p w14:paraId="4B43E512"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rPr>
                <w:rFonts w:eastAsia="Times New Roman" w:cs="Tahoma"/>
                <w:color w:val="000000"/>
                <w:sz w:val="16"/>
                <w:szCs w:val="16"/>
                <w:lang w:eastAsia="en-GB"/>
              </w:rPr>
              <w:t>*</w:t>
            </w:r>
          </w:p>
        </w:tc>
        <w:tc>
          <w:tcPr>
            <w:tcW w:w="407" w:type="pct"/>
            <w:shd w:val="clear" w:color="000000" w:fill="BDD7EE"/>
            <w:noWrap/>
            <w:vAlign w:val="center"/>
            <w:hideMark/>
          </w:tcPr>
          <w:p w14:paraId="06B7B776"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15632A3B" w14:textId="77777777" w:rsidTr="003A3982">
        <w:trPr>
          <w:trHeight w:val="283"/>
        </w:trPr>
        <w:tc>
          <w:tcPr>
            <w:tcW w:w="731" w:type="pct"/>
            <w:shd w:val="clear" w:color="auto" w:fill="auto"/>
            <w:noWrap/>
            <w:vAlign w:val="center"/>
            <w:hideMark/>
          </w:tcPr>
          <w:p w14:paraId="6B8D2DAB"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Netherlands</w:t>
            </w:r>
          </w:p>
        </w:tc>
        <w:tc>
          <w:tcPr>
            <w:tcW w:w="413" w:type="pct"/>
            <w:shd w:val="clear" w:color="auto" w:fill="92D050"/>
            <w:vAlign w:val="center"/>
          </w:tcPr>
          <w:p w14:paraId="258A4EA0" w14:textId="3D7BC661"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64E3DD6D" w14:textId="32D80D7D"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221DF67A" w14:textId="27F1089B"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72857BD0"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5EBBE12"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3FE7746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2D6998A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4711A3C5"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AC48E6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BDD7EE"/>
            <w:noWrap/>
            <w:vAlign w:val="center"/>
            <w:hideMark/>
          </w:tcPr>
          <w:p w14:paraId="3197534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54444163" w14:textId="77777777" w:rsidTr="003A3982">
        <w:trPr>
          <w:trHeight w:val="283"/>
        </w:trPr>
        <w:tc>
          <w:tcPr>
            <w:tcW w:w="731" w:type="pct"/>
            <w:shd w:val="clear" w:color="auto" w:fill="auto"/>
            <w:noWrap/>
            <w:vAlign w:val="center"/>
            <w:hideMark/>
          </w:tcPr>
          <w:p w14:paraId="1857E5F0"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Norway</w:t>
            </w:r>
          </w:p>
        </w:tc>
        <w:tc>
          <w:tcPr>
            <w:tcW w:w="413" w:type="pct"/>
            <w:shd w:val="clear" w:color="auto" w:fill="92D050"/>
            <w:vAlign w:val="center"/>
          </w:tcPr>
          <w:p w14:paraId="74DE25CA" w14:textId="507644A3"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430F866F" w14:textId="2E4053DE"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7F1CED1E" w14:textId="3EB86535"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13C19C4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D9D9D9"/>
            <w:noWrap/>
            <w:vAlign w:val="center"/>
            <w:hideMark/>
          </w:tcPr>
          <w:p w14:paraId="0595E7F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92D050"/>
            <w:noWrap/>
            <w:vAlign w:val="center"/>
            <w:hideMark/>
          </w:tcPr>
          <w:p w14:paraId="62F03509"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342F795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1C4F5EC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2BF45735"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92D050"/>
            <w:noWrap/>
            <w:vAlign w:val="center"/>
            <w:hideMark/>
          </w:tcPr>
          <w:p w14:paraId="57C24E57"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r>
      <w:tr w:rsidR="00FF5606" w:rsidRPr="00215B90" w14:paraId="75ABA556" w14:textId="77777777" w:rsidTr="003A3982">
        <w:trPr>
          <w:trHeight w:val="283"/>
        </w:trPr>
        <w:tc>
          <w:tcPr>
            <w:tcW w:w="731" w:type="pct"/>
            <w:shd w:val="clear" w:color="auto" w:fill="auto"/>
            <w:noWrap/>
            <w:vAlign w:val="center"/>
            <w:hideMark/>
          </w:tcPr>
          <w:p w14:paraId="598D4E60"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Poland</w:t>
            </w:r>
          </w:p>
        </w:tc>
        <w:tc>
          <w:tcPr>
            <w:tcW w:w="413" w:type="pct"/>
            <w:shd w:val="clear" w:color="auto" w:fill="92D050"/>
            <w:vAlign w:val="center"/>
          </w:tcPr>
          <w:p w14:paraId="1862E18F" w14:textId="64341367"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7C9A5F5C" w14:textId="73BF9924"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D9D9D9"/>
            <w:vAlign w:val="center"/>
          </w:tcPr>
          <w:p w14:paraId="1D04A9CB" w14:textId="6D58A40C"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000000" w:fill="BDD7EE"/>
            <w:noWrap/>
            <w:vAlign w:val="center"/>
            <w:hideMark/>
          </w:tcPr>
          <w:p w14:paraId="56F2A052" w14:textId="4B916CE6"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t>*</w:t>
            </w:r>
          </w:p>
        </w:tc>
        <w:tc>
          <w:tcPr>
            <w:tcW w:w="409" w:type="pct"/>
            <w:shd w:val="clear" w:color="000000" w:fill="BDD7EE"/>
            <w:noWrap/>
            <w:vAlign w:val="center"/>
            <w:hideMark/>
          </w:tcPr>
          <w:p w14:paraId="34FD3FE2" w14:textId="7099446C"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t>*</w:t>
            </w:r>
          </w:p>
        </w:tc>
        <w:tc>
          <w:tcPr>
            <w:tcW w:w="409" w:type="pct"/>
            <w:shd w:val="clear" w:color="000000" w:fill="BDD7EE"/>
            <w:noWrap/>
            <w:vAlign w:val="center"/>
            <w:hideMark/>
          </w:tcPr>
          <w:p w14:paraId="72888FA0" w14:textId="3C315B78"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r>
              <w:t>*</w:t>
            </w:r>
          </w:p>
        </w:tc>
        <w:tc>
          <w:tcPr>
            <w:tcW w:w="409" w:type="pct"/>
            <w:shd w:val="clear" w:color="000000" w:fill="D9D9D9"/>
            <w:noWrap/>
            <w:vAlign w:val="center"/>
            <w:hideMark/>
          </w:tcPr>
          <w:p w14:paraId="7BFAD4BF"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60C0ABAE"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5A871BA2"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7" w:type="pct"/>
            <w:shd w:val="clear" w:color="000000" w:fill="D9D9D9"/>
            <w:noWrap/>
            <w:vAlign w:val="center"/>
            <w:hideMark/>
          </w:tcPr>
          <w:p w14:paraId="0C3C0580"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r>
      <w:tr w:rsidR="00FF5606" w:rsidRPr="00215B90" w14:paraId="1CE26CCA" w14:textId="77777777" w:rsidTr="003A3982">
        <w:trPr>
          <w:trHeight w:val="283"/>
        </w:trPr>
        <w:tc>
          <w:tcPr>
            <w:tcW w:w="731" w:type="pct"/>
            <w:shd w:val="clear" w:color="auto" w:fill="auto"/>
            <w:noWrap/>
            <w:vAlign w:val="center"/>
            <w:hideMark/>
          </w:tcPr>
          <w:p w14:paraId="54F2CA07"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Portugal</w:t>
            </w:r>
          </w:p>
        </w:tc>
        <w:tc>
          <w:tcPr>
            <w:tcW w:w="413" w:type="pct"/>
            <w:shd w:val="clear" w:color="auto" w:fill="92D050"/>
            <w:vAlign w:val="center"/>
          </w:tcPr>
          <w:p w14:paraId="00CC4BEB" w14:textId="3CD94FBA"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58BC5873" w14:textId="7AE365FB"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013D5D11" w14:textId="70D5E4ED"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2A280595"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C6AE5A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BF8B8F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FDD42A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4653203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E06C69F"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D9D9D9"/>
            <w:noWrap/>
            <w:vAlign w:val="center"/>
            <w:hideMark/>
          </w:tcPr>
          <w:p w14:paraId="64FEC542"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r>
      <w:tr w:rsidR="00FF5606" w:rsidRPr="00215B90" w14:paraId="06DAC2C2" w14:textId="77777777" w:rsidTr="003A3982">
        <w:trPr>
          <w:trHeight w:val="283"/>
        </w:trPr>
        <w:tc>
          <w:tcPr>
            <w:tcW w:w="731" w:type="pct"/>
            <w:shd w:val="clear" w:color="auto" w:fill="auto"/>
            <w:noWrap/>
            <w:vAlign w:val="center"/>
            <w:hideMark/>
          </w:tcPr>
          <w:p w14:paraId="357445DE"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Romania</w:t>
            </w:r>
          </w:p>
        </w:tc>
        <w:tc>
          <w:tcPr>
            <w:tcW w:w="413" w:type="pct"/>
            <w:shd w:val="clear" w:color="auto" w:fill="92D050"/>
            <w:vAlign w:val="center"/>
          </w:tcPr>
          <w:p w14:paraId="6E1ECC1C" w14:textId="77D46F54"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524D5F80" w14:textId="26B7A41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48A9303D" w14:textId="0F2D276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1DAC5EC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8BD41E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0F96F31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2CF7C897"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38D71489"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2E3B90C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7" w:type="pct"/>
            <w:shd w:val="clear" w:color="000000" w:fill="92D050"/>
            <w:noWrap/>
            <w:vAlign w:val="center"/>
            <w:hideMark/>
          </w:tcPr>
          <w:p w14:paraId="3E2E074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r>
      <w:tr w:rsidR="00FF5606" w:rsidRPr="00215B90" w14:paraId="6EAE3E89" w14:textId="77777777" w:rsidTr="003A3982">
        <w:trPr>
          <w:trHeight w:val="283"/>
        </w:trPr>
        <w:tc>
          <w:tcPr>
            <w:tcW w:w="731" w:type="pct"/>
            <w:shd w:val="clear" w:color="auto" w:fill="auto"/>
            <w:noWrap/>
            <w:vAlign w:val="center"/>
            <w:hideMark/>
          </w:tcPr>
          <w:p w14:paraId="116E3F48"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Slovakia</w:t>
            </w:r>
          </w:p>
        </w:tc>
        <w:tc>
          <w:tcPr>
            <w:tcW w:w="413" w:type="pct"/>
            <w:shd w:val="clear" w:color="auto" w:fill="BDD7EE"/>
            <w:vAlign w:val="center"/>
          </w:tcPr>
          <w:p w14:paraId="2F28D269" w14:textId="52D01EFB"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SIR</w:t>
            </w:r>
          </w:p>
        </w:tc>
        <w:tc>
          <w:tcPr>
            <w:tcW w:w="468" w:type="pct"/>
            <w:shd w:val="clear" w:color="auto" w:fill="BDD7EE"/>
            <w:vAlign w:val="center"/>
          </w:tcPr>
          <w:p w14:paraId="288DBD5F" w14:textId="494675FA"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68" w:type="pct"/>
            <w:shd w:val="clear" w:color="auto" w:fill="BDD7EE"/>
            <w:vAlign w:val="center"/>
          </w:tcPr>
          <w:p w14:paraId="4D7E667A" w14:textId="4D5748B9"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68" w:type="pct"/>
            <w:shd w:val="clear" w:color="000000" w:fill="BDD7EE"/>
            <w:noWrap/>
            <w:vAlign w:val="center"/>
            <w:hideMark/>
          </w:tcPr>
          <w:p w14:paraId="052E2E7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57B8498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53EA1E94"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57A3FFBC"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4996C5AF"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382AA41D"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7" w:type="pct"/>
            <w:shd w:val="clear" w:color="000000" w:fill="BDD7EE"/>
            <w:noWrap/>
            <w:vAlign w:val="center"/>
            <w:hideMark/>
          </w:tcPr>
          <w:p w14:paraId="56E6C8B2"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30BD3810" w14:textId="77777777" w:rsidTr="003A3982">
        <w:trPr>
          <w:trHeight w:val="283"/>
        </w:trPr>
        <w:tc>
          <w:tcPr>
            <w:tcW w:w="731" w:type="pct"/>
            <w:shd w:val="clear" w:color="auto" w:fill="auto"/>
            <w:noWrap/>
            <w:vAlign w:val="center"/>
            <w:hideMark/>
          </w:tcPr>
          <w:p w14:paraId="2DA200DC"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Slovenia</w:t>
            </w:r>
          </w:p>
        </w:tc>
        <w:tc>
          <w:tcPr>
            <w:tcW w:w="413" w:type="pct"/>
            <w:shd w:val="clear" w:color="auto" w:fill="92D050"/>
            <w:vAlign w:val="center"/>
          </w:tcPr>
          <w:p w14:paraId="30EAE25D" w14:textId="50F0B732"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1745EC03" w14:textId="010B7DEF"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3B07D1C3" w14:textId="7C34F91E"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3606F78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445235F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20EDAC69"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8FC03E5"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BDD7EE"/>
            <w:noWrap/>
            <w:vAlign w:val="center"/>
            <w:hideMark/>
          </w:tcPr>
          <w:p w14:paraId="572E5A8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2853F44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7" w:type="pct"/>
            <w:shd w:val="clear" w:color="000000" w:fill="BDD7EE"/>
            <w:noWrap/>
            <w:vAlign w:val="center"/>
            <w:hideMark/>
          </w:tcPr>
          <w:p w14:paraId="37CF8F67"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69A9DE4C" w14:textId="77777777" w:rsidTr="003A3982">
        <w:trPr>
          <w:trHeight w:val="283"/>
        </w:trPr>
        <w:tc>
          <w:tcPr>
            <w:tcW w:w="731" w:type="pct"/>
            <w:shd w:val="clear" w:color="auto" w:fill="auto"/>
            <w:noWrap/>
            <w:vAlign w:val="center"/>
            <w:hideMark/>
          </w:tcPr>
          <w:p w14:paraId="661C88E3"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Spain</w:t>
            </w:r>
          </w:p>
        </w:tc>
        <w:tc>
          <w:tcPr>
            <w:tcW w:w="413" w:type="pct"/>
            <w:shd w:val="clear" w:color="auto" w:fill="92D050"/>
            <w:vAlign w:val="center"/>
          </w:tcPr>
          <w:p w14:paraId="75391FD6" w14:textId="3DB0E61C" w:rsidR="00FF5606" w:rsidRPr="00B429CB" w:rsidRDefault="00FF5606" w:rsidP="003A3982">
            <w:pPr>
              <w:spacing w:after="0" w:line="240" w:lineRule="auto"/>
              <w:jc w:val="center"/>
              <w:rPr>
                <w:rFonts w:eastAsia="Times New Roman" w:cs="Tahoma"/>
                <w:b/>
                <w:bCs/>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7D5E4203" w14:textId="26D284B0"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auto" w:fill="92D050"/>
            <w:vAlign w:val="center"/>
          </w:tcPr>
          <w:p w14:paraId="6FBC6CD0" w14:textId="64C1E43F"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68" w:type="pct"/>
            <w:shd w:val="clear" w:color="000000" w:fill="92D050"/>
            <w:noWrap/>
            <w:vAlign w:val="center"/>
            <w:hideMark/>
          </w:tcPr>
          <w:p w14:paraId="2AA76D89"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7421F1E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554A935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92D050"/>
            <w:noWrap/>
            <w:vAlign w:val="center"/>
            <w:hideMark/>
          </w:tcPr>
          <w:p w14:paraId="2903823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Q</w:t>
            </w:r>
          </w:p>
        </w:tc>
        <w:tc>
          <w:tcPr>
            <w:tcW w:w="409" w:type="pct"/>
            <w:shd w:val="clear" w:color="000000" w:fill="BDD7EE"/>
            <w:noWrap/>
            <w:vAlign w:val="center"/>
            <w:hideMark/>
          </w:tcPr>
          <w:p w14:paraId="06A668DF"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3911E909"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7" w:type="pct"/>
            <w:shd w:val="clear" w:color="000000" w:fill="BDD7EE"/>
            <w:noWrap/>
            <w:vAlign w:val="center"/>
            <w:hideMark/>
          </w:tcPr>
          <w:p w14:paraId="7F25D6AE"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r w:rsidR="00FF5606" w:rsidRPr="00215B90" w14:paraId="74F955DD" w14:textId="77777777" w:rsidTr="003A3982">
        <w:trPr>
          <w:trHeight w:val="283"/>
        </w:trPr>
        <w:tc>
          <w:tcPr>
            <w:tcW w:w="731" w:type="pct"/>
            <w:shd w:val="clear" w:color="auto" w:fill="auto"/>
            <w:noWrap/>
            <w:vAlign w:val="center"/>
            <w:hideMark/>
          </w:tcPr>
          <w:p w14:paraId="34C20B03"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Sweden</w:t>
            </w:r>
          </w:p>
        </w:tc>
        <w:tc>
          <w:tcPr>
            <w:tcW w:w="413" w:type="pct"/>
            <w:shd w:val="clear" w:color="auto" w:fill="B685DB"/>
            <w:vAlign w:val="center"/>
          </w:tcPr>
          <w:p w14:paraId="48F14488" w14:textId="6425B833" w:rsidR="00FF5606" w:rsidRPr="00B429CB" w:rsidRDefault="00FF5606" w:rsidP="003A3982">
            <w:pPr>
              <w:spacing w:after="0" w:line="240" w:lineRule="auto"/>
              <w:jc w:val="center"/>
              <w:rPr>
                <w:rFonts w:eastAsia="Times New Roman" w:cs="Tahoma"/>
                <w:b/>
                <w:bCs/>
                <w:color w:val="000000"/>
                <w:sz w:val="16"/>
                <w:szCs w:val="16"/>
                <w:lang w:eastAsia="en-GB"/>
              </w:rPr>
            </w:pPr>
            <w:r>
              <w:rPr>
                <w:rFonts w:eastAsia="Times New Roman" w:cs="Tahoma"/>
                <w:color w:val="000000"/>
                <w:sz w:val="16"/>
                <w:szCs w:val="16"/>
                <w:lang w:eastAsia="en-GB"/>
              </w:rPr>
              <w:t>WGS</w:t>
            </w:r>
          </w:p>
        </w:tc>
        <w:tc>
          <w:tcPr>
            <w:tcW w:w="468" w:type="pct"/>
            <w:shd w:val="clear" w:color="auto" w:fill="B685DB"/>
            <w:vAlign w:val="center"/>
          </w:tcPr>
          <w:p w14:paraId="1CFAE33D" w14:textId="67091C99" w:rsidR="00FF5606" w:rsidRPr="00215B90" w:rsidRDefault="00FF5606" w:rsidP="003A3982">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468" w:type="pct"/>
            <w:shd w:val="clear" w:color="auto" w:fill="B685DB"/>
            <w:vAlign w:val="center"/>
          </w:tcPr>
          <w:p w14:paraId="132D402B" w14:textId="4DA0CBD2" w:rsidR="00FF5606" w:rsidRPr="00215B90" w:rsidRDefault="00FF5606" w:rsidP="003A3982">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468" w:type="pct"/>
            <w:shd w:val="clear" w:color="auto" w:fill="B685DB"/>
            <w:noWrap/>
            <w:vAlign w:val="center"/>
            <w:hideMark/>
          </w:tcPr>
          <w:p w14:paraId="4A036F70" w14:textId="051F17CE" w:rsidR="00FF5606" w:rsidRPr="00215B90" w:rsidRDefault="00FF5606" w:rsidP="003A3982">
            <w:pPr>
              <w:spacing w:after="0" w:line="240" w:lineRule="auto"/>
              <w:jc w:val="center"/>
              <w:rPr>
                <w:rFonts w:eastAsia="Times New Roman" w:cs="Tahoma"/>
                <w:color w:val="000000"/>
                <w:sz w:val="16"/>
                <w:szCs w:val="16"/>
                <w:lang w:eastAsia="en-GB"/>
              </w:rPr>
            </w:pPr>
            <w:r>
              <w:rPr>
                <w:rFonts w:eastAsia="Times New Roman" w:cs="Tahoma"/>
                <w:color w:val="000000"/>
                <w:sz w:val="16"/>
                <w:szCs w:val="16"/>
                <w:lang w:eastAsia="en-GB"/>
              </w:rPr>
              <w:t>WGS</w:t>
            </w:r>
          </w:p>
        </w:tc>
        <w:tc>
          <w:tcPr>
            <w:tcW w:w="409" w:type="pct"/>
            <w:shd w:val="clear" w:color="000000" w:fill="D9D9D9"/>
            <w:noWrap/>
            <w:vAlign w:val="center"/>
            <w:hideMark/>
          </w:tcPr>
          <w:p w14:paraId="00D6EFE9"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50BE776A"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35F7F91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051B0B7F"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9" w:type="pct"/>
            <w:shd w:val="clear" w:color="000000" w:fill="D9D9D9"/>
            <w:noWrap/>
            <w:vAlign w:val="center"/>
            <w:hideMark/>
          </w:tcPr>
          <w:p w14:paraId="7994C67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07" w:type="pct"/>
            <w:shd w:val="clear" w:color="000000" w:fill="D9D9D9"/>
            <w:noWrap/>
            <w:vAlign w:val="center"/>
            <w:hideMark/>
          </w:tcPr>
          <w:p w14:paraId="5B8E1646"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r>
      <w:tr w:rsidR="00FF5606" w:rsidRPr="00215B90" w14:paraId="612736A7" w14:textId="77777777" w:rsidTr="003A3982">
        <w:trPr>
          <w:trHeight w:val="283"/>
        </w:trPr>
        <w:tc>
          <w:tcPr>
            <w:tcW w:w="731" w:type="pct"/>
            <w:shd w:val="clear" w:color="auto" w:fill="auto"/>
            <w:noWrap/>
            <w:vAlign w:val="center"/>
            <w:hideMark/>
          </w:tcPr>
          <w:p w14:paraId="1C6008B5" w14:textId="77777777" w:rsidR="00FF5606" w:rsidRPr="00215B90" w:rsidRDefault="00FF5606" w:rsidP="003A3982">
            <w:pPr>
              <w:spacing w:after="0" w:line="240" w:lineRule="auto"/>
              <w:rPr>
                <w:rFonts w:eastAsia="Times New Roman" w:cs="Tahoma"/>
                <w:color w:val="000000"/>
                <w:sz w:val="16"/>
                <w:szCs w:val="16"/>
                <w:lang w:eastAsia="en-GB"/>
              </w:rPr>
            </w:pPr>
            <w:r w:rsidRPr="00215B90">
              <w:rPr>
                <w:rFonts w:eastAsia="Times New Roman" w:cs="Tahoma"/>
                <w:color w:val="000000"/>
                <w:sz w:val="16"/>
                <w:szCs w:val="16"/>
                <w:lang w:eastAsia="en-GB"/>
              </w:rPr>
              <w:t>United Kingdom</w:t>
            </w:r>
          </w:p>
        </w:tc>
        <w:tc>
          <w:tcPr>
            <w:tcW w:w="413" w:type="pct"/>
            <w:shd w:val="clear" w:color="auto" w:fill="D9D9D9"/>
            <w:vAlign w:val="center"/>
          </w:tcPr>
          <w:p w14:paraId="29DA6E2C" w14:textId="46CB9743" w:rsidR="00FF5606" w:rsidRPr="00B429CB" w:rsidRDefault="00FF5606" w:rsidP="003A3982">
            <w:pPr>
              <w:spacing w:after="0" w:line="240" w:lineRule="auto"/>
              <w:jc w:val="center"/>
              <w:rPr>
                <w:rFonts w:eastAsia="Times New Roman" w:cs="Tahoma"/>
                <w:b/>
                <w:bCs/>
                <w:color w:val="000000"/>
                <w:sz w:val="16"/>
                <w:szCs w:val="16"/>
                <w:lang w:eastAsia="en-GB"/>
              </w:rPr>
            </w:pPr>
            <w:r>
              <w:rPr>
                <w:rFonts w:eastAsia="Times New Roman" w:cs="Tahoma"/>
                <w:b/>
                <w:bCs/>
                <w:color w:val="000000"/>
                <w:sz w:val="16"/>
                <w:szCs w:val="16"/>
                <w:lang w:eastAsia="en-GB"/>
              </w:rPr>
              <w:t>-</w:t>
            </w:r>
          </w:p>
        </w:tc>
        <w:tc>
          <w:tcPr>
            <w:tcW w:w="468" w:type="pct"/>
            <w:shd w:val="clear" w:color="auto" w:fill="D9D9D9"/>
            <w:vAlign w:val="center"/>
          </w:tcPr>
          <w:p w14:paraId="361EE289" w14:textId="144EB09F"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auto" w:fill="D9D9D9"/>
            <w:vAlign w:val="center"/>
          </w:tcPr>
          <w:p w14:paraId="2B3AC054" w14:textId="25A7EC3F"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w:t>
            </w:r>
          </w:p>
        </w:tc>
        <w:tc>
          <w:tcPr>
            <w:tcW w:w="468" w:type="pct"/>
            <w:shd w:val="clear" w:color="000000" w:fill="BDD7EE"/>
            <w:noWrap/>
            <w:vAlign w:val="center"/>
            <w:hideMark/>
          </w:tcPr>
          <w:p w14:paraId="07F10F51"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45E53DC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067F498B"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5C351BF5"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7C7E644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9" w:type="pct"/>
            <w:shd w:val="clear" w:color="000000" w:fill="BDD7EE"/>
            <w:noWrap/>
            <w:vAlign w:val="center"/>
            <w:hideMark/>
          </w:tcPr>
          <w:p w14:paraId="17D94B83"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c>
          <w:tcPr>
            <w:tcW w:w="407" w:type="pct"/>
            <w:shd w:val="clear" w:color="000000" w:fill="BDD7EE"/>
            <w:noWrap/>
            <w:vAlign w:val="center"/>
            <w:hideMark/>
          </w:tcPr>
          <w:p w14:paraId="0632AD18" w14:textId="77777777" w:rsidR="00FF5606" w:rsidRPr="00215B90" w:rsidRDefault="00FF5606" w:rsidP="003A3982">
            <w:pPr>
              <w:spacing w:after="0" w:line="240" w:lineRule="auto"/>
              <w:jc w:val="center"/>
              <w:rPr>
                <w:rFonts w:eastAsia="Times New Roman" w:cs="Tahoma"/>
                <w:color w:val="000000"/>
                <w:sz w:val="16"/>
                <w:szCs w:val="16"/>
                <w:lang w:eastAsia="en-GB"/>
              </w:rPr>
            </w:pPr>
            <w:r w:rsidRPr="00215B90">
              <w:rPr>
                <w:rFonts w:eastAsia="Times New Roman" w:cs="Tahoma"/>
                <w:color w:val="000000"/>
                <w:sz w:val="16"/>
                <w:szCs w:val="16"/>
                <w:lang w:eastAsia="en-GB"/>
              </w:rPr>
              <w:t>SIR</w:t>
            </w:r>
          </w:p>
        </w:tc>
      </w:tr>
    </w:tbl>
    <w:p w14:paraId="1C6B0BA9" w14:textId="71D810EB" w:rsidR="000C1690" w:rsidRDefault="000C1690" w:rsidP="00E0697D">
      <w:pPr>
        <w:pStyle w:val="ECFootnote"/>
        <w:ind w:left="142" w:right="-306" w:hanging="142"/>
        <w:rPr>
          <w:rFonts w:cs="Tahoma"/>
          <w:b/>
          <w:bCs/>
          <w:color w:val="69AE23"/>
          <w:sz w:val="30"/>
          <w:szCs w:val="30"/>
        </w:rPr>
      </w:pPr>
      <w:r w:rsidRPr="00505465">
        <w:rPr>
          <w:szCs w:val="16"/>
        </w:rPr>
        <w:t xml:space="preserve">Q – quantitative data, MIC or zone mm; SIR – data interpreted with clinical breakpoints; </w:t>
      </w:r>
      <w:r w:rsidR="00FF5606">
        <w:rPr>
          <w:szCs w:val="16"/>
        </w:rPr>
        <w:t>WGS</w:t>
      </w:r>
      <w:r w:rsidRPr="00505465">
        <w:rPr>
          <w:szCs w:val="16"/>
        </w:rPr>
        <w:t xml:space="preserve"> – acquired resistance predicted from genotypic methods; - no data reported; * </w:t>
      </w:r>
      <w:proofErr w:type="spellStart"/>
      <w:r w:rsidRPr="00505465">
        <w:rPr>
          <w:i/>
          <w:iCs/>
          <w:szCs w:val="16"/>
        </w:rPr>
        <w:t>Enterobacterales</w:t>
      </w:r>
      <w:proofErr w:type="spellEnd"/>
      <w:r w:rsidRPr="00505465">
        <w:rPr>
          <w:szCs w:val="16"/>
        </w:rPr>
        <w:t xml:space="preserve"> breakpoints used for ciprofloxacin instead of </w:t>
      </w:r>
      <w:r w:rsidRPr="00505465">
        <w:rPr>
          <w:i/>
          <w:iCs/>
          <w:szCs w:val="16"/>
        </w:rPr>
        <w:t>Salmonella</w:t>
      </w:r>
      <w:r w:rsidRPr="00505465">
        <w:rPr>
          <w:szCs w:val="16"/>
        </w:rPr>
        <w:t xml:space="preserve"> breakpoints</w:t>
      </w:r>
      <w:r>
        <w:br w:type="page"/>
      </w:r>
    </w:p>
    <w:p w14:paraId="7AA65FDE" w14:textId="77777777" w:rsidR="00AC0043" w:rsidRDefault="00AC0043" w:rsidP="009F5B73">
      <w:pPr>
        <w:pStyle w:val="EC-Title-5"/>
        <w:outlineLvl w:val="0"/>
        <w:rPr>
          <w:i/>
        </w:rPr>
      </w:pPr>
      <w:bookmarkStart w:id="66" w:name="_Toc127531829"/>
      <w:r w:rsidRPr="00F048CC">
        <w:lastRenderedPageBreak/>
        <w:t>Shigellosis</w:t>
      </w:r>
      <w:bookmarkEnd w:id="54"/>
      <w:bookmarkEnd w:id="66"/>
    </w:p>
    <w:p w14:paraId="47A15819" w14:textId="7A7675C2" w:rsidR="00EE1F3C" w:rsidRPr="00A32FE1" w:rsidRDefault="00CB3144" w:rsidP="00EE1F3C">
      <w:pPr>
        <w:pStyle w:val="EC-Para"/>
        <w:jc w:val="right"/>
        <w:rPr>
          <w:b/>
          <w:lang w:eastAsia="en-US"/>
        </w:rPr>
      </w:pPr>
      <w:r>
        <w:rPr>
          <w:b/>
          <w:lang w:eastAsia="en-US"/>
        </w:rPr>
        <w:t>Last updated: 13 August 2024</w:t>
      </w:r>
    </w:p>
    <w:p w14:paraId="13BD8FF3" w14:textId="306A8E7E" w:rsidR="00EE1F3C" w:rsidRDefault="005A6584"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5BB8D470" w14:textId="41D3DD6B" w:rsidR="00AC0043" w:rsidRDefault="00AC0043" w:rsidP="00AC0043">
      <w:pPr>
        <w:pStyle w:val="EC-Para"/>
        <w:jc w:val="right"/>
        <w:rPr>
          <w:b/>
          <w:lang w:eastAsia="en-US"/>
        </w:rPr>
      </w:pPr>
    </w:p>
    <w:p w14:paraId="5CBAB237" w14:textId="5B18DE4B" w:rsidR="00AC0043" w:rsidRPr="008D0E3F" w:rsidRDefault="00AC0043" w:rsidP="00AC0043">
      <w:pPr>
        <w:autoSpaceDE w:val="0"/>
        <w:autoSpaceDN w:val="0"/>
        <w:adjustRightInd w:val="0"/>
        <w:spacing w:after="120"/>
        <w:jc w:val="both"/>
        <w:rPr>
          <w:rFonts w:cs="Tahoma"/>
          <w:szCs w:val="18"/>
        </w:rPr>
      </w:pPr>
      <w:r>
        <w:rPr>
          <w:rFonts w:cs="Tahoma"/>
          <w:szCs w:val="18"/>
        </w:rPr>
        <w:t>Shigellosis is</w:t>
      </w:r>
      <w:r w:rsidRPr="00F44E9A">
        <w:rPr>
          <w:rFonts w:cs="Tahoma"/>
          <w:szCs w:val="18"/>
          <w:lang w:val="en"/>
        </w:rPr>
        <w:t xml:space="preserve"> an</w:t>
      </w:r>
      <w:r>
        <w:rPr>
          <w:rFonts w:cs="Tahoma"/>
          <w:szCs w:val="18"/>
        </w:rPr>
        <w:t xml:space="preserve"> acute bacterial</w:t>
      </w:r>
      <w:r w:rsidRPr="00F44E9A">
        <w:rPr>
          <w:rFonts w:cs="Tahoma"/>
          <w:szCs w:val="18"/>
        </w:rPr>
        <w:t xml:space="preserve"> </w:t>
      </w:r>
      <w:r w:rsidRPr="00F44E9A">
        <w:rPr>
          <w:rFonts w:cs="Tahoma"/>
          <w:bCs/>
          <w:szCs w:val="18"/>
        </w:rPr>
        <w:t>infection</w:t>
      </w:r>
      <w:r w:rsidRPr="00F44E9A">
        <w:rPr>
          <w:rFonts w:cs="Tahoma"/>
          <w:szCs w:val="18"/>
        </w:rPr>
        <w:t xml:space="preserve"> caused by </w:t>
      </w:r>
      <w:r w:rsidR="00544C2C" w:rsidRPr="009D3F1F">
        <w:rPr>
          <w:rFonts w:eastAsia="Arial Unicode MS" w:cs="Tahoma"/>
          <w:kern w:val="22"/>
          <w:szCs w:val="18"/>
        </w:rPr>
        <w:t xml:space="preserve">bacteria of the genus </w:t>
      </w:r>
      <w:r w:rsidRPr="00BC3884">
        <w:rPr>
          <w:rFonts w:cs="Tahoma"/>
          <w:i/>
          <w:szCs w:val="18"/>
        </w:rPr>
        <w:t>Shigella</w:t>
      </w:r>
      <w:r>
        <w:rPr>
          <w:rFonts w:cs="Tahoma"/>
          <w:i/>
          <w:szCs w:val="18"/>
        </w:rPr>
        <w:t>.</w:t>
      </w:r>
      <w:r w:rsidRPr="00F44E9A">
        <w:rPr>
          <w:rStyle w:val="Emphasis"/>
          <w:rFonts w:cs="Tahoma"/>
          <w:szCs w:val="18"/>
          <w:lang w:val="en"/>
        </w:rPr>
        <w:t xml:space="preserve"> </w:t>
      </w:r>
      <w:r w:rsidRPr="00F44E9A">
        <w:rPr>
          <w:rFonts w:eastAsiaTheme="minorHAnsi" w:cs="Tahoma"/>
          <w:szCs w:val="18"/>
        </w:rPr>
        <w:t xml:space="preserve">For a more detailed description of the </w:t>
      </w:r>
      <w:r w:rsidRPr="008D0E3F">
        <w:rPr>
          <w:rFonts w:eastAsiaTheme="minorHAnsi" w:cs="Tahoma"/>
          <w:szCs w:val="18"/>
        </w:rPr>
        <w:t>disease and its epidemiology, ple</w:t>
      </w:r>
      <w:r w:rsidRPr="009D4D86">
        <w:rPr>
          <w:rFonts w:eastAsiaTheme="minorHAnsi" w:cs="Tahoma"/>
          <w:szCs w:val="18"/>
        </w:rPr>
        <w:t>ase click</w:t>
      </w:r>
      <w:r w:rsidRPr="009D4D86">
        <w:rPr>
          <w:rFonts w:cs="Tahoma"/>
          <w:szCs w:val="18"/>
        </w:rPr>
        <w:t xml:space="preserve"> </w:t>
      </w:r>
      <w:hyperlink r:id="rId75" w:history="1">
        <w:r w:rsidRPr="009D4D86">
          <w:rPr>
            <w:rStyle w:val="Hyperlink"/>
            <w:i/>
            <w:sz w:val="18"/>
            <w:szCs w:val="18"/>
          </w:rPr>
          <w:t>here</w:t>
        </w:r>
      </w:hyperlink>
      <w:r w:rsidRPr="009D4D86">
        <w:rPr>
          <w:rStyle w:val="Hyperlink"/>
          <w:i/>
          <w:sz w:val="18"/>
          <w:szCs w:val="18"/>
        </w:rPr>
        <w:t>.</w:t>
      </w:r>
      <w:r w:rsidRPr="008D0E3F">
        <w:rPr>
          <w:rStyle w:val="Hyperlink"/>
          <w:i/>
        </w:rPr>
        <w:t xml:space="preserve">  </w:t>
      </w:r>
    </w:p>
    <w:p w14:paraId="0153C68B" w14:textId="77777777" w:rsidR="00AC0043" w:rsidRPr="008D0E3F" w:rsidRDefault="00AC0043" w:rsidP="009F5B73">
      <w:pPr>
        <w:pStyle w:val="EC-Title-6"/>
        <w:outlineLvl w:val="1"/>
        <w:rPr>
          <w:rFonts w:cs="Tahoma"/>
        </w:rPr>
      </w:pPr>
      <w:r w:rsidRPr="008D0E3F">
        <w:rPr>
          <w:rFonts w:cs="Tahoma"/>
        </w:rPr>
        <w:t>Data</w:t>
      </w:r>
    </w:p>
    <w:p w14:paraId="05F47ED1" w14:textId="140F7D60" w:rsidR="00AC0043" w:rsidRPr="008D0E3F" w:rsidRDefault="00AC0043" w:rsidP="00AC0043">
      <w:pPr>
        <w:pStyle w:val="EC-Para"/>
        <w:jc w:val="both"/>
        <w:rPr>
          <w:rFonts w:cs="Tahoma"/>
        </w:rPr>
      </w:pPr>
      <w:r w:rsidRPr="008D0E3F">
        <w:rPr>
          <w:rFonts w:cs="Tahoma"/>
        </w:rPr>
        <w:t xml:space="preserve">The Surveillance Atlas of Infectious Diseases displays data on shigellosis reported by the </w:t>
      </w:r>
      <w:r w:rsidR="00E75405" w:rsidRPr="008D0E3F">
        <w:rPr>
          <w:rFonts w:cs="Tahoma"/>
        </w:rPr>
        <w:t>EU/EEA countries</w:t>
      </w:r>
      <w:r w:rsidRPr="008D0E3F">
        <w:rPr>
          <w:rFonts w:cs="Tahoma"/>
        </w:rPr>
        <w:t xml:space="preserve">. Cases are to be reported according to the </w:t>
      </w:r>
      <w:r w:rsidR="00F53BCA" w:rsidRPr="008D0E3F">
        <w:rPr>
          <w:rFonts w:cs="Tahoma"/>
        </w:rPr>
        <w:t>2018</w:t>
      </w:r>
      <w:r w:rsidRPr="008D0E3F">
        <w:rPr>
          <w:rFonts w:cs="Tahoma"/>
        </w:rPr>
        <w:t xml:space="preserve"> EU case definition for shigellosis</w:t>
      </w:r>
      <w:r w:rsidRPr="008D0E3F">
        <w:rPr>
          <w:rStyle w:val="FootnoteReference"/>
          <w:rFonts w:cs="Tahoma"/>
        </w:rPr>
        <w:footnoteReference w:id="31"/>
      </w:r>
      <w:r w:rsidRPr="008D0E3F">
        <w:rPr>
          <w:rFonts w:cs="Tahoma"/>
        </w:rPr>
        <w:t>:</w:t>
      </w:r>
    </w:p>
    <w:p w14:paraId="0FB1D3DF"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b/>
          <w:bCs/>
          <w:color w:val="000000"/>
          <w:szCs w:val="18"/>
        </w:rPr>
        <w:t xml:space="preserve">Clinical criteria </w:t>
      </w:r>
    </w:p>
    <w:p w14:paraId="3419DCF9"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xml:space="preserve">Any person with at least one of the following four: </w:t>
      </w:r>
    </w:p>
    <w:p w14:paraId="5F3F178D"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xml:space="preserve">— </w:t>
      </w:r>
      <w:proofErr w:type="gramStart"/>
      <w:r w:rsidRPr="008D0E3F">
        <w:rPr>
          <w:rFonts w:eastAsiaTheme="minorHAnsi" w:cs="Tahoma"/>
          <w:color w:val="000000"/>
          <w:szCs w:val="18"/>
        </w:rPr>
        <w:t>Diarrhoea;</w:t>
      </w:r>
      <w:proofErr w:type="gramEnd"/>
      <w:r w:rsidRPr="008D0E3F">
        <w:rPr>
          <w:rFonts w:eastAsiaTheme="minorHAnsi" w:cs="Tahoma"/>
          <w:color w:val="000000"/>
          <w:szCs w:val="18"/>
        </w:rPr>
        <w:t xml:space="preserve"> </w:t>
      </w:r>
    </w:p>
    <w:p w14:paraId="12775923"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xml:space="preserve">— </w:t>
      </w:r>
      <w:proofErr w:type="gramStart"/>
      <w:r w:rsidRPr="008D0E3F">
        <w:rPr>
          <w:rFonts w:eastAsiaTheme="minorHAnsi" w:cs="Tahoma"/>
          <w:color w:val="000000"/>
          <w:szCs w:val="18"/>
        </w:rPr>
        <w:t>Fever;</w:t>
      </w:r>
      <w:proofErr w:type="gramEnd"/>
    </w:p>
    <w:p w14:paraId="07A35030"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xml:space="preserve">— </w:t>
      </w:r>
      <w:proofErr w:type="gramStart"/>
      <w:r w:rsidRPr="008D0E3F">
        <w:rPr>
          <w:rFonts w:eastAsiaTheme="minorHAnsi" w:cs="Tahoma"/>
          <w:color w:val="000000"/>
          <w:szCs w:val="18"/>
        </w:rPr>
        <w:t>Vomiting;</w:t>
      </w:r>
      <w:proofErr w:type="gramEnd"/>
      <w:r w:rsidRPr="008D0E3F">
        <w:rPr>
          <w:rFonts w:eastAsiaTheme="minorHAnsi" w:cs="Tahoma"/>
          <w:color w:val="000000"/>
          <w:szCs w:val="18"/>
        </w:rPr>
        <w:t xml:space="preserve"> </w:t>
      </w:r>
    </w:p>
    <w:p w14:paraId="1F47E4F5"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xml:space="preserve">— Abdominal </w:t>
      </w:r>
      <w:proofErr w:type="gramStart"/>
      <w:r w:rsidRPr="008D0E3F">
        <w:rPr>
          <w:rFonts w:eastAsiaTheme="minorHAnsi" w:cs="Tahoma"/>
          <w:color w:val="000000"/>
          <w:szCs w:val="18"/>
        </w:rPr>
        <w:t>pain;</w:t>
      </w:r>
      <w:proofErr w:type="gramEnd"/>
      <w:r w:rsidRPr="008D0E3F">
        <w:rPr>
          <w:rFonts w:eastAsiaTheme="minorHAnsi" w:cs="Tahoma"/>
          <w:color w:val="000000"/>
          <w:szCs w:val="18"/>
        </w:rPr>
        <w:t xml:space="preserve"> </w:t>
      </w:r>
    </w:p>
    <w:p w14:paraId="2427423A" w14:textId="5D40C38C" w:rsidR="00AC0043" w:rsidRPr="008D0E3F" w:rsidRDefault="00AC0043" w:rsidP="00AC0043">
      <w:pPr>
        <w:autoSpaceDE w:val="0"/>
        <w:autoSpaceDN w:val="0"/>
        <w:adjustRightInd w:val="0"/>
        <w:spacing w:before="60" w:after="60"/>
        <w:rPr>
          <w:rFonts w:eastAsiaTheme="minorHAnsi" w:cs="Tahoma"/>
          <w:b/>
          <w:bCs/>
          <w:color w:val="000000"/>
          <w:szCs w:val="18"/>
        </w:rPr>
      </w:pPr>
      <w:r w:rsidRPr="008D0E3F">
        <w:rPr>
          <w:rFonts w:eastAsiaTheme="minorHAnsi" w:cs="Tahoma"/>
          <w:b/>
          <w:bCs/>
          <w:color w:val="000000"/>
          <w:szCs w:val="18"/>
        </w:rPr>
        <w:t xml:space="preserve">Laboratory criteria </w:t>
      </w:r>
    </w:p>
    <w:p w14:paraId="189AA748" w14:textId="0D753B53" w:rsidR="005921B5" w:rsidRPr="008D0E3F" w:rsidRDefault="005921B5" w:rsidP="00AC0043">
      <w:pPr>
        <w:autoSpaceDE w:val="0"/>
        <w:autoSpaceDN w:val="0"/>
        <w:adjustRightInd w:val="0"/>
        <w:spacing w:before="60" w:after="60"/>
        <w:rPr>
          <w:rFonts w:eastAsiaTheme="minorHAnsi" w:cs="Tahoma"/>
          <w:color w:val="000000"/>
          <w:szCs w:val="18"/>
        </w:rPr>
      </w:pPr>
      <w:r w:rsidRPr="008D0E3F">
        <w:rPr>
          <w:szCs w:val="18"/>
        </w:rPr>
        <w:t>For a confirmed case:</w:t>
      </w:r>
    </w:p>
    <w:p w14:paraId="11247FE4" w14:textId="65718690"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xml:space="preserve">— Isolation of </w:t>
      </w:r>
      <w:r w:rsidRPr="008D0E3F">
        <w:rPr>
          <w:rFonts w:eastAsiaTheme="minorHAnsi" w:cs="Tahoma"/>
          <w:i/>
          <w:iCs/>
          <w:color w:val="000000"/>
          <w:szCs w:val="18"/>
        </w:rPr>
        <w:t xml:space="preserve">Shigella </w:t>
      </w:r>
      <w:r w:rsidRPr="008D0E3F">
        <w:rPr>
          <w:rFonts w:eastAsiaTheme="minorHAnsi" w:cs="Tahoma"/>
          <w:color w:val="000000"/>
          <w:szCs w:val="18"/>
        </w:rPr>
        <w:t xml:space="preserve">spp. from a clinical specimen </w:t>
      </w:r>
    </w:p>
    <w:p w14:paraId="24BB8874" w14:textId="77777777" w:rsidR="00B9235D" w:rsidRDefault="00E313D0" w:rsidP="00B9235D">
      <w:pPr>
        <w:autoSpaceDE w:val="0"/>
        <w:autoSpaceDN w:val="0"/>
        <w:adjustRightInd w:val="0"/>
        <w:spacing w:before="60" w:after="60"/>
        <w:rPr>
          <w:szCs w:val="18"/>
        </w:rPr>
      </w:pPr>
      <w:r w:rsidRPr="008D0E3F">
        <w:rPr>
          <w:szCs w:val="18"/>
        </w:rPr>
        <w:t>For a probable case:</w:t>
      </w:r>
    </w:p>
    <w:p w14:paraId="0CC78926" w14:textId="3D774C6B" w:rsidR="00B9235D" w:rsidRDefault="00E313D0" w:rsidP="00B9235D">
      <w:pPr>
        <w:autoSpaceDE w:val="0"/>
        <w:autoSpaceDN w:val="0"/>
        <w:adjustRightInd w:val="0"/>
        <w:spacing w:before="60" w:after="60"/>
        <w:rPr>
          <w:szCs w:val="18"/>
        </w:rPr>
      </w:pPr>
      <w:r w:rsidRPr="008D0E3F">
        <w:rPr>
          <w:szCs w:val="18"/>
        </w:rPr>
        <w:t>— Detection of Shigella spp. nucleic acid in a clinical specimen</w:t>
      </w:r>
    </w:p>
    <w:p w14:paraId="43F5F8F6" w14:textId="77777777" w:rsidR="00B9235D" w:rsidRDefault="00E313D0" w:rsidP="00B9235D">
      <w:pPr>
        <w:autoSpaceDE w:val="0"/>
        <w:autoSpaceDN w:val="0"/>
        <w:adjustRightInd w:val="0"/>
        <w:spacing w:before="60" w:after="60"/>
        <w:rPr>
          <w:szCs w:val="18"/>
        </w:rPr>
      </w:pPr>
      <w:r w:rsidRPr="008D0E3F">
        <w:rPr>
          <w:szCs w:val="18"/>
        </w:rPr>
        <w:t xml:space="preserve">Note: Antimicrobial susceptibility testing of </w:t>
      </w:r>
      <w:r w:rsidRPr="008D0E3F">
        <w:rPr>
          <w:i/>
          <w:szCs w:val="18"/>
        </w:rPr>
        <w:t>Shigella</w:t>
      </w:r>
      <w:r w:rsidRPr="008D0E3F">
        <w:rPr>
          <w:szCs w:val="18"/>
        </w:rPr>
        <w:t xml:space="preserve"> should be performed, if possible</w:t>
      </w:r>
    </w:p>
    <w:p w14:paraId="404B18FB" w14:textId="4E5CD234" w:rsidR="00AC0043" w:rsidRPr="008D0E3F" w:rsidRDefault="00AC0043" w:rsidP="00B9235D">
      <w:pPr>
        <w:autoSpaceDE w:val="0"/>
        <w:autoSpaceDN w:val="0"/>
        <w:adjustRightInd w:val="0"/>
        <w:spacing w:before="60" w:after="60"/>
        <w:rPr>
          <w:rFonts w:eastAsiaTheme="minorHAnsi" w:cs="Tahoma"/>
          <w:color w:val="000000"/>
          <w:szCs w:val="18"/>
        </w:rPr>
      </w:pPr>
      <w:r w:rsidRPr="008D0E3F">
        <w:rPr>
          <w:rFonts w:eastAsiaTheme="minorHAnsi" w:cs="Tahoma"/>
          <w:b/>
          <w:bCs/>
          <w:color w:val="000000"/>
          <w:szCs w:val="18"/>
        </w:rPr>
        <w:t xml:space="preserve">Epidemiological criteria </w:t>
      </w:r>
    </w:p>
    <w:p w14:paraId="1C0A3625"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xml:space="preserve">At least one of the following five epidemiological links: </w:t>
      </w:r>
    </w:p>
    <w:p w14:paraId="4ECBDE91" w14:textId="6DCF5889"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Human</w:t>
      </w:r>
      <w:r w:rsidR="00E313D0" w:rsidRPr="008D0E3F">
        <w:rPr>
          <w:rFonts w:eastAsiaTheme="minorHAnsi" w:cs="Tahoma"/>
          <w:color w:val="000000"/>
          <w:szCs w:val="18"/>
        </w:rPr>
        <w:t xml:space="preserve"> </w:t>
      </w:r>
      <w:r w:rsidRPr="008D0E3F">
        <w:rPr>
          <w:rFonts w:eastAsiaTheme="minorHAnsi" w:cs="Tahoma"/>
          <w:color w:val="000000"/>
          <w:szCs w:val="18"/>
        </w:rPr>
        <w:t>to</w:t>
      </w:r>
      <w:r w:rsidR="00E313D0" w:rsidRPr="008D0E3F">
        <w:rPr>
          <w:rFonts w:eastAsiaTheme="minorHAnsi" w:cs="Tahoma"/>
          <w:color w:val="000000"/>
          <w:szCs w:val="18"/>
        </w:rPr>
        <w:t xml:space="preserve"> </w:t>
      </w:r>
      <w:r w:rsidRPr="008D0E3F">
        <w:rPr>
          <w:rFonts w:eastAsiaTheme="minorHAnsi" w:cs="Tahoma"/>
          <w:color w:val="000000"/>
          <w:szCs w:val="18"/>
        </w:rPr>
        <w:t xml:space="preserve">human </w:t>
      </w:r>
      <w:proofErr w:type="gramStart"/>
      <w:r w:rsidRPr="008D0E3F">
        <w:rPr>
          <w:rFonts w:eastAsiaTheme="minorHAnsi" w:cs="Tahoma"/>
          <w:color w:val="000000"/>
          <w:szCs w:val="18"/>
        </w:rPr>
        <w:t>transmission;</w:t>
      </w:r>
      <w:proofErr w:type="gramEnd"/>
    </w:p>
    <w:p w14:paraId="7E263232"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xml:space="preserve">— Exposure to a common </w:t>
      </w:r>
      <w:proofErr w:type="gramStart"/>
      <w:r w:rsidRPr="008D0E3F">
        <w:rPr>
          <w:rFonts w:eastAsiaTheme="minorHAnsi" w:cs="Tahoma"/>
          <w:color w:val="000000"/>
          <w:szCs w:val="18"/>
        </w:rPr>
        <w:t>source;</w:t>
      </w:r>
      <w:proofErr w:type="gramEnd"/>
    </w:p>
    <w:p w14:paraId="1A6099FC" w14:textId="7076E3E4"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Anima</w:t>
      </w:r>
      <w:r w:rsidR="00E313D0" w:rsidRPr="008D0E3F">
        <w:rPr>
          <w:rFonts w:eastAsiaTheme="minorHAnsi" w:cs="Tahoma"/>
          <w:color w:val="000000"/>
          <w:szCs w:val="18"/>
        </w:rPr>
        <w:t xml:space="preserve"> </w:t>
      </w:r>
      <w:r w:rsidRPr="008D0E3F">
        <w:rPr>
          <w:rFonts w:eastAsiaTheme="minorHAnsi" w:cs="Tahoma"/>
          <w:color w:val="000000"/>
          <w:szCs w:val="18"/>
        </w:rPr>
        <w:t>to</w:t>
      </w:r>
      <w:r w:rsidR="00E313D0" w:rsidRPr="008D0E3F">
        <w:rPr>
          <w:rFonts w:eastAsiaTheme="minorHAnsi" w:cs="Tahoma"/>
          <w:color w:val="000000"/>
          <w:szCs w:val="18"/>
        </w:rPr>
        <w:t xml:space="preserve"> </w:t>
      </w:r>
      <w:r w:rsidRPr="008D0E3F">
        <w:rPr>
          <w:rFonts w:eastAsiaTheme="minorHAnsi" w:cs="Tahoma"/>
          <w:color w:val="000000"/>
          <w:szCs w:val="18"/>
        </w:rPr>
        <w:t xml:space="preserve">human </w:t>
      </w:r>
      <w:proofErr w:type="gramStart"/>
      <w:r w:rsidRPr="008D0E3F">
        <w:rPr>
          <w:rFonts w:eastAsiaTheme="minorHAnsi" w:cs="Tahoma"/>
          <w:color w:val="000000"/>
          <w:szCs w:val="18"/>
        </w:rPr>
        <w:t>transmission;</w:t>
      </w:r>
      <w:proofErr w:type="gramEnd"/>
    </w:p>
    <w:p w14:paraId="070008BB"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xml:space="preserve">— Exposure to contaminated food/drinking </w:t>
      </w:r>
      <w:proofErr w:type="gramStart"/>
      <w:r w:rsidRPr="008D0E3F">
        <w:rPr>
          <w:rFonts w:eastAsiaTheme="minorHAnsi" w:cs="Tahoma"/>
          <w:color w:val="000000"/>
          <w:szCs w:val="18"/>
        </w:rPr>
        <w:t>water;</w:t>
      </w:r>
      <w:proofErr w:type="gramEnd"/>
    </w:p>
    <w:p w14:paraId="275B998B" w14:textId="77777777" w:rsidR="00AC0043" w:rsidRPr="008D0E3F" w:rsidRDefault="00AC0043"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 Environmental exposure.</w:t>
      </w:r>
    </w:p>
    <w:p w14:paraId="001E3866" w14:textId="77777777" w:rsidR="00AC0043" w:rsidRPr="008D0E3F" w:rsidRDefault="00AC0043" w:rsidP="00AC0043">
      <w:pPr>
        <w:autoSpaceDE w:val="0"/>
        <w:autoSpaceDN w:val="0"/>
        <w:adjustRightInd w:val="0"/>
        <w:spacing w:before="60" w:after="60"/>
        <w:rPr>
          <w:rFonts w:eastAsiaTheme="minorHAnsi" w:cs="Tahoma"/>
          <w:color w:val="000000"/>
        </w:rPr>
      </w:pPr>
    </w:p>
    <w:p w14:paraId="22665ECC" w14:textId="2E8D3A0F" w:rsidR="00AC0043" w:rsidRPr="008D0E3F" w:rsidRDefault="00AC0043" w:rsidP="00AC0043">
      <w:pPr>
        <w:pStyle w:val="CM4"/>
        <w:spacing w:before="60" w:after="60"/>
        <w:rPr>
          <w:rFonts w:ascii="Tahoma" w:hAnsi="Tahoma" w:cs="Tahoma"/>
          <w:b/>
          <w:sz w:val="18"/>
          <w:szCs w:val="18"/>
        </w:rPr>
      </w:pPr>
      <w:r w:rsidRPr="008D0E3F">
        <w:rPr>
          <w:rFonts w:ascii="Tahoma" w:hAnsi="Tahoma" w:cs="Tahoma"/>
          <w:b/>
          <w:sz w:val="18"/>
          <w:szCs w:val="18"/>
        </w:rPr>
        <w:t>Case classification</w:t>
      </w:r>
    </w:p>
    <w:p w14:paraId="154DEF25" w14:textId="7CA9CE43" w:rsidR="0063377E" w:rsidRPr="008D0E3F" w:rsidRDefault="0063377E" w:rsidP="006C449A">
      <w:pPr>
        <w:pStyle w:val="Default"/>
        <w:rPr>
          <w:rFonts w:ascii="Tahoma" w:hAnsi="Tahoma" w:cs="Tahoma"/>
          <w:sz w:val="18"/>
          <w:szCs w:val="18"/>
        </w:rPr>
      </w:pPr>
      <w:r w:rsidRPr="008D0E3F">
        <w:rPr>
          <w:rFonts w:ascii="Tahoma" w:hAnsi="Tahoma" w:cs="Tahoma"/>
          <w:sz w:val="18"/>
          <w:szCs w:val="18"/>
        </w:rPr>
        <w:t>A. Possible case NA</w:t>
      </w:r>
    </w:p>
    <w:p w14:paraId="4C4F855D" w14:textId="195AD202" w:rsidR="00AC0043" w:rsidRPr="008D0E3F" w:rsidRDefault="0063377E" w:rsidP="00AC0043">
      <w:pPr>
        <w:autoSpaceDE w:val="0"/>
        <w:autoSpaceDN w:val="0"/>
        <w:adjustRightInd w:val="0"/>
        <w:spacing w:before="60" w:after="60"/>
        <w:rPr>
          <w:rFonts w:eastAsiaTheme="minorHAnsi" w:cs="Tahoma"/>
          <w:color w:val="000000"/>
          <w:szCs w:val="18"/>
        </w:rPr>
      </w:pPr>
      <w:r w:rsidRPr="008D0E3F">
        <w:rPr>
          <w:rFonts w:eastAsiaTheme="minorHAnsi" w:cs="Tahoma"/>
          <w:color w:val="000000"/>
          <w:szCs w:val="18"/>
        </w:rPr>
        <w:t>B</w:t>
      </w:r>
      <w:r w:rsidR="00AC0043" w:rsidRPr="008D0E3F">
        <w:rPr>
          <w:rFonts w:eastAsiaTheme="minorHAnsi" w:cs="Tahoma"/>
          <w:color w:val="000000"/>
          <w:szCs w:val="18"/>
        </w:rPr>
        <w:t xml:space="preserve">. </w:t>
      </w:r>
      <w:r w:rsidR="00AC0043" w:rsidRPr="008D0E3F">
        <w:rPr>
          <w:rFonts w:eastAsiaTheme="minorHAnsi" w:cs="Tahoma"/>
          <w:bCs/>
          <w:color w:val="000000"/>
          <w:szCs w:val="18"/>
        </w:rPr>
        <w:t xml:space="preserve">Probable case: </w:t>
      </w:r>
      <w:r w:rsidR="00AC0043" w:rsidRPr="008D0E3F">
        <w:rPr>
          <w:rFonts w:eastAsiaTheme="minorHAnsi" w:cs="Tahoma"/>
          <w:color w:val="000000"/>
          <w:szCs w:val="18"/>
        </w:rPr>
        <w:t>Any person meeting the clinical criteria with an epidemiological link</w:t>
      </w:r>
      <w:r w:rsidRPr="008D0E3F">
        <w:rPr>
          <w:rFonts w:eastAsiaTheme="minorHAnsi" w:cs="Tahoma"/>
          <w:color w:val="000000"/>
          <w:szCs w:val="18"/>
        </w:rPr>
        <w:t xml:space="preserve"> </w:t>
      </w:r>
      <w:r w:rsidRPr="008D0E3F">
        <w:rPr>
          <w:rFonts w:eastAsiaTheme="minorHAnsi" w:cs="Tahoma"/>
          <w:color w:val="000000"/>
          <w:szCs w:val="18"/>
        </w:rPr>
        <w:br/>
        <w:t>OR</w:t>
      </w:r>
      <w:r w:rsidRPr="008D0E3F">
        <w:rPr>
          <w:rFonts w:eastAsiaTheme="minorHAnsi" w:cs="Tahoma"/>
          <w:color w:val="000000"/>
          <w:szCs w:val="18"/>
        </w:rPr>
        <w:br/>
      </w:r>
      <w:r w:rsidRPr="008D0E3F">
        <w:rPr>
          <w:szCs w:val="18"/>
        </w:rPr>
        <w:t>Any person meeting the clinical criteria and laboratory criteria for a probable case</w:t>
      </w:r>
    </w:p>
    <w:p w14:paraId="302FFC83" w14:textId="77777777" w:rsidR="006C449A" w:rsidRPr="008D0E3F" w:rsidRDefault="0063377E" w:rsidP="00AC0043">
      <w:pPr>
        <w:autoSpaceDE w:val="0"/>
        <w:autoSpaceDN w:val="0"/>
        <w:adjustRightInd w:val="0"/>
        <w:spacing w:before="60" w:after="60"/>
        <w:rPr>
          <w:szCs w:val="18"/>
        </w:rPr>
      </w:pPr>
      <w:r w:rsidRPr="008D0E3F">
        <w:rPr>
          <w:rFonts w:eastAsiaTheme="minorHAnsi" w:cs="Tahoma"/>
          <w:color w:val="000000"/>
          <w:szCs w:val="18"/>
        </w:rPr>
        <w:t>C</w:t>
      </w:r>
      <w:r w:rsidR="00AC0043" w:rsidRPr="008D0E3F">
        <w:rPr>
          <w:rFonts w:eastAsiaTheme="minorHAnsi" w:cs="Tahoma"/>
          <w:color w:val="000000"/>
          <w:szCs w:val="18"/>
        </w:rPr>
        <w:t xml:space="preserve">. </w:t>
      </w:r>
      <w:r w:rsidR="00AC0043" w:rsidRPr="008D0E3F">
        <w:rPr>
          <w:rFonts w:eastAsiaTheme="minorHAnsi" w:cs="Tahoma"/>
          <w:bCs/>
          <w:color w:val="000000"/>
          <w:szCs w:val="18"/>
        </w:rPr>
        <w:t xml:space="preserve">Confirmed case: </w:t>
      </w:r>
      <w:r w:rsidR="00AC0043" w:rsidRPr="008D0E3F">
        <w:rPr>
          <w:rFonts w:eastAsiaTheme="minorHAnsi" w:cs="Tahoma"/>
          <w:szCs w:val="18"/>
        </w:rPr>
        <w:t>Any person meeting the clinical and the laboratory criteria</w:t>
      </w:r>
      <w:r w:rsidRPr="008D0E3F">
        <w:rPr>
          <w:rFonts w:eastAsiaTheme="minorHAnsi" w:cs="Tahoma"/>
          <w:szCs w:val="18"/>
        </w:rPr>
        <w:t xml:space="preserve"> </w:t>
      </w:r>
      <w:r w:rsidRPr="008D0E3F">
        <w:rPr>
          <w:szCs w:val="18"/>
        </w:rPr>
        <w:t xml:space="preserve">for a confirmed case </w:t>
      </w:r>
    </w:p>
    <w:p w14:paraId="0F3B14C2" w14:textId="77777777" w:rsidR="006C449A" w:rsidRPr="008D0E3F" w:rsidRDefault="006C449A" w:rsidP="00AC0043">
      <w:pPr>
        <w:autoSpaceDE w:val="0"/>
        <w:autoSpaceDN w:val="0"/>
        <w:adjustRightInd w:val="0"/>
        <w:spacing w:before="60" w:after="60"/>
        <w:rPr>
          <w:szCs w:val="18"/>
        </w:rPr>
      </w:pPr>
    </w:p>
    <w:p w14:paraId="21BC0D10" w14:textId="07ACD56E" w:rsidR="00AC0043" w:rsidRPr="008D0E3F" w:rsidRDefault="0063377E" w:rsidP="00AC0043">
      <w:pPr>
        <w:autoSpaceDE w:val="0"/>
        <w:autoSpaceDN w:val="0"/>
        <w:adjustRightInd w:val="0"/>
        <w:spacing w:before="60" w:after="60"/>
        <w:rPr>
          <w:szCs w:val="18"/>
        </w:rPr>
      </w:pPr>
      <w:r w:rsidRPr="008D0E3F">
        <w:rPr>
          <w:szCs w:val="18"/>
        </w:rPr>
        <w:t>Note: If the national surveillance system is not capturing clinical symptoms, all laboratory-confirmed individuals should be reported as confirmed cases</w:t>
      </w:r>
    </w:p>
    <w:p w14:paraId="0C84954F" w14:textId="77777777" w:rsidR="008D0E3F" w:rsidRPr="008D0E3F" w:rsidRDefault="008D0E3F" w:rsidP="00AC0043">
      <w:pPr>
        <w:autoSpaceDE w:val="0"/>
        <w:autoSpaceDN w:val="0"/>
        <w:adjustRightInd w:val="0"/>
        <w:spacing w:before="60" w:after="60"/>
        <w:rPr>
          <w:rFonts w:eastAsiaTheme="minorHAnsi" w:cs="Tahoma"/>
          <w:color w:val="000000"/>
          <w:szCs w:val="18"/>
        </w:rPr>
      </w:pPr>
    </w:p>
    <w:p w14:paraId="38102F69" w14:textId="315555EA" w:rsidR="0063377E" w:rsidRPr="008D0E3F" w:rsidRDefault="0063377E" w:rsidP="003778F0">
      <w:pPr>
        <w:pStyle w:val="EC-Para"/>
        <w:spacing w:after="0" w:line="259" w:lineRule="auto"/>
        <w:rPr>
          <w:color w:val="FF0000"/>
          <w:lang w:eastAsia="en-US"/>
        </w:rPr>
      </w:pPr>
      <w:r w:rsidRPr="008D0E3F">
        <w:rPr>
          <w:b/>
        </w:rPr>
        <w:t>Antimicrobial resistance</w:t>
      </w:r>
      <w:r w:rsidRPr="008D0E3F">
        <w:br/>
        <w:t>The results of antimicrobial susceptibility tests must be reported according to the methods and criteria agreed between ECDC and Member States.</w:t>
      </w:r>
    </w:p>
    <w:p w14:paraId="4BC848E9" w14:textId="37DB59C2" w:rsidR="0063377E" w:rsidRPr="008D0E3F" w:rsidRDefault="0063377E" w:rsidP="00AC0043">
      <w:pPr>
        <w:pStyle w:val="EC-Para"/>
        <w:spacing w:after="0" w:line="240" w:lineRule="auto"/>
        <w:jc w:val="both"/>
        <w:rPr>
          <w:color w:val="FF0000"/>
          <w:lang w:eastAsia="en-US"/>
        </w:rPr>
      </w:pPr>
    </w:p>
    <w:p w14:paraId="2F20DAE2" w14:textId="77777777" w:rsidR="008D0E3F" w:rsidRDefault="008D0E3F" w:rsidP="008D0E3F">
      <w:pPr>
        <w:pStyle w:val="EC-Para"/>
        <w:spacing w:after="0" w:line="240" w:lineRule="auto"/>
        <w:jc w:val="both"/>
        <w:rPr>
          <w:rFonts w:cs="Tahoma"/>
        </w:rPr>
      </w:pPr>
      <w:r w:rsidRPr="008D0E3F">
        <w:rPr>
          <w:rFonts w:cs="Tahoma"/>
        </w:rPr>
        <w:t>------------------------</w:t>
      </w:r>
    </w:p>
    <w:p w14:paraId="1A79DF01" w14:textId="5B5FD119" w:rsidR="008D0E3F" w:rsidRDefault="008D0E3F" w:rsidP="008D0E3F">
      <w:pPr>
        <w:pStyle w:val="EC-Para"/>
        <w:spacing w:after="0" w:line="240" w:lineRule="auto"/>
        <w:jc w:val="both"/>
        <w:rPr>
          <w:lang w:eastAsia="en-US"/>
        </w:rPr>
      </w:pPr>
      <w:r>
        <w:rPr>
          <w:rFonts w:cs="Tahoma"/>
        </w:rPr>
        <w:lastRenderedPageBreak/>
        <w:t>(</w:t>
      </w:r>
      <w:r w:rsidRPr="004B02D3">
        <w:rPr>
          <w:rFonts w:cs="Tahoma"/>
        </w:rPr>
        <w:t>C</w:t>
      </w:r>
      <w:r w:rsidRPr="004B02D3">
        <w:rPr>
          <w:lang w:eastAsia="en-US"/>
        </w:rPr>
        <w:t xml:space="preserve">ompared </w:t>
      </w:r>
      <w:r>
        <w:rPr>
          <w:lang w:eastAsia="en-US"/>
        </w:rPr>
        <w:t>with</w:t>
      </w:r>
      <w:r w:rsidRPr="004B02D3">
        <w:rPr>
          <w:lang w:eastAsia="en-US"/>
        </w:rPr>
        <w:t xml:space="preserve"> the 2008 and 2012 EU case definition, the 2018 EU case definition allows genotypic tests for </w:t>
      </w:r>
      <w:r>
        <w:rPr>
          <w:lang w:eastAsia="en-US"/>
        </w:rPr>
        <w:t>laboratory confirmation of a probable case</w:t>
      </w:r>
      <w:r w:rsidRPr="004B02D3">
        <w:rPr>
          <w:lang w:eastAsia="en-US"/>
        </w:rPr>
        <w:t xml:space="preserve"> and </w:t>
      </w:r>
      <w:r>
        <w:rPr>
          <w:lang w:eastAsia="en-US"/>
        </w:rPr>
        <w:t>includes a recommendation for antimicrobial susceptibility testing and reporting to ECDC.</w:t>
      </w:r>
      <w:r w:rsidRPr="004B02D3">
        <w:rPr>
          <w:lang w:eastAsia="en-US"/>
        </w:rPr>
        <w:t xml:space="preserve"> </w:t>
      </w:r>
      <w:r w:rsidRPr="003B4E4E">
        <w:rPr>
          <w:lang w:eastAsia="en-US"/>
        </w:rPr>
        <w:t>The</w:t>
      </w:r>
      <w:r>
        <w:rPr>
          <w:lang w:eastAsia="en-US"/>
        </w:rPr>
        <w:t xml:space="preserve"> note is also a new addition.)</w:t>
      </w:r>
    </w:p>
    <w:p w14:paraId="750F2FEE" w14:textId="77777777" w:rsidR="008D0E3F" w:rsidRDefault="008D0E3F" w:rsidP="00AC0043">
      <w:pPr>
        <w:pStyle w:val="EC-Para"/>
        <w:spacing w:after="0" w:line="240" w:lineRule="auto"/>
        <w:jc w:val="both"/>
        <w:rPr>
          <w:color w:val="FF0000"/>
          <w:lang w:eastAsia="en-US"/>
        </w:rPr>
      </w:pPr>
    </w:p>
    <w:p w14:paraId="4DE42589" w14:textId="77777777" w:rsidR="00AC0043" w:rsidRPr="00452AF8" w:rsidRDefault="00AC0043" w:rsidP="003778F0">
      <w:pPr>
        <w:pStyle w:val="EC-Title-6"/>
      </w:pPr>
      <w:r w:rsidRPr="00BD0ACE">
        <w:t xml:space="preserve">Data collection and </w:t>
      </w:r>
      <w:r w:rsidRPr="003778F0">
        <w:t>analysis</w:t>
      </w:r>
      <w:r w:rsidRPr="00BD0ACE">
        <w:t xml:space="preserve"> </w:t>
      </w:r>
    </w:p>
    <w:p w14:paraId="4480CD10" w14:textId="53310F3B" w:rsidR="00AC0043" w:rsidRDefault="00AC0043" w:rsidP="00AC004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C345F5">
        <w:rPr>
          <w:rFonts w:cs="Tahoma"/>
        </w:rPr>
        <w:t>EU/EEA countries</w:t>
      </w:r>
      <w:r>
        <w:rPr>
          <w:rFonts w:cs="Tahoma"/>
        </w:rPr>
        <w:t>. C</w:t>
      </w:r>
      <w:r>
        <w:t>ountry population denominators by age group for the calculation of notification rates were obtained from Eurostat</w:t>
      </w:r>
      <w:r>
        <w:rPr>
          <w:rStyle w:val="FootnoteReference"/>
        </w:rPr>
        <w:footnoteReference w:id="32"/>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1C47C5EB" w14:textId="77777777" w:rsidR="00AC0043" w:rsidRDefault="00AC0043" w:rsidP="00AC0043">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08807974" w14:textId="77777777" w:rsidR="00AC0043" w:rsidRDefault="00AC0043" w:rsidP="00AC0043">
      <w:pPr>
        <w:pStyle w:val="EC-Para"/>
        <w:jc w:val="both"/>
        <w:rPr>
          <w:rFonts w:cs="Tahoma"/>
        </w:rPr>
      </w:pPr>
      <w:r>
        <w:rPr>
          <w:rFonts w:cs="Tahoma"/>
        </w:rPr>
        <w:t>Surveillance systems across the EU/EEA countries are heterogeneous and a surveillance systems overview is displayed in Annex 1.</w:t>
      </w:r>
    </w:p>
    <w:p w14:paraId="3D4618DB" w14:textId="77777777" w:rsidR="003778F0" w:rsidRDefault="003778F0" w:rsidP="00AC0043">
      <w:pPr>
        <w:pStyle w:val="EC-Para"/>
        <w:jc w:val="both"/>
        <w:rPr>
          <w:rFonts w:cs="Tahoma"/>
        </w:rPr>
      </w:pPr>
    </w:p>
    <w:p w14:paraId="43C009A4" w14:textId="77777777" w:rsidR="00AC0043" w:rsidRPr="0072746F" w:rsidRDefault="00AC0043" w:rsidP="003778F0">
      <w:pPr>
        <w:pStyle w:val="EC-Title-6"/>
      </w:pPr>
      <w:r w:rsidRPr="0072746F">
        <w:t xml:space="preserve">Surveillance Atlas </w:t>
      </w:r>
      <w:r w:rsidRPr="003778F0">
        <w:t>indicators</w:t>
      </w:r>
    </w:p>
    <w:p w14:paraId="393EC2C1" w14:textId="77777777" w:rsidR="00AC0043" w:rsidRDefault="00AC0043" w:rsidP="00213E66">
      <w:pPr>
        <w:pStyle w:val="EC-Para"/>
        <w:spacing w:after="60" w:line="240" w:lineRule="auto"/>
        <w:rPr>
          <w:rFonts w:cs="Tahoma"/>
        </w:rPr>
      </w:pPr>
      <w:r w:rsidRPr="005E139C">
        <w:rPr>
          <w:rFonts w:cs="Tahoma"/>
        </w:rPr>
        <w:t>The Surveillan</w:t>
      </w:r>
      <w:r>
        <w:rPr>
          <w:rFonts w:cs="Tahoma"/>
        </w:rPr>
        <w:t>ce Atlas indicators for confirmed cases of shigellosis</w:t>
      </w:r>
      <w:r w:rsidRPr="005E139C">
        <w:rPr>
          <w:rFonts w:cs="Tahoma"/>
        </w:rPr>
        <w:t xml:space="preserve"> are:</w:t>
      </w:r>
    </w:p>
    <w:p w14:paraId="37C2285A" w14:textId="77777777" w:rsidR="00AC0043" w:rsidRPr="007B34B1" w:rsidRDefault="00AC0043" w:rsidP="00213E66">
      <w:pPr>
        <w:numPr>
          <w:ilvl w:val="0"/>
          <w:numId w:val="22"/>
        </w:numPr>
        <w:kinsoku w:val="0"/>
        <w:autoSpaceDE w:val="0"/>
        <w:autoSpaceDN w:val="0"/>
        <w:adjustRightInd w:val="0"/>
        <w:spacing w:after="60" w:line="240" w:lineRule="auto"/>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2E92CE0D" w14:textId="77777777" w:rsidR="00AC0043" w:rsidRDefault="00AC0043" w:rsidP="00213E66">
      <w:pPr>
        <w:numPr>
          <w:ilvl w:val="0"/>
          <w:numId w:val="22"/>
        </w:numPr>
        <w:kinsoku w:val="0"/>
        <w:autoSpaceDE w:val="0"/>
        <w:autoSpaceDN w:val="0"/>
        <w:adjustRightInd w:val="0"/>
        <w:spacing w:after="60" w:line="240" w:lineRule="auto"/>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50F79BE4" w14:textId="77777777" w:rsidR="00AC0043" w:rsidRDefault="00AC0043" w:rsidP="00213E66">
      <w:pPr>
        <w:numPr>
          <w:ilvl w:val="0"/>
          <w:numId w:val="22"/>
        </w:numPr>
        <w:kinsoku w:val="0"/>
        <w:autoSpaceDE w:val="0"/>
        <w:autoSpaceDN w:val="0"/>
        <w:adjustRightInd w:val="0"/>
        <w:spacing w:after="60" w:line="240" w:lineRule="auto"/>
        <w:rPr>
          <w:rFonts w:eastAsia="Arial Unicode MS" w:cs="Tahoma"/>
          <w:kern w:val="22"/>
          <w:szCs w:val="18"/>
        </w:rPr>
      </w:pPr>
      <w:r>
        <w:rPr>
          <w:rFonts w:eastAsia="Arial Unicode MS" w:cs="Tahoma"/>
          <w:kern w:val="22"/>
          <w:szCs w:val="18"/>
        </w:rPr>
        <w:t xml:space="preserve">Age-standardised rate </w:t>
      </w:r>
      <w:r w:rsidRPr="007B34B1">
        <w:rPr>
          <w:rFonts w:eastAsia="Arial Unicode MS" w:cs="Tahoma"/>
          <w:kern w:val="22"/>
          <w:szCs w:val="18"/>
        </w:rPr>
        <w:t xml:space="preserve">per 100 000 </w:t>
      </w:r>
      <w:proofErr w:type="gramStart"/>
      <w:r w:rsidRPr="007B34B1">
        <w:rPr>
          <w:rFonts w:eastAsia="Arial Unicode MS" w:cs="Tahoma"/>
          <w:kern w:val="22"/>
          <w:szCs w:val="18"/>
        </w:rPr>
        <w:t>population</w:t>
      </w:r>
      <w:r>
        <w:rPr>
          <w:rFonts w:eastAsia="Arial Unicode MS" w:cs="Tahoma"/>
          <w:kern w:val="22"/>
          <w:szCs w:val="18"/>
        </w:rPr>
        <w:t>;</w:t>
      </w:r>
      <w:proofErr w:type="gramEnd"/>
    </w:p>
    <w:p w14:paraId="46246B7F" w14:textId="77777777" w:rsidR="00AC0043" w:rsidRPr="007B34B1" w:rsidRDefault="00AC0043" w:rsidP="00213E66">
      <w:pPr>
        <w:numPr>
          <w:ilvl w:val="0"/>
          <w:numId w:val="22"/>
        </w:numPr>
        <w:kinsoku w:val="0"/>
        <w:autoSpaceDE w:val="0"/>
        <w:autoSpaceDN w:val="0"/>
        <w:adjustRightInd w:val="0"/>
        <w:spacing w:after="60" w:line="240" w:lineRule="auto"/>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7E3CAFAA" w14:textId="77777777" w:rsidR="00AC0043" w:rsidRPr="00C31313" w:rsidRDefault="00AC0043" w:rsidP="00213E66">
      <w:pPr>
        <w:numPr>
          <w:ilvl w:val="0"/>
          <w:numId w:val="22"/>
        </w:numPr>
        <w:kinsoku w:val="0"/>
        <w:autoSpaceDE w:val="0"/>
        <w:autoSpaceDN w:val="0"/>
        <w:adjustRightInd w:val="0"/>
        <w:spacing w:after="60" w:line="240" w:lineRule="auto"/>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 xml:space="preserve">cases </w:t>
      </w:r>
      <w:r w:rsidRPr="002F58C3">
        <w:rPr>
          <w:rFonts w:eastAsia="Arial Unicode MS" w:cs="Tahoma"/>
          <w:kern w:val="22"/>
          <w:szCs w:val="18"/>
        </w:rPr>
        <w:t>with known history of hospitalisation</w:t>
      </w:r>
      <w:r w:rsidRPr="007B34B1">
        <w:rPr>
          <w:rFonts w:eastAsia="Arial Unicode MS" w:cs="Tahoma"/>
          <w:kern w:val="22"/>
          <w:szCs w:val="18"/>
        </w:rPr>
        <w:t xml:space="preserve"> (%</w:t>
      </w:r>
      <w:proofErr w:type="gramStart"/>
      <w:r w:rsidRPr="007B34B1">
        <w:rPr>
          <w:rFonts w:eastAsia="Arial Unicode MS" w:cs="Tahoma"/>
          <w:kern w:val="22"/>
          <w:szCs w:val="18"/>
        </w:rPr>
        <w:t>);</w:t>
      </w:r>
      <w:proofErr w:type="gramEnd"/>
    </w:p>
    <w:p w14:paraId="792C065D" w14:textId="77777777" w:rsidR="00AC0043" w:rsidRPr="007B34B1" w:rsidRDefault="00AC0043" w:rsidP="00213E66">
      <w:pPr>
        <w:numPr>
          <w:ilvl w:val="0"/>
          <w:numId w:val="22"/>
        </w:numPr>
        <w:kinsoku w:val="0"/>
        <w:autoSpaceDE w:val="0"/>
        <w:autoSpaceDN w:val="0"/>
        <w:adjustRightInd w:val="0"/>
        <w:spacing w:after="60" w:line="240" w:lineRule="auto"/>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28FD167F" w14:textId="77777777" w:rsidR="00AC0043" w:rsidRPr="007B34B1" w:rsidRDefault="00AC0043" w:rsidP="00213E66">
      <w:pPr>
        <w:numPr>
          <w:ilvl w:val="0"/>
          <w:numId w:val="22"/>
        </w:numPr>
        <w:kinsoku w:val="0"/>
        <w:autoSpaceDE w:val="0"/>
        <w:autoSpaceDN w:val="0"/>
        <w:adjustRightInd w:val="0"/>
        <w:spacing w:after="60" w:line="240" w:lineRule="auto"/>
        <w:rPr>
          <w:rFonts w:eastAsia="Arial Unicode MS" w:cs="Tahoma"/>
          <w:kern w:val="22"/>
          <w:szCs w:val="18"/>
        </w:rPr>
      </w:pPr>
      <w:r>
        <w:rPr>
          <w:rFonts w:eastAsia="Arial Unicode MS" w:cs="Tahoma"/>
          <w:kern w:val="22"/>
          <w:szCs w:val="18"/>
        </w:rPr>
        <w:t>Case fatality calculated as proportion of deaths among confirmed cases with known disease</w:t>
      </w:r>
      <w:r w:rsidDel="00EE3E8A">
        <w:rPr>
          <w:rFonts w:eastAsia="Arial Unicode MS" w:cs="Tahoma"/>
          <w:kern w:val="22"/>
          <w:szCs w:val="18"/>
        </w:rPr>
        <w:t xml:space="preserv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1054D198" w14:textId="77777777" w:rsidR="00AC0043" w:rsidRPr="007B34B1" w:rsidRDefault="00AC0043" w:rsidP="00213E66">
      <w:pPr>
        <w:numPr>
          <w:ilvl w:val="0"/>
          <w:numId w:val="22"/>
        </w:numPr>
        <w:kinsoku w:val="0"/>
        <w:autoSpaceDE w:val="0"/>
        <w:autoSpaceDN w:val="0"/>
        <w:adjustRightInd w:val="0"/>
        <w:spacing w:after="60" w:line="240" w:lineRule="auto"/>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20F96453" w14:textId="77777777" w:rsidR="00AC0043" w:rsidRPr="007B34B1" w:rsidRDefault="00AC0043" w:rsidP="00213E66">
      <w:pPr>
        <w:numPr>
          <w:ilvl w:val="0"/>
          <w:numId w:val="22"/>
        </w:numPr>
        <w:kinsoku w:val="0"/>
        <w:autoSpaceDE w:val="0"/>
        <w:autoSpaceDN w:val="0"/>
        <w:adjustRightInd w:val="0"/>
        <w:spacing w:after="60" w:line="240" w:lineRule="auto"/>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1A8A8F28" w14:textId="77777777" w:rsidR="00AC0043" w:rsidRDefault="00AC0043" w:rsidP="00213E66">
      <w:pPr>
        <w:kinsoku w:val="0"/>
        <w:autoSpaceDE w:val="0"/>
        <w:autoSpaceDN w:val="0"/>
        <w:adjustRightInd w:val="0"/>
        <w:spacing w:after="60" w:line="240" w:lineRule="auto"/>
        <w:rPr>
          <w:rFonts w:eastAsia="Arial Unicode MS" w:cs="Tahoma"/>
          <w:kern w:val="22"/>
          <w:szCs w:val="18"/>
        </w:rPr>
      </w:pPr>
    </w:p>
    <w:p w14:paraId="0F5B38F5" w14:textId="77777777" w:rsidR="00AC0043" w:rsidRPr="007B34B1" w:rsidRDefault="00AC0043" w:rsidP="00213E66">
      <w:pPr>
        <w:kinsoku w:val="0"/>
        <w:autoSpaceDE w:val="0"/>
        <w:autoSpaceDN w:val="0"/>
        <w:adjustRightInd w:val="0"/>
        <w:spacing w:after="60" w:line="240" w:lineRule="auto"/>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39A4B96A" w14:textId="77777777" w:rsidR="00AC0043" w:rsidRPr="007B34B1" w:rsidRDefault="00AC0043" w:rsidP="00213E66">
      <w:pPr>
        <w:numPr>
          <w:ilvl w:val="0"/>
          <w:numId w:val="1"/>
        </w:numPr>
        <w:kinsoku w:val="0"/>
        <w:autoSpaceDE w:val="0"/>
        <w:autoSpaceDN w:val="0"/>
        <w:adjustRightInd w:val="0"/>
        <w:spacing w:after="60" w:line="240" w:lineRule="auto"/>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7F69EA00" w14:textId="77777777" w:rsidR="00AC0043" w:rsidRPr="007B34B1" w:rsidRDefault="00AC0043" w:rsidP="00213E66">
      <w:pPr>
        <w:numPr>
          <w:ilvl w:val="0"/>
          <w:numId w:val="1"/>
        </w:numPr>
        <w:kinsoku w:val="0"/>
        <w:autoSpaceDE w:val="0"/>
        <w:autoSpaceDN w:val="0"/>
        <w:adjustRightInd w:val="0"/>
        <w:spacing w:after="60" w:line="240" w:lineRule="auto"/>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1D4301AE" w14:textId="77777777" w:rsidR="00AC0043" w:rsidRDefault="00AC0043" w:rsidP="00213E66">
      <w:pPr>
        <w:kinsoku w:val="0"/>
        <w:autoSpaceDE w:val="0"/>
        <w:autoSpaceDN w:val="0"/>
        <w:adjustRightInd w:val="0"/>
        <w:spacing w:after="60" w:line="240" w:lineRule="auto"/>
        <w:rPr>
          <w:rFonts w:eastAsia="Arial Unicode MS" w:cs="Tahoma"/>
          <w:kern w:val="22"/>
          <w:szCs w:val="18"/>
        </w:rPr>
      </w:pPr>
    </w:p>
    <w:p w14:paraId="2EA43778" w14:textId="77777777" w:rsidR="00AC0043" w:rsidRPr="007B34B1" w:rsidRDefault="00AC0043" w:rsidP="00213E66">
      <w:pPr>
        <w:kinsoku w:val="0"/>
        <w:autoSpaceDE w:val="0"/>
        <w:autoSpaceDN w:val="0"/>
        <w:adjustRightInd w:val="0"/>
        <w:spacing w:after="60" w:line="240" w:lineRule="auto"/>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w:t>
      </w:r>
      <w:r>
        <w:rPr>
          <w:rFonts w:eastAsia="Arial Unicode MS" w:cs="Tahoma"/>
          <w:kern w:val="22"/>
          <w:szCs w:val="18"/>
        </w:rPr>
        <w:t xml:space="preserve"> </w:t>
      </w:r>
      <w:r w:rsidRPr="007B34B1">
        <w:rPr>
          <w:rFonts w:eastAsia="Arial Unicode MS" w:cs="Tahoma"/>
          <w:kern w:val="22"/>
          <w:szCs w:val="18"/>
        </w:rPr>
        <w:t>by</w:t>
      </w:r>
      <w:r>
        <w:rPr>
          <w:rFonts w:eastAsia="Arial Unicode MS" w:cs="Tahoma"/>
          <w:kern w:val="22"/>
          <w:szCs w:val="18"/>
        </w:rPr>
        <w:t xml:space="preserve"> proportion of</w:t>
      </w:r>
      <w:r w:rsidRPr="007B34B1">
        <w:rPr>
          <w:rFonts w:eastAsia="Arial Unicode MS" w:cs="Tahoma"/>
          <w:kern w:val="22"/>
          <w:szCs w:val="18"/>
        </w:rPr>
        <w:t xml:space="preserve">:  </w:t>
      </w:r>
    </w:p>
    <w:p w14:paraId="6CF0C677" w14:textId="77777777" w:rsidR="00AC0043" w:rsidRPr="007B34B1" w:rsidRDefault="00AC0043" w:rsidP="00213E66">
      <w:pPr>
        <w:numPr>
          <w:ilvl w:val="0"/>
          <w:numId w:val="1"/>
        </w:numPr>
        <w:kinsoku w:val="0"/>
        <w:autoSpaceDE w:val="0"/>
        <w:autoSpaceDN w:val="0"/>
        <w:adjustRightInd w:val="0"/>
        <w:spacing w:after="60" w:line="240" w:lineRule="auto"/>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6BFAB532" w14:textId="77777777" w:rsidR="00AC0043" w:rsidRDefault="00AC0043" w:rsidP="00213E66">
      <w:pPr>
        <w:numPr>
          <w:ilvl w:val="0"/>
          <w:numId w:val="1"/>
        </w:numPr>
        <w:kinsoku w:val="0"/>
        <w:autoSpaceDE w:val="0"/>
        <w:autoSpaceDN w:val="0"/>
        <w:adjustRightInd w:val="0"/>
        <w:spacing w:after="60" w:line="240" w:lineRule="auto"/>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0C0623A5" w14:textId="77777777" w:rsidR="00AC0043" w:rsidRDefault="00AC0043" w:rsidP="00213E66">
      <w:pPr>
        <w:numPr>
          <w:ilvl w:val="0"/>
          <w:numId w:val="1"/>
        </w:numPr>
        <w:kinsoku w:val="0"/>
        <w:autoSpaceDE w:val="0"/>
        <w:autoSpaceDN w:val="0"/>
        <w:adjustRightInd w:val="0"/>
        <w:spacing w:after="60" w:line="240" w:lineRule="auto"/>
        <w:rPr>
          <w:rFonts w:eastAsia="Arial Unicode MS" w:cs="Tahoma"/>
          <w:kern w:val="22"/>
          <w:szCs w:val="18"/>
        </w:rPr>
      </w:pPr>
      <w:r>
        <w:rPr>
          <w:rFonts w:eastAsia="Arial Unicode MS" w:cs="Tahoma"/>
          <w:kern w:val="22"/>
          <w:szCs w:val="18"/>
        </w:rPr>
        <w:t xml:space="preserve">Pathogen </w:t>
      </w:r>
      <w:proofErr w:type="gramStart"/>
      <w:r>
        <w:rPr>
          <w:rFonts w:eastAsia="Arial Unicode MS" w:cs="Tahoma"/>
          <w:kern w:val="22"/>
          <w:szCs w:val="18"/>
        </w:rPr>
        <w:t>species;</w:t>
      </w:r>
      <w:proofErr w:type="gramEnd"/>
    </w:p>
    <w:p w14:paraId="62923ABE" w14:textId="77777777" w:rsidR="00AC0043" w:rsidRPr="00206DFA" w:rsidRDefault="00AC0043" w:rsidP="00213E66">
      <w:pPr>
        <w:numPr>
          <w:ilvl w:val="0"/>
          <w:numId w:val="1"/>
        </w:numPr>
        <w:kinsoku w:val="0"/>
        <w:autoSpaceDE w:val="0"/>
        <w:autoSpaceDN w:val="0"/>
        <w:adjustRightInd w:val="0"/>
        <w:spacing w:after="60" w:line="240" w:lineRule="auto"/>
        <w:rPr>
          <w:rFonts w:eastAsia="Arial Unicode MS" w:cs="Tahoma"/>
          <w:kern w:val="22"/>
          <w:szCs w:val="18"/>
        </w:rPr>
      </w:pPr>
      <w:r>
        <w:rPr>
          <w:rFonts w:eastAsia="Arial Unicode MS" w:cs="Tahoma"/>
          <w:kern w:val="22"/>
          <w:szCs w:val="18"/>
        </w:rPr>
        <w:t>Probable country of infection.</w:t>
      </w:r>
    </w:p>
    <w:p w14:paraId="1EE48802" w14:textId="77777777" w:rsidR="00AC0043" w:rsidRPr="00E8283A" w:rsidRDefault="00AC0043" w:rsidP="00AC0043">
      <w:pPr>
        <w:kinsoku w:val="0"/>
        <w:autoSpaceDE w:val="0"/>
        <w:autoSpaceDN w:val="0"/>
        <w:adjustRightInd w:val="0"/>
        <w:spacing w:line="200" w:lineRule="atLeast"/>
        <w:rPr>
          <w:rFonts w:eastAsia="Arial Unicode MS" w:cs="Tahoma"/>
          <w:color w:val="000000"/>
          <w:kern w:val="22"/>
          <w:szCs w:val="18"/>
        </w:rPr>
      </w:pPr>
    </w:p>
    <w:p w14:paraId="4042674E" w14:textId="77777777" w:rsidR="00AC0043" w:rsidRDefault="00AC0043" w:rsidP="00AC004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AC0043" w14:paraId="242A222F"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4E81E61D" w14:textId="77777777" w:rsidR="00AC0043" w:rsidRDefault="00AC0043" w:rsidP="00AC004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6865CB03" w14:textId="77777777" w:rsidR="00AC0043" w:rsidRDefault="00AC0043" w:rsidP="00AC0043">
            <w:pPr>
              <w:pStyle w:val="EC-Para"/>
              <w:rPr>
                <w:lang w:eastAsia="en-US"/>
              </w:rPr>
            </w:pPr>
            <w:r>
              <w:rPr>
                <w:lang w:eastAsia="en-US"/>
              </w:rPr>
              <w:t>Comment</w:t>
            </w:r>
          </w:p>
        </w:tc>
      </w:tr>
      <w:tr w:rsidR="00AC0043" w14:paraId="3504739F"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7F6E34B8" w14:textId="77777777" w:rsidR="00AC0043" w:rsidRDefault="00AC0043" w:rsidP="00AC004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41E97A45" w14:textId="77777777" w:rsidR="00AC0043" w:rsidRDefault="00AC0043" w:rsidP="00AC004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AC0043" w14:paraId="09F120C5"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06D46A57" w14:textId="77777777" w:rsidR="00AC0043" w:rsidRDefault="00AC0043" w:rsidP="00AC004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1E003B56" w14:textId="77777777" w:rsidR="00AC0043" w:rsidRDefault="00AC0043" w:rsidP="00AC004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0282E6D5" w14:textId="77777777" w:rsidR="00AC0043" w:rsidRDefault="00AC0043" w:rsidP="00AC0043">
      <w:pPr>
        <w:pStyle w:val="EC-Para"/>
        <w:rPr>
          <w:lang w:eastAsia="en-US"/>
        </w:rPr>
      </w:pPr>
    </w:p>
    <w:p w14:paraId="72DE34DF" w14:textId="78E24A06" w:rsidR="00AC0043" w:rsidRPr="0072746F" w:rsidRDefault="0055139E" w:rsidP="003778F0">
      <w:pPr>
        <w:pStyle w:val="EC-Title-6"/>
      </w:pPr>
      <w:r>
        <w:lastRenderedPageBreak/>
        <w:t xml:space="preserve">Data </w:t>
      </w:r>
      <w:r w:rsidRPr="003778F0">
        <w:t>quality</w:t>
      </w:r>
    </w:p>
    <w:p w14:paraId="60887CD3" w14:textId="6E09A377" w:rsidR="0097253D" w:rsidRDefault="0097253D" w:rsidP="0097253D">
      <w:pPr>
        <w:autoSpaceDE w:val="0"/>
        <w:autoSpaceDN w:val="0"/>
        <w:adjustRightInd w:val="0"/>
        <w:jc w:val="both"/>
        <w:rPr>
          <w:rFonts w:eastAsia="Arial Unicode MS" w:cs="Tahoma"/>
          <w:kern w:val="22"/>
          <w:szCs w:val="18"/>
        </w:rPr>
      </w:pPr>
      <w:bookmarkStart w:id="67" w:name="_Toc437442028"/>
      <w:r w:rsidRPr="009E3B9F">
        <w:rPr>
          <w:rFonts w:cs="Tahoma"/>
          <w:szCs w:val="18"/>
        </w:rPr>
        <w:t xml:space="preserve">The Surveillance Atlas indicators were calculated up to the end of </w:t>
      </w:r>
      <w:r w:rsidR="00A32FE1">
        <w:rPr>
          <w:rFonts w:cs="Tahoma"/>
          <w:szCs w:val="18"/>
        </w:rPr>
        <w:t>202</w:t>
      </w:r>
      <w:r w:rsidR="0061144E">
        <w:rPr>
          <w:rFonts w:cs="Tahoma"/>
          <w:szCs w:val="18"/>
        </w:rPr>
        <w:t>2</w:t>
      </w:r>
      <w:r w:rsidRPr="009E3B9F">
        <w:rPr>
          <w:rFonts w:cs="Tahoma"/>
          <w:szCs w:val="18"/>
        </w:rPr>
        <w:t>.</w:t>
      </w:r>
      <w:r w:rsidR="00690758">
        <w:rPr>
          <w:rFonts w:cs="Tahoma"/>
          <w:szCs w:val="18"/>
        </w:rPr>
        <w:t xml:space="preserve"> </w:t>
      </w:r>
      <w:r w:rsidRPr="009E3B9F">
        <w:rPr>
          <w:rFonts w:eastAsia="Arial Unicode MS" w:cs="Tahoma"/>
          <w:kern w:val="22"/>
          <w:szCs w:val="18"/>
        </w:rPr>
        <w:t>EU/EEA coun</w:t>
      </w:r>
      <w:r w:rsidR="0002005E">
        <w:rPr>
          <w:rFonts w:eastAsia="Arial Unicode MS" w:cs="Tahoma"/>
          <w:kern w:val="22"/>
          <w:szCs w:val="18"/>
        </w:rPr>
        <w:t>tries reporting data on shigellosis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2A9B1B9B" w14:textId="0E4FBFDC"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0010751A">
        <w:rPr>
          <w:rFonts w:eastAsia="Arial Unicode MS" w:cs="Tahoma"/>
          <w:kern w:val="22"/>
          <w:szCs w:val="18"/>
        </w:rPr>
        <w:t>confirmed s</w:t>
      </w:r>
      <w:r w:rsidR="0002005E">
        <w:rPr>
          <w:rFonts w:eastAsia="Arial Unicode MS" w:cs="Tahoma"/>
          <w:kern w:val="22"/>
          <w:szCs w:val="18"/>
        </w:rPr>
        <w:t>higellosis cases</w:t>
      </w:r>
      <w:r>
        <w:rPr>
          <w:rFonts w:eastAsia="Arial Unicode MS" w:cs="Tahoma"/>
          <w:kern w:val="22"/>
          <w:szCs w:val="18"/>
        </w:rPr>
        <w:t xml:space="preserve"> are:</w:t>
      </w:r>
    </w:p>
    <w:p w14:paraId="1B7ED2D1" w14:textId="0228470D"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6B6A56AB" w14:textId="41D27CAA"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698BC78B" w14:textId="13A47D51"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32730F37" w14:textId="45DB538A"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031B8428" w14:textId="5E03CBA3"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51A99778" w14:textId="0A6F053D"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0751A">
        <w:rPr>
          <w:rFonts w:eastAsia="Arial Unicode MS" w:cs="Tahoma"/>
          <w:kern w:val="22"/>
          <w:szCs w:val="18"/>
        </w:rPr>
        <w:t>pathogen species</w:t>
      </w:r>
      <w:r>
        <w:rPr>
          <w:rFonts w:eastAsia="Arial Unicode MS" w:cs="Tahoma"/>
          <w:kern w:val="22"/>
          <w:szCs w:val="18"/>
        </w:rPr>
        <w:t xml:space="preserve"> (%</w:t>
      </w:r>
      <w:proofErr w:type="gramStart"/>
      <w:r>
        <w:rPr>
          <w:rFonts w:eastAsia="Arial Unicode MS" w:cs="Tahoma"/>
          <w:kern w:val="22"/>
          <w:szCs w:val="18"/>
        </w:rPr>
        <w:t>);</w:t>
      </w:r>
      <w:proofErr w:type="gramEnd"/>
    </w:p>
    <w:p w14:paraId="7F89C566" w14:textId="1A604225" w:rsidR="0010751A" w:rsidRDefault="0010751A"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235B97">
        <w:rPr>
          <w:rFonts w:eastAsia="Arial Unicode MS" w:cs="Tahoma"/>
          <w:kern w:val="22"/>
          <w:szCs w:val="18"/>
        </w:rPr>
        <w:t>p</w:t>
      </w:r>
      <w:r>
        <w:rPr>
          <w:rFonts w:eastAsia="Arial Unicode MS" w:cs="Tahoma"/>
          <w:kern w:val="22"/>
          <w:szCs w:val="18"/>
        </w:rPr>
        <w:t>robable country of infection (%</w:t>
      </w:r>
      <w:proofErr w:type="gramStart"/>
      <w:r>
        <w:rPr>
          <w:rFonts w:eastAsia="Arial Unicode MS" w:cs="Tahoma"/>
          <w:kern w:val="22"/>
          <w:szCs w:val="18"/>
        </w:rPr>
        <w:t>);</w:t>
      </w:r>
      <w:proofErr w:type="gramEnd"/>
    </w:p>
    <w:p w14:paraId="586088DA" w14:textId="77777777" w:rsidR="0010751A" w:rsidRPr="0010751A" w:rsidRDefault="0010751A" w:rsidP="0010751A">
      <w:pPr>
        <w:pStyle w:val="ListParagraph"/>
        <w:autoSpaceDE w:val="0"/>
        <w:autoSpaceDN w:val="0"/>
        <w:adjustRightInd w:val="0"/>
        <w:jc w:val="both"/>
        <w:rPr>
          <w:rFonts w:eastAsia="Arial Unicode MS" w:cs="Tahoma"/>
          <w:kern w:val="22"/>
          <w:szCs w:val="18"/>
          <w:lang w:eastAsia="ko-KR"/>
        </w:rPr>
      </w:pPr>
    </w:p>
    <w:p w14:paraId="49C8BBEA" w14:textId="77777777" w:rsidR="00AC0043" w:rsidRDefault="00AC0043" w:rsidP="00AC0043">
      <w:pPr>
        <w:pStyle w:val="EC-Title-6"/>
        <w:outlineLvl w:val="1"/>
        <w:rPr>
          <w:rFonts w:cs="Tahoma"/>
        </w:rPr>
      </w:pPr>
      <w:r w:rsidRPr="00C82DDE">
        <w:rPr>
          <w:rFonts w:cs="Tahoma"/>
        </w:rPr>
        <w:t>Interpretation</w:t>
      </w:r>
      <w:bookmarkEnd w:id="67"/>
      <w:r w:rsidRPr="00C82DDE">
        <w:rPr>
          <w:rFonts w:cs="Tahoma"/>
        </w:rPr>
        <w:t xml:space="preserve"> </w:t>
      </w:r>
    </w:p>
    <w:p w14:paraId="34DDCB50" w14:textId="3BBBBFE5" w:rsidR="00AC0043" w:rsidRDefault="00AC0043" w:rsidP="00AC0043">
      <w:pPr>
        <w:pStyle w:val="EC-Para"/>
        <w:jc w:val="both"/>
        <w:rPr>
          <w:rFonts w:eastAsiaTheme="minorHAnsi" w:cs="Tahoma"/>
          <w:lang w:eastAsia="en-US"/>
        </w:rPr>
      </w:pPr>
      <w:r w:rsidRPr="00303B58">
        <w:rPr>
          <w:rFonts w:eastAsiaTheme="minorHAnsi" w:cs="Tahoma"/>
          <w:lang w:eastAsia="en-US"/>
        </w:rPr>
        <w:t xml:space="preserve">The results shown in the Surveillance Atlas should be interpreted carefully. </w:t>
      </w:r>
      <w:r>
        <w:rPr>
          <w:rFonts w:eastAsiaTheme="minorHAnsi" w:cs="Tahoma"/>
          <w:lang w:eastAsia="en-US"/>
        </w:rPr>
        <w:t>National s</w:t>
      </w:r>
      <w:r w:rsidRPr="00303B58">
        <w:rPr>
          <w:rFonts w:eastAsiaTheme="minorHAnsi" w:cs="Tahoma"/>
          <w:lang w:eastAsia="en-US"/>
        </w:rPr>
        <w:t xml:space="preserve">urveillance systems </w:t>
      </w:r>
      <w:r>
        <w:rPr>
          <w:rFonts w:eastAsiaTheme="minorHAnsi" w:cs="Tahoma"/>
          <w:lang w:eastAsia="en-US"/>
        </w:rPr>
        <w:t>differ from each other and so does</w:t>
      </w:r>
      <w:r w:rsidRPr="00303B58">
        <w:rPr>
          <w:rFonts w:eastAsiaTheme="minorHAnsi" w:cs="Tahoma"/>
          <w:lang w:eastAsia="en-US"/>
        </w:rPr>
        <w:t xml:space="preserve"> case under-ascertainment between countries. </w:t>
      </w:r>
      <w:r w:rsidR="008841E0">
        <w:rPr>
          <w:rFonts w:eastAsiaTheme="minorHAnsi" w:cs="Tahoma"/>
          <w:lang w:eastAsia="en-US"/>
        </w:rPr>
        <w:t xml:space="preserve"> </w:t>
      </w:r>
    </w:p>
    <w:p w14:paraId="3BCD8498" w14:textId="3D56584F" w:rsidR="00AC0043" w:rsidRDefault="0016779F" w:rsidP="00AC0043">
      <w:pPr>
        <w:pStyle w:val="EC-Para"/>
        <w:jc w:val="both"/>
      </w:pPr>
      <w:r w:rsidRPr="002450D6">
        <w:t>The notification of shigellosis is mandatory in 2</w:t>
      </w:r>
      <w:r w:rsidR="006323C7">
        <w:t>7</w:t>
      </w:r>
      <w:r w:rsidRPr="002450D6">
        <w:t xml:space="preserve"> EU</w:t>
      </w:r>
      <w:r w:rsidR="006323C7">
        <w:t>/EEA countries</w:t>
      </w:r>
      <w:r w:rsidRPr="002450D6">
        <w:t xml:space="preserve">. </w:t>
      </w:r>
      <w:r w:rsidR="00906FED" w:rsidRPr="002450D6">
        <w:t>Three</w:t>
      </w:r>
      <w:r w:rsidRPr="002450D6">
        <w:t xml:space="preserve"> Member States </w:t>
      </w:r>
      <w:r w:rsidR="00AF2969" w:rsidRPr="002450D6">
        <w:t>have voluntary</w:t>
      </w:r>
      <w:r w:rsidRPr="002450D6">
        <w:t xml:space="preserve"> notification (</w:t>
      </w:r>
      <w:r w:rsidR="00725442">
        <w:t xml:space="preserve">Belgium, </w:t>
      </w:r>
      <w:r w:rsidR="00FB56B0" w:rsidRPr="002450D6">
        <w:t>France</w:t>
      </w:r>
      <w:r w:rsidR="00906FED" w:rsidRPr="002450D6">
        <w:t xml:space="preserve"> and</w:t>
      </w:r>
      <w:r w:rsidR="00FB56B0" w:rsidRPr="002450D6">
        <w:t xml:space="preserve"> Italy</w:t>
      </w:r>
      <w:r w:rsidRPr="002450D6">
        <w:t xml:space="preserve">). The surveillance </w:t>
      </w:r>
      <w:r w:rsidRPr="002450D6">
        <w:t xml:space="preserve">systems for shigellosis have full national coverage in all </w:t>
      </w:r>
      <w:r w:rsidR="008841E0" w:rsidRPr="002450D6">
        <w:t>reporting countries</w:t>
      </w:r>
      <w:r w:rsidRPr="002450D6">
        <w:t xml:space="preserve"> except </w:t>
      </w:r>
      <w:r w:rsidR="008841E0" w:rsidRPr="002450D6">
        <w:t xml:space="preserve">in </w:t>
      </w:r>
      <w:r w:rsidR="00FB56B0" w:rsidRPr="002450D6">
        <w:t>France</w:t>
      </w:r>
      <w:r w:rsidRPr="002450D6">
        <w:t xml:space="preserve"> and </w:t>
      </w:r>
      <w:r w:rsidRPr="009F2756">
        <w:t>Italy.</w:t>
      </w:r>
      <w:r w:rsidRPr="002450D6">
        <w:t xml:space="preserve"> </w:t>
      </w:r>
      <w:r w:rsidR="00A12794" w:rsidRPr="007C0981">
        <w:t>In France, the coverage of the surveillance system is estimated to 44%</w:t>
      </w:r>
      <w:r w:rsidR="00A12794" w:rsidRPr="002450D6">
        <w:t xml:space="preserve"> of the population</w:t>
      </w:r>
      <w:r w:rsidR="00253B7F">
        <w:t xml:space="preserve"> and this </w:t>
      </w:r>
      <w:r w:rsidR="00253B7F" w:rsidRPr="00E23A35">
        <w:t>proportion w</w:t>
      </w:r>
      <w:r w:rsidR="00253B7F">
        <w:t>as</w:t>
      </w:r>
      <w:r w:rsidR="00253B7F" w:rsidRPr="00E23A35">
        <w:t xml:space="preserve"> used when calculating </w:t>
      </w:r>
      <w:r w:rsidR="00253B7F">
        <w:t xml:space="preserve">the national </w:t>
      </w:r>
      <w:r w:rsidR="00253B7F" w:rsidRPr="00E23A35">
        <w:t>notification rate</w:t>
      </w:r>
      <w:r w:rsidR="00253B7F">
        <w:t>.</w:t>
      </w:r>
      <w:r w:rsidR="00253B7F" w:rsidRPr="00E23A35">
        <w:t xml:space="preserve"> </w:t>
      </w:r>
      <w:r w:rsidR="00253B7F" w:rsidRPr="000777F0">
        <w:t>No estimate of population coverage in Italy was provided, so notification rate was not calculated</w:t>
      </w:r>
      <w:r w:rsidR="00253B7F">
        <w:t>.</w:t>
      </w:r>
      <w:r w:rsidR="00A12794" w:rsidRPr="002450D6">
        <w:t xml:space="preserve"> </w:t>
      </w:r>
      <w:r w:rsidR="00CF37A1" w:rsidRPr="002450D6">
        <w:rPr>
          <w:rFonts w:cs="Tahoma"/>
        </w:rPr>
        <w:t xml:space="preserve">In Belgium, full national coverage was established in 2015 and rates before this date are not displayed. </w:t>
      </w:r>
      <w:r w:rsidR="009C06E8" w:rsidRPr="002450D6">
        <w:rPr>
          <w:rFonts w:cs="Tahoma"/>
        </w:rPr>
        <w:t>For 20</w:t>
      </w:r>
      <w:r w:rsidR="007421E3" w:rsidRPr="002450D6">
        <w:rPr>
          <w:rFonts w:cs="Tahoma"/>
        </w:rPr>
        <w:t>20</w:t>
      </w:r>
      <w:r w:rsidR="009C06E8" w:rsidRPr="002450D6">
        <w:rPr>
          <w:rFonts w:cs="Tahoma"/>
        </w:rPr>
        <w:t>, Spain has not received data from all regions</w:t>
      </w:r>
      <w:r w:rsidR="00051541" w:rsidRPr="002450D6">
        <w:rPr>
          <w:rFonts w:cs="Tahoma"/>
        </w:rPr>
        <w:t xml:space="preserve"> and r</w:t>
      </w:r>
      <w:r w:rsidR="009C06E8" w:rsidRPr="002450D6">
        <w:rPr>
          <w:rFonts w:cs="Tahoma"/>
        </w:rPr>
        <w:t xml:space="preserve">ate </w:t>
      </w:r>
      <w:r w:rsidR="00F5582D">
        <w:rPr>
          <w:rFonts w:cs="Tahoma"/>
        </w:rPr>
        <w:t>is</w:t>
      </w:r>
      <w:r w:rsidR="009C06E8" w:rsidRPr="002450D6">
        <w:rPr>
          <w:rFonts w:cs="Tahoma"/>
        </w:rPr>
        <w:t xml:space="preserve"> therefore not </w:t>
      </w:r>
      <w:r w:rsidR="00F5582D">
        <w:rPr>
          <w:rFonts w:cs="Tahoma"/>
        </w:rPr>
        <w:t>calculated</w:t>
      </w:r>
      <w:r w:rsidR="009C06E8" w:rsidRPr="002450D6">
        <w:rPr>
          <w:rFonts w:cs="Tahoma"/>
        </w:rPr>
        <w:t xml:space="preserve">. </w:t>
      </w:r>
      <w:r w:rsidR="008841E0" w:rsidRPr="002450D6">
        <w:rPr>
          <w:rFonts w:cs="Tahoma"/>
        </w:rPr>
        <w:t xml:space="preserve">All countries </w:t>
      </w:r>
      <w:r w:rsidRPr="002450D6">
        <w:t xml:space="preserve">provide case-based data except Bulgaria which report aggregate data. </w:t>
      </w:r>
      <w:r w:rsidR="00C96C10">
        <w:t>Aggregated</w:t>
      </w:r>
      <w:r w:rsidR="00C96C10" w:rsidRPr="004C1587">
        <w:t xml:space="preserve"> reporting format w</w:t>
      </w:r>
      <w:r w:rsidR="00C96C10">
        <w:t>as</w:t>
      </w:r>
      <w:r w:rsidR="00C96C10" w:rsidRPr="004C1587">
        <w:t xml:space="preserve"> included to calculate numbers of cases</w:t>
      </w:r>
      <w:r w:rsidR="00C96C10">
        <w:t xml:space="preserve"> and </w:t>
      </w:r>
      <w:r w:rsidR="00C96C10" w:rsidRPr="004C1587">
        <w:t xml:space="preserve">notification rates, </w:t>
      </w:r>
      <w:r w:rsidR="00C96C10">
        <w:t xml:space="preserve">as well as </w:t>
      </w:r>
      <w:r w:rsidR="00C96C10" w:rsidRPr="004C1587">
        <w:t xml:space="preserve">disease trends, </w:t>
      </w:r>
      <w:r w:rsidR="00C96C10">
        <w:t>a</w:t>
      </w:r>
      <w:r w:rsidR="00C96C10" w:rsidRPr="004C1587">
        <w:t>ge and gender distributions</w:t>
      </w:r>
      <w:r w:rsidR="00C96C10">
        <w:t xml:space="preserve"> when this data was available</w:t>
      </w:r>
      <w:r w:rsidR="00C96C10" w:rsidRPr="004C1587">
        <w:t>.</w:t>
      </w:r>
    </w:p>
    <w:p w14:paraId="75E4EFB3" w14:textId="2AEB9F9A" w:rsidR="00906FED" w:rsidRDefault="00906FED" w:rsidP="00AC0043">
      <w:pPr>
        <w:pStyle w:val="EC-Para"/>
        <w:jc w:val="both"/>
      </w:pPr>
      <w:r>
        <w:t xml:space="preserve">The COVID-19 pandemic </w:t>
      </w:r>
      <w:r w:rsidR="00631356">
        <w:t>and the withdrawal of the United Kingdom from the EU in 2020</w:t>
      </w:r>
      <w:r w:rsidR="002A04D7">
        <w:t xml:space="preserve"> </w:t>
      </w:r>
      <w:r>
        <w:t>significantly impacted on the surveillance data for shigellosis in 2020</w:t>
      </w:r>
      <w:r w:rsidR="00690758">
        <w:t>-2021</w:t>
      </w:r>
      <w:r>
        <w:t xml:space="preserve">. Factors mentioned by countries resulting in lower case numbers were e.g. less travel due to travel restriction, fewer social interactions, </w:t>
      </w:r>
      <w:r w:rsidRPr="00790169">
        <w:t xml:space="preserve">people avoiding </w:t>
      </w:r>
      <w:r w:rsidR="00AF2969" w:rsidRPr="00790169">
        <w:t>seeking</w:t>
      </w:r>
      <w:r w:rsidRPr="00790169">
        <w:t xml:space="preserve"> medical care</w:t>
      </w:r>
      <w:r>
        <w:t xml:space="preserve"> for mild symptoms due to risk of exposure to COVID-19 in health care facilities</w:t>
      </w:r>
      <w:r w:rsidRPr="00790169">
        <w:t xml:space="preserve">, limited capacity for diagnosis of mild diseases in health care, </w:t>
      </w:r>
      <w:r>
        <w:t>etc.</w:t>
      </w:r>
    </w:p>
    <w:p w14:paraId="6ABA3D80" w14:textId="109EC0CD" w:rsidR="00AC0043" w:rsidRDefault="00AC0043" w:rsidP="00B3152F">
      <w:pPr>
        <w:pStyle w:val="EC-Para"/>
        <w:jc w:val="both"/>
        <w:rPr>
          <w:rFonts w:eastAsiaTheme="minorHAnsi" w:cs="Tahoma"/>
          <w:lang w:eastAsia="en-US"/>
        </w:rPr>
      </w:pPr>
      <w:r w:rsidRPr="007F3A65">
        <w:rPr>
          <w:rFonts w:eastAsiaTheme="minorHAnsi" w:cs="Tahoma"/>
          <w:lang w:eastAsia="en-US"/>
        </w:rPr>
        <w:t xml:space="preserve">The completeness of some variables such as outcome or </w:t>
      </w:r>
      <w:r>
        <w:rPr>
          <w:rFonts w:eastAsiaTheme="minorHAnsi" w:cs="Tahoma"/>
          <w:lang w:eastAsia="en-US"/>
        </w:rPr>
        <w:t>travel history</w:t>
      </w:r>
      <w:r w:rsidRPr="007F3A65">
        <w:rPr>
          <w:rFonts w:eastAsiaTheme="minorHAnsi" w:cs="Tahoma"/>
          <w:lang w:eastAsia="en-US"/>
        </w:rPr>
        <w:t xml:space="preserve"> var</w:t>
      </w:r>
      <w:r>
        <w:rPr>
          <w:rFonts w:eastAsiaTheme="minorHAnsi" w:cs="Tahoma"/>
          <w:lang w:eastAsia="en-US"/>
        </w:rPr>
        <w:t>ies</w:t>
      </w:r>
      <w:r w:rsidRPr="007F3A65">
        <w:rPr>
          <w:rFonts w:eastAsiaTheme="minorHAnsi" w:cs="Tahoma"/>
          <w:lang w:eastAsia="en-US"/>
        </w:rPr>
        <w:t xml:space="preserve"> between countries and years; some countries </w:t>
      </w:r>
      <w:proofErr w:type="gramStart"/>
      <w:r w:rsidRPr="007F3A65">
        <w:rPr>
          <w:rFonts w:eastAsiaTheme="minorHAnsi" w:cs="Tahoma"/>
          <w:lang w:eastAsia="en-US"/>
        </w:rPr>
        <w:t>are able to</w:t>
      </w:r>
      <w:proofErr w:type="gramEnd"/>
      <w:r w:rsidRPr="007F3A65">
        <w:rPr>
          <w:rFonts w:eastAsiaTheme="minorHAnsi" w:cs="Tahoma"/>
          <w:lang w:eastAsia="en-US"/>
        </w:rPr>
        <w:t xml:space="preserve"> collect and integrate this type of information from different sources, other countries are not. Even if </w:t>
      </w:r>
      <w:r>
        <w:rPr>
          <w:rFonts w:eastAsiaTheme="minorHAnsi" w:cs="Tahoma"/>
          <w:lang w:eastAsia="en-US"/>
        </w:rPr>
        <w:t xml:space="preserve">overall </w:t>
      </w:r>
      <w:r w:rsidRPr="007F3A65">
        <w:rPr>
          <w:rFonts w:eastAsiaTheme="minorHAnsi" w:cs="Tahoma"/>
          <w:lang w:eastAsia="en-US"/>
        </w:rPr>
        <w:t>data completeness is high for some variables, the reader should refrain from direct</w:t>
      </w:r>
      <w:r>
        <w:rPr>
          <w:rFonts w:eastAsiaTheme="minorHAnsi" w:cs="Tahoma"/>
          <w:lang w:eastAsia="en-US"/>
        </w:rPr>
        <w:t>ly</w:t>
      </w:r>
      <w:r w:rsidRPr="007F3A65">
        <w:rPr>
          <w:rFonts w:eastAsiaTheme="minorHAnsi" w:cs="Tahoma"/>
          <w:lang w:eastAsia="en-US"/>
        </w:rPr>
        <w:t xml:space="preserve"> compari</w:t>
      </w:r>
      <w:r>
        <w:rPr>
          <w:rFonts w:eastAsiaTheme="minorHAnsi" w:cs="Tahoma"/>
          <w:lang w:eastAsia="en-US"/>
        </w:rPr>
        <w:t>ng</w:t>
      </w:r>
      <w:r w:rsidRPr="007F3A65">
        <w:rPr>
          <w:rFonts w:eastAsiaTheme="minorHAnsi" w:cs="Tahoma"/>
          <w:lang w:eastAsia="en-US"/>
        </w:rPr>
        <w:t xml:space="preserve"> countries without </w:t>
      </w:r>
      <w:proofErr w:type="gramStart"/>
      <w:r w:rsidRPr="007F3A65">
        <w:rPr>
          <w:rFonts w:eastAsiaTheme="minorHAnsi" w:cs="Tahoma"/>
          <w:lang w:eastAsia="en-US"/>
        </w:rPr>
        <w:t>taking into account</w:t>
      </w:r>
      <w:proofErr w:type="gramEnd"/>
      <w:r w:rsidRPr="007F3A65">
        <w:rPr>
          <w:rFonts w:eastAsiaTheme="minorHAnsi" w:cs="Tahoma"/>
          <w:lang w:eastAsia="en-US"/>
        </w:rPr>
        <w:t xml:space="preserve"> limitations.</w:t>
      </w:r>
    </w:p>
    <w:p w14:paraId="74A1EBD3" w14:textId="77777777" w:rsidR="009D4D86" w:rsidRPr="00B3152F" w:rsidRDefault="009D4D86" w:rsidP="00B3152F">
      <w:pPr>
        <w:pStyle w:val="EC-Para"/>
        <w:jc w:val="both"/>
        <w:rPr>
          <w:rFonts w:eastAsiaTheme="minorHAnsi" w:cs="Tahoma"/>
          <w:lang w:eastAsia="en-US"/>
        </w:rPr>
      </w:pPr>
    </w:p>
    <w:p w14:paraId="05D64247" w14:textId="77777777" w:rsidR="00AC0043" w:rsidRDefault="00AC0043" w:rsidP="009F5B73">
      <w:pPr>
        <w:pStyle w:val="EC-Title-6"/>
        <w:outlineLvl w:val="1"/>
        <w:rPr>
          <w:rFonts w:cs="Tahoma"/>
          <w:color w:val="FF0000"/>
          <w:sz w:val="20"/>
          <w:szCs w:val="20"/>
        </w:rPr>
      </w:pPr>
      <w:r>
        <w:t xml:space="preserve">Reports published by ECDC on shigellosis </w:t>
      </w:r>
    </w:p>
    <w:p w14:paraId="07B94B0E" w14:textId="77777777" w:rsidR="00AC0043" w:rsidRDefault="00AC0043" w:rsidP="00AC0043">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1F08F946" w14:textId="77777777" w:rsidR="000A5DE6" w:rsidRDefault="000A5DE6" w:rsidP="009578FE">
      <w:pPr>
        <w:pStyle w:val="EC-Para"/>
        <w:spacing w:after="0"/>
        <w:rPr>
          <w:rFonts w:eastAsiaTheme="minorHAnsi" w:cs="Tahoma"/>
          <w:b/>
          <w:lang w:eastAsia="en-US"/>
        </w:rPr>
      </w:pPr>
    </w:p>
    <w:p w14:paraId="5D7F6A25" w14:textId="7D361678" w:rsidR="00C345F5" w:rsidRPr="009D4D86" w:rsidRDefault="00C345F5" w:rsidP="009578FE">
      <w:pPr>
        <w:pStyle w:val="EC-Para"/>
        <w:spacing w:after="0"/>
        <w:rPr>
          <w:rFonts w:eastAsiaTheme="minorHAnsi" w:cs="Tahoma"/>
          <w:b/>
          <w:lang w:eastAsia="en-US"/>
        </w:rPr>
      </w:pPr>
      <w:r w:rsidRPr="009D4D86">
        <w:rPr>
          <w:rFonts w:eastAsiaTheme="minorHAnsi" w:cs="Tahoma"/>
          <w:b/>
          <w:lang w:eastAsia="en-US"/>
        </w:rPr>
        <w:t xml:space="preserve">Annual epidemiological report </w:t>
      </w:r>
      <w:r w:rsidR="002B5FE5" w:rsidRPr="009D4D86">
        <w:rPr>
          <w:rFonts w:eastAsiaTheme="minorHAnsi" w:cs="Tahoma"/>
          <w:b/>
          <w:lang w:eastAsia="en-US"/>
        </w:rPr>
        <w:t xml:space="preserve">for </w:t>
      </w:r>
      <w:r w:rsidRPr="009D4D86">
        <w:rPr>
          <w:rFonts w:eastAsiaTheme="minorHAnsi" w:cs="Tahoma"/>
          <w:b/>
          <w:lang w:eastAsia="en-US"/>
        </w:rPr>
        <w:t>20</w:t>
      </w:r>
      <w:r w:rsidR="000F7AB7" w:rsidRPr="009D4D86">
        <w:rPr>
          <w:rFonts w:eastAsiaTheme="minorHAnsi" w:cs="Tahoma"/>
          <w:b/>
          <w:lang w:eastAsia="en-US"/>
        </w:rPr>
        <w:t>2</w:t>
      </w:r>
      <w:r w:rsidR="00925CA6">
        <w:rPr>
          <w:rFonts w:eastAsiaTheme="minorHAnsi" w:cs="Tahoma"/>
          <w:b/>
          <w:lang w:eastAsia="en-US"/>
        </w:rPr>
        <w:t>2</w:t>
      </w:r>
      <w:r w:rsidRPr="009D4D86">
        <w:rPr>
          <w:rFonts w:eastAsiaTheme="minorHAnsi" w:cs="Tahoma"/>
          <w:b/>
          <w:lang w:eastAsia="en-US"/>
        </w:rPr>
        <w:t xml:space="preserve">– </w:t>
      </w:r>
      <w:r w:rsidR="002B5FE5" w:rsidRPr="009D4D86">
        <w:rPr>
          <w:rFonts w:eastAsiaTheme="minorHAnsi" w:cs="Tahoma"/>
          <w:b/>
          <w:lang w:eastAsia="en-US"/>
        </w:rPr>
        <w:t>Shigellosis</w:t>
      </w:r>
      <w:r w:rsidRPr="009D4D86">
        <w:rPr>
          <w:rFonts w:eastAsiaTheme="minorHAnsi" w:cs="Tahoma"/>
          <w:b/>
          <w:lang w:eastAsia="en-US"/>
        </w:rPr>
        <w:t>:</w:t>
      </w:r>
    </w:p>
    <w:p w14:paraId="576BE47A" w14:textId="77777777" w:rsidR="00925CA6" w:rsidRPr="00925CA6" w:rsidRDefault="00000000" w:rsidP="00C03213">
      <w:pPr>
        <w:pStyle w:val="EC-Para"/>
        <w:spacing w:after="0"/>
      </w:pPr>
      <w:hyperlink r:id="rId76" w:history="1">
        <w:r w:rsidR="00925CA6" w:rsidRPr="00925CA6">
          <w:rPr>
            <w:rStyle w:val="Hyperlink"/>
            <w:sz w:val="18"/>
          </w:rPr>
          <w:t>Shigellosis - Annual epidemiological report 2022 (europa.eu)</w:t>
        </w:r>
      </w:hyperlink>
    </w:p>
    <w:p w14:paraId="7BE2AFC7" w14:textId="77777777" w:rsidR="00925CA6" w:rsidRDefault="00925CA6" w:rsidP="00C03213">
      <w:pPr>
        <w:pStyle w:val="EC-Para"/>
        <w:spacing w:after="0"/>
      </w:pPr>
    </w:p>
    <w:p w14:paraId="102DAF45" w14:textId="12B7507B" w:rsidR="00AA5515" w:rsidRPr="00AA5515" w:rsidRDefault="00AA5515" w:rsidP="00C03213">
      <w:pPr>
        <w:pStyle w:val="EC-Para"/>
        <w:spacing w:after="0"/>
        <w:rPr>
          <w:b/>
          <w:bCs/>
        </w:rPr>
      </w:pPr>
      <w:r>
        <w:rPr>
          <w:b/>
          <w:bCs/>
        </w:rPr>
        <w:t xml:space="preserve">Epidemiological update </w:t>
      </w:r>
      <w:r w:rsidRPr="00AA5515">
        <w:rPr>
          <w:b/>
          <w:bCs/>
        </w:rPr>
        <w:t>18 July 2023: Spread of multidrug-resistant Shigella in EU/EEA among gay, bisexual and other men who have sex with men:</w:t>
      </w:r>
    </w:p>
    <w:p w14:paraId="75ACB20E" w14:textId="6FCFC10B" w:rsidR="00190628" w:rsidRPr="00190628" w:rsidRDefault="00000000" w:rsidP="00C03213">
      <w:pPr>
        <w:pStyle w:val="EC-Para"/>
        <w:spacing w:after="0"/>
        <w:rPr>
          <w:b/>
          <w:bCs/>
        </w:rPr>
      </w:pPr>
      <w:hyperlink r:id="rId77" w:history="1">
        <w:r w:rsidR="00190628" w:rsidRPr="00190628">
          <w:rPr>
            <w:rStyle w:val="Hyperlink"/>
            <w:sz w:val="18"/>
          </w:rPr>
          <w:t>Spread of multidrug-resistant Shigella in EU/EEA among gay, bisexual and other men who have sex with men (europa.eu)</w:t>
        </w:r>
      </w:hyperlink>
    </w:p>
    <w:p w14:paraId="5C99DEAB" w14:textId="77777777" w:rsidR="00190628" w:rsidRDefault="00190628" w:rsidP="00C03213">
      <w:pPr>
        <w:pStyle w:val="EC-Para"/>
        <w:spacing w:after="0"/>
        <w:rPr>
          <w:b/>
          <w:bCs/>
        </w:rPr>
      </w:pPr>
    </w:p>
    <w:p w14:paraId="5CE293FC" w14:textId="7D37B14D" w:rsidR="000F7AB7" w:rsidRPr="009D4D86" w:rsidRDefault="005A4A4F" w:rsidP="00C03213">
      <w:pPr>
        <w:pStyle w:val="EC-Para"/>
        <w:spacing w:after="0"/>
        <w:rPr>
          <w:b/>
          <w:bCs/>
        </w:rPr>
      </w:pPr>
      <w:r w:rsidRPr="009D4D86">
        <w:rPr>
          <w:b/>
          <w:bCs/>
        </w:rPr>
        <w:t xml:space="preserve">Rapid risk assessment: Outbreak of </w:t>
      </w:r>
      <w:r w:rsidRPr="009D4D86">
        <w:rPr>
          <w:b/>
          <w:bCs/>
          <w:i/>
          <w:iCs/>
        </w:rPr>
        <w:t xml:space="preserve">Shigella </w:t>
      </w:r>
      <w:proofErr w:type="spellStart"/>
      <w:r w:rsidRPr="009D4D86">
        <w:rPr>
          <w:b/>
          <w:bCs/>
          <w:i/>
          <w:iCs/>
        </w:rPr>
        <w:t>sonnei</w:t>
      </w:r>
      <w:proofErr w:type="spellEnd"/>
      <w:r w:rsidRPr="009D4D86">
        <w:rPr>
          <w:b/>
          <w:bCs/>
        </w:rPr>
        <w:t xml:space="preserve"> in the EU/EEA, the United Kingdom, and the United States among travellers returning from Cabo Verde</w:t>
      </w:r>
      <w:r w:rsidR="00925CA6">
        <w:rPr>
          <w:b/>
          <w:bCs/>
        </w:rPr>
        <w:t xml:space="preserve"> (</w:t>
      </w:r>
      <w:r w:rsidRPr="009D4D86">
        <w:rPr>
          <w:b/>
          <w:bCs/>
        </w:rPr>
        <w:t>17 February 2023</w:t>
      </w:r>
      <w:r w:rsidR="00925CA6">
        <w:rPr>
          <w:b/>
          <w:bCs/>
        </w:rPr>
        <w:t>)</w:t>
      </w:r>
      <w:r w:rsidRPr="009D4D86">
        <w:rPr>
          <w:b/>
          <w:bCs/>
        </w:rPr>
        <w:t>:</w:t>
      </w:r>
    </w:p>
    <w:p w14:paraId="31756482" w14:textId="4FCF51A2" w:rsidR="005A4A4F" w:rsidRPr="009D4D86" w:rsidRDefault="00000000" w:rsidP="005A4A4F">
      <w:pPr>
        <w:pStyle w:val="EC-Para"/>
        <w:rPr>
          <w:rStyle w:val="Hyperlink"/>
          <w:sz w:val="18"/>
        </w:rPr>
      </w:pPr>
      <w:hyperlink r:id="rId78" w:history="1">
        <w:r w:rsidR="00EF0631" w:rsidRPr="009D4D86">
          <w:rPr>
            <w:rStyle w:val="Hyperlink"/>
            <w:sz w:val="18"/>
          </w:rPr>
          <w:t>https://www.ecdc.europa.eu/sites/default/files/documents/shigella-sonnei-risk-assessment-february-2023.pdf</w:t>
        </w:r>
      </w:hyperlink>
    </w:p>
    <w:p w14:paraId="19264E61" w14:textId="7BDA64EA" w:rsidR="00EF0631" w:rsidRPr="009D4D86" w:rsidRDefault="00A6680E" w:rsidP="00EF0631">
      <w:pPr>
        <w:pStyle w:val="EC-Para"/>
        <w:spacing w:after="0"/>
        <w:rPr>
          <w:rFonts w:eastAsiaTheme="minorHAnsi" w:cs="Tahoma"/>
          <w:b/>
          <w:lang w:eastAsia="en-US"/>
        </w:rPr>
      </w:pPr>
      <w:r w:rsidRPr="009D4D86">
        <w:rPr>
          <w:rFonts w:eastAsiaTheme="minorHAnsi" w:cs="Tahoma"/>
          <w:b/>
          <w:lang w:eastAsia="en-US"/>
        </w:rPr>
        <w:t xml:space="preserve">Rapid risk assessment: Increase in extensively-drug resistant Shigella </w:t>
      </w:r>
      <w:proofErr w:type="spellStart"/>
      <w:r w:rsidRPr="009D4D86">
        <w:rPr>
          <w:rFonts w:eastAsiaTheme="minorHAnsi" w:cs="Tahoma"/>
          <w:b/>
          <w:lang w:eastAsia="en-US"/>
        </w:rPr>
        <w:t>sonnei</w:t>
      </w:r>
      <w:proofErr w:type="spellEnd"/>
      <w:r w:rsidRPr="009D4D86">
        <w:rPr>
          <w:rFonts w:eastAsiaTheme="minorHAnsi" w:cs="Tahoma"/>
          <w:b/>
          <w:lang w:eastAsia="en-US"/>
        </w:rPr>
        <w:t xml:space="preserve"> infections in men who have sex with men in the EU/EEA and the UK</w:t>
      </w:r>
      <w:r w:rsidR="00925CA6">
        <w:rPr>
          <w:rFonts w:eastAsiaTheme="minorHAnsi" w:cs="Tahoma"/>
          <w:b/>
          <w:lang w:eastAsia="en-US"/>
        </w:rPr>
        <w:t xml:space="preserve"> (</w:t>
      </w:r>
      <w:r w:rsidR="00C126AF" w:rsidRPr="009D4D86">
        <w:rPr>
          <w:rFonts w:eastAsiaTheme="minorHAnsi" w:cs="Tahoma"/>
          <w:b/>
          <w:lang w:eastAsia="en-US"/>
        </w:rPr>
        <w:t>23 February 2022</w:t>
      </w:r>
      <w:r w:rsidR="00925CA6">
        <w:rPr>
          <w:rFonts w:eastAsiaTheme="minorHAnsi" w:cs="Tahoma"/>
          <w:b/>
          <w:lang w:eastAsia="en-US"/>
        </w:rPr>
        <w:t>)</w:t>
      </w:r>
      <w:r w:rsidR="00EF0631" w:rsidRPr="009D4D86">
        <w:rPr>
          <w:rFonts w:eastAsiaTheme="minorHAnsi" w:cs="Tahoma"/>
          <w:b/>
          <w:lang w:eastAsia="en-US"/>
        </w:rPr>
        <w:t>:</w:t>
      </w:r>
    </w:p>
    <w:p w14:paraId="6D99A0A6" w14:textId="4FF1C8F3" w:rsidR="00213E66" w:rsidRDefault="00000000" w:rsidP="00EF0631">
      <w:pPr>
        <w:pStyle w:val="EC-Para"/>
        <w:rPr>
          <w:rStyle w:val="Hyperlink"/>
          <w:sz w:val="18"/>
        </w:rPr>
      </w:pPr>
      <w:hyperlink r:id="rId79" w:history="1">
        <w:r w:rsidR="00213E66" w:rsidRPr="00BE2F61">
          <w:rPr>
            <w:rStyle w:val="Hyperlink"/>
            <w:sz w:val="18"/>
          </w:rPr>
          <w:t>https://www.ecdc.europa.eu/en/publications-data/rapid-risk-assessment-increase-extensively-drug-resistant-shigella-sonnei</w:t>
        </w:r>
      </w:hyperlink>
    </w:p>
    <w:p w14:paraId="08A8B1F3" w14:textId="77777777" w:rsidR="00213E66" w:rsidRDefault="00213E66">
      <w:pPr>
        <w:rPr>
          <w:rStyle w:val="Hyperlink"/>
          <w:rFonts w:eastAsia="Arial Unicode MS" w:cs="Times New Roman"/>
          <w:kern w:val="22"/>
          <w:sz w:val="18"/>
          <w:szCs w:val="18"/>
          <w:lang w:eastAsia="ko-KR"/>
        </w:rPr>
      </w:pPr>
      <w:r>
        <w:rPr>
          <w:rStyle w:val="Hyperlink"/>
          <w:sz w:val="18"/>
        </w:rPr>
        <w:br w:type="page"/>
      </w:r>
    </w:p>
    <w:p w14:paraId="3E4FFD10" w14:textId="49EB96B8" w:rsidR="00AC0043" w:rsidRDefault="00AC0043" w:rsidP="00B3152F">
      <w:pPr>
        <w:pStyle w:val="EC-Title-6"/>
        <w:outlineLvl w:val="1"/>
      </w:pPr>
      <w:r>
        <w:lastRenderedPageBreak/>
        <w:t xml:space="preserve">Annex 1. Surveillance systems overview, </w:t>
      </w:r>
      <w:r w:rsidR="00A32FE1">
        <w:t>202</w:t>
      </w:r>
      <w:r w:rsidR="00642773">
        <w:t>3</w:t>
      </w:r>
    </w:p>
    <w:tbl>
      <w:tblPr>
        <w:tblW w:w="9960" w:type="dxa"/>
        <w:tblLook w:val="04A0" w:firstRow="1" w:lastRow="0" w:firstColumn="1" w:lastColumn="0" w:noHBand="0" w:noVBand="1"/>
      </w:tblPr>
      <w:tblGrid>
        <w:gridCol w:w="1026"/>
        <w:gridCol w:w="2878"/>
        <w:gridCol w:w="570"/>
        <w:gridCol w:w="570"/>
        <w:gridCol w:w="570"/>
        <w:gridCol w:w="570"/>
        <w:gridCol w:w="570"/>
        <w:gridCol w:w="570"/>
        <w:gridCol w:w="570"/>
        <w:gridCol w:w="570"/>
        <w:gridCol w:w="1691"/>
      </w:tblGrid>
      <w:tr w:rsidR="005A487A" w:rsidRPr="00994F6C" w14:paraId="6CBF24C6" w14:textId="77777777" w:rsidTr="00034328">
        <w:trPr>
          <w:trHeight w:val="288"/>
        </w:trPr>
        <w:tc>
          <w:tcPr>
            <w:tcW w:w="99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6D6871AA" w14:textId="77777777" w:rsidR="005A487A" w:rsidRPr="00994F6C" w:rsidRDefault="005A487A" w:rsidP="005A487A">
            <w:pPr>
              <w:rPr>
                <w:rFonts w:eastAsia="Times New Roman" w:cs="Tahoma"/>
                <w:b/>
                <w:bCs/>
                <w:color w:val="FFFFFF"/>
                <w:sz w:val="14"/>
                <w:szCs w:val="14"/>
                <w:lang w:eastAsia="en-GB"/>
              </w:rPr>
            </w:pPr>
            <w:r w:rsidRPr="00994F6C">
              <w:rPr>
                <w:rFonts w:eastAsia="Times New Roman" w:cs="Tahoma"/>
                <w:b/>
                <w:bCs/>
                <w:color w:val="FFFFFF"/>
                <w:sz w:val="14"/>
                <w:szCs w:val="14"/>
                <w:lang w:eastAsia="en-GB"/>
              </w:rPr>
              <w:t>Country</w:t>
            </w:r>
          </w:p>
        </w:tc>
        <w:tc>
          <w:tcPr>
            <w:tcW w:w="2878"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ADD6F48" w14:textId="77777777" w:rsidR="005A487A" w:rsidRPr="00994F6C" w:rsidRDefault="005A487A" w:rsidP="005A487A">
            <w:pPr>
              <w:rPr>
                <w:rFonts w:eastAsia="Times New Roman" w:cs="Tahoma"/>
                <w:b/>
                <w:bCs/>
                <w:color w:val="FFFFFF"/>
                <w:sz w:val="14"/>
                <w:szCs w:val="14"/>
                <w:lang w:eastAsia="en-GB"/>
              </w:rPr>
            </w:pPr>
            <w:r w:rsidRPr="00994F6C">
              <w:rPr>
                <w:rFonts w:eastAsia="Times New Roman" w:cs="Tahoma"/>
                <w:b/>
                <w:bCs/>
                <w:color w:val="FFFFFF"/>
                <w:sz w:val="14"/>
                <w:szCs w:val="14"/>
                <w:lang w:eastAsia="en-GB"/>
              </w:rPr>
              <w:t>Data source</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7C0305FA" w14:textId="77777777" w:rsidR="005A487A" w:rsidRPr="00994F6C" w:rsidRDefault="005A487A" w:rsidP="005A487A">
            <w:pPr>
              <w:jc w:val="center"/>
              <w:rPr>
                <w:rFonts w:eastAsia="Times New Roman" w:cs="Tahoma"/>
                <w:b/>
                <w:bCs/>
                <w:color w:val="FFFFFF"/>
                <w:sz w:val="14"/>
                <w:szCs w:val="14"/>
                <w:lang w:eastAsia="en-GB"/>
              </w:rPr>
            </w:pPr>
            <w:r w:rsidRPr="00994F6C">
              <w:rPr>
                <w:rFonts w:eastAsia="Times New Roman" w:cs="Tahoma"/>
                <w:b/>
                <w:bCs/>
                <w:color w:val="FFFFFF"/>
                <w:sz w:val="14"/>
                <w:szCs w:val="14"/>
                <w:lang w:eastAsia="en-GB"/>
              </w:rPr>
              <w:t>Compulsory (Cp), voluntary (V), other(O)</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B094C72" w14:textId="77777777" w:rsidR="005A487A" w:rsidRPr="00994F6C" w:rsidRDefault="005A487A" w:rsidP="005A487A">
            <w:pPr>
              <w:jc w:val="center"/>
              <w:rPr>
                <w:rFonts w:eastAsia="Times New Roman" w:cs="Tahoma"/>
                <w:b/>
                <w:bCs/>
                <w:color w:val="FFFFFF"/>
                <w:sz w:val="14"/>
                <w:szCs w:val="14"/>
                <w:lang w:eastAsia="en-GB"/>
              </w:rPr>
            </w:pPr>
            <w:r w:rsidRPr="00994F6C">
              <w:rPr>
                <w:rFonts w:eastAsia="Times New Roman" w:cs="Tahoma"/>
                <w:b/>
                <w:bCs/>
                <w:color w:val="FFFFFF"/>
                <w:sz w:val="14"/>
                <w:szCs w:val="14"/>
                <w:lang w:eastAsia="en-GB"/>
              </w:rPr>
              <w:t>Comprehensive (Co), sentinel (Se), other(O)</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EC6785F" w14:textId="77777777" w:rsidR="005A487A" w:rsidRPr="00994F6C" w:rsidRDefault="005A487A" w:rsidP="005A487A">
            <w:pPr>
              <w:jc w:val="center"/>
              <w:rPr>
                <w:rFonts w:eastAsia="Times New Roman" w:cs="Tahoma"/>
                <w:b/>
                <w:bCs/>
                <w:color w:val="FFFFFF"/>
                <w:sz w:val="14"/>
                <w:szCs w:val="14"/>
                <w:lang w:eastAsia="en-GB"/>
              </w:rPr>
            </w:pPr>
            <w:r w:rsidRPr="00994F6C">
              <w:rPr>
                <w:rFonts w:eastAsia="Times New Roman" w:cs="Tahoma"/>
                <w:b/>
                <w:bCs/>
                <w:color w:val="FFFFFF"/>
                <w:sz w:val="14"/>
                <w:szCs w:val="14"/>
                <w:lang w:eastAsia="en-GB"/>
              </w:rPr>
              <w:t>Active (A), passive (P)</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2F04AEE0" w14:textId="77777777" w:rsidR="005A487A" w:rsidRPr="00994F6C" w:rsidRDefault="005A487A" w:rsidP="005A487A">
            <w:pPr>
              <w:jc w:val="center"/>
              <w:rPr>
                <w:rFonts w:eastAsia="Times New Roman" w:cs="Tahoma"/>
                <w:b/>
                <w:bCs/>
                <w:color w:val="FFFFFF"/>
                <w:sz w:val="14"/>
                <w:szCs w:val="14"/>
                <w:lang w:eastAsia="en-GB"/>
              </w:rPr>
            </w:pPr>
            <w:r w:rsidRPr="00994F6C">
              <w:rPr>
                <w:rFonts w:eastAsia="Times New Roman" w:cs="Tahoma"/>
                <w:b/>
                <w:bCs/>
                <w:color w:val="FFFFFF"/>
                <w:sz w:val="14"/>
                <w:szCs w:val="14"/>
                <w:lang w:eastAsia="en-GB"/>
              </w:rPr>
              <w:t>Case-based (C), aggregated (A)</w:t>
            </w:r>
          </w:p>
        </w:tc>
        <w:tc>
          <w:tcPr>
            <w:tcW w:w="2201" w:type="dxa"/>
            <w:gridSpan w:val="4"/>
            <w:tcBorders>
              <w:top w:val="single" w:sz="4" w:space="0" w:color="auto"/>
              <w:left w:val="nil"/>
              <w:bottom w:val="single" w:sz="4" w:space="0" w:color="auto"/>
              <w:right w:val="single" w:sz="4" w:space="0" w:color="auto"/>
            </w:tcBorders>
            <w:shd w:val="clear" w:color="000000" w:fill="69AE23"/>
            <w:noWrap/>
            <w:hideMark/>
          </w:tcPr>
          <w:p w14:paraId="61B5A376" w14:textId="77777777" w:rsidR="005A487A" w:rsidRPr="00994F6C" w:rsidRDefault="005A487A" w:rsidP="005A487A">
            <w:pPr>
              <w:jc w:val="center"/>
              <w:rPr>
                <w:rFonts w:eastAsia="Times New Roman" w:cs="Tahoma"/>
                <w:b/>
                <w:bCs/>
                <w:color w:val="FFFFFF"/>
                <w:sz w:val="14"/>
                <w:szCs w:val="14"/>
                <w:lang w:eastAsia="en-GB"/>
              </w:rPr>
            </w:pPr>
            <w:r w:rsidRPr="00994F6C">
              <w:rPr>
                <w:rFonts w:eastAsia="Times New Roman" w:cs="Tahoma"/>
                <w:b/>
                <w:bCs/>
                <w:color w:val="FFFFFF"/>
                <w:sz w:val="14"/>
                <w:szCs w:val="14"/>
                <w:lang w:eastAsia="en-GB"/>
              </w:rPr>
              <w:t>Data reported by</w:t>
            </w:r>
          </w:p>
        </w:tc>
        <w:tc>
          <w:tcPr>
            <w:tcW w:w="1691"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104CC8C7" w14:textId="77777777" w:rsidR="005A487A" w:rsidRPr="00994F6C" w:rsidRDefault="005A487A" w:rsidP="005A487A">
            <w:pPr>
              <w:rPr>
                <w:rFonts w:eastAsia="Times New Roman" w:cs="Tahoma"/>
                <w:b/>
                <w:bCs/>
                <w:color w:val="FFFFFF"/>
                <w:sz w:val="14"/>
                <w:szCs w:val="14"/>
                <w:lang w:eastAsia="en-GB"/>
              </w:rPr>
            </w:pPr>
            <w:r w:rsidRPr="00994F6C">
              <w:rPr>
                <w:rFonts w:eastAsia="Times New Roman" w:cs="Tahoma"/>
                <w:b/>
                <w:bCs/>
                <w:color w:val="FFFFFF"/>
                <w:sz w:val="14"/>
                <w:szCs w:val="14"/>
                <w:lang w:eastAsia="en-GB"/>
              </w:rPr>
              <w:t>Case definition used</w:t>
            </w:r>
          </w:p>
        </w:tc>
      </w:tr>
      <w:tr w:rsidR="005A487A" w:rsidRPr="00994F6C" w14:paraId="0763A62B" w14:textId="77777777" w:rsidTr="00034328">
        <w:trPr>
          <w:trHeight w:val="2754"/>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7BF2BFC1" w14:textId="77777777" w:rsidR="005A487A" w:rsidRPr="00994F6C" w:rsidRDefault="005A487A" w:rsidP="005A487A">
            <w:pPr>
              <w:rPr>
                <w:rFonts w:eastAsia="Times New Roman" w:cs="Tahoma"/>
                <w:b/>
                <w:bCs/>
                <w:color w:val="FFFFFF"/>
                <w:sz w:val="14"/>
                <w:szCs w:val="14"/>
                <w:lang w:eastAsia="en-GB"/>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14:paraId="2AB34AD2" w14:textId="77777777" w:rsidR="005A487A" w:rsidRPr="00994F6C" w:rsidRDefault="005A487A" w:rsidP="005A487A">
            <w:pPr>
              <w:rPr>
                <w:rFonts w:eastAsia="Times New Roman" w:cs="Tahoma"/>
                <w:b/>
                <w:bCs/>
                <w:color w:val="FFFFFF"/>
                <w:sz w:val="14"/>
                <w:szCs w:val="14"/>
                <w:lang w:eastAsia="en-GB"/>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3B4A2FEF" w14:textId="77777777" w:rsidR="005A487A" w:rsidRPr="00994F6C" w:rsidRDefault="005A487A" w:rsidP="005A487A">
            <w:pPr>
              <w:rPr>
                <w:rFonts w:eastAsia="Times New Roman" w:cs="Tahoma"/>
                <w:b/>
                <w:bCs/>
                <w:color w:val="FFFFFF"/>
                <w:sz w:val="14"/>
                <w:szCs w:val="14"/>
                <w:lang w:eastAsia="en-GB"/>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281DAEE7" w14:textId="77777777" w:rsidR="005A487A" w:rsidRPr="00994F6C" w:rsidRDefault="005A487A" w:rsidP="005A487A">
            <w:pPr>
              <w:rPr>
                <w:rFonts w:eastAsia="Times New Roman" w:cs="Tahoma"/>
                <w:b/>
                <w:bCs/>
                <w:color w:val="FFFFFF"/>
                <w:sz w:val="14"/>
                <w:szCs w:val="14"/>
                <w:lang w:eastAsia="en-GB"/>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15CBADE9" w14:textId="77777777" w:rsidR="005A487A" w:rsidRPr="00994F6C" w:rsidRDefault="005A487A" w:rsidP="005A487A">
            <w:pPr>
              <w:rPr>
                <w:rFonts w:eastAsia="Times New Roman" w:cs="Tahoma"/>
                <w:b/>
                <w:bCs/>
                <w:color w:val="FFFFFF"/>
                <w:sz w:val="14"/>
                <w:szCs w:val="14"/>
                <w:lang w:eastAsia="en-GB"/>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41DB7CE4" w14:textId="77777777" w:rsidR="005A487A" w:rsidRPr="00994F6C" w:rsidRDefault="005A487A" w:rsidP="005A487A">
            <w:pPr>
              <w:rPr>
                <w:rFonts w:eastAsia="Times New Roman" w:cs="Tahoma"/>
                <w:b/>
                <w:bCs/>
                <w:color w:val="FFFFFF"/>
                <w:sz w:val="14"/>
                <w:szCs w:val="14"/>
                <w:lang w:eastAsia="en-GB"/>
              </w:rPr>
            </w:pPr>
          </w:p>
        </w:tc>
        <w:tc>
          <w:tcPr>
            <w:tcW w:w="550" w:type="dxa"/>
            <w:tcBorders>
              <w:top w:val="nil"/>
              <w:left w:val="nil"/>
              <w:bottom w:val="nil"/>
              <w:right w:val="single" w:sz="4" w:space="0" w:color="auto"/>
            </w:tcBorders>
            <w:shd w:val="clear" w:color="000000" w:fill="69AE23"/>
            <w:noWrap/>
            <w:textDirection w:val="btLr"/>
            <w:vAlign w:val="bottom"/>
            <w:hideMark/>
          </w:tcPr>
          <w:p w14:paraId="1C5307FA" w14:textId="77777777" w:rsidR="005A487A" w:rsidRPr="00994F6C" w:rsidRDefault="005A487A" w:rsidP="005A487A">
            <w:pPr>
              <w:jc w:val="center"/>
              <w:rPr>
                <w:rFonts w:eastAsia="Times New Roman" w:cs="Tahoma"/>
                <w:b/>
                <w:bCs/>
                <w:color w:val="FFFFFF"/>
                <w:sz w:val="14"/>
                <w:szCs w:val="14"/>
                <w:lang w:eastAsia="en-GB"/>
              </w:rPr>
            </w:pPr>
            <w:r w:rsidRPr="00994F6C">
              <w:rPr>
                <w:rFonts w:eastAsia="Times New Roman" w:cs="Tahoma"/>
                <w:b/>
                <w:bCs/>
                <w:color w:val="FFFFFF"/>
                <w:sz w:val="14"/>
                <w:szCs w:val="14"/>
                <w:lang w:eastAsia="en-GB"/>
              </w:rPr>
              <w:t>Laboratories</w:t>
            </w:r>
          </w:p>
        </w:tc>
        <w:tc>
          <w:tcPr>
            <w:tcW w:w="550" w:type="dxa"/>
            <w:tcBorders>
              <w:top w:val="nil"/>
              <w:left w:val="nil"/>
              <w:bottom w:val="nil"/>
              <w:right w:val="single" w:sz="4" w:space="0" w:color="auto"/>
            </w:tcBorders>
            <w:shd w:val="clear" w:color="000000" w:fill="69AE23"/>
            <w:noWrap/>
            <w:textDirection w:val="btLr"/>
            <w:vAlign w:val="bottom"/>
            <w:hideMark/>
          </w:tcPr>
          <w:p w14:paraId="3865D0CC" w14:textId="77777777" w:rsidR="005A487A" w:rsidRPr="00994F6C" w:rsidRDefault="005A487A" w:rsidP="005A487A">
            <w:pPr>
              <w:jc w:val="center"/>
              <w:rPr>
                <w:rFonts w:eastAsia="Times New Roman" w:cs="Tahoma"/>
                <w:b/>
                <w:bCs/>
                <w:color w:val="FFFFFF"/>
                <w:sz w:val="14"/>
                <w:szCs w:val="14"/>
                <w:lang w:eastAsia="en-GB"/>
              </w:rPr>
            </w:pPr>
            <w:r w:rsidRPr="00994F6C">
              <w:rPr>
                <w:rFonts w:eastAsia="Times New Roman" w:cs="Tahoma"/>
                <w:b/>
                <w:bCs/>
                <w:color w:val="FFFFFF"/>
                <w:sz w:val="14"/>
                <w:szCs w:val="14"/>
                <w:lang w:eastAsia="en-GB"/>
              </w:rPr>
              <w:t>Physicians</w:t>
            </w:r>
          </w:p>
        </w:tc>
        <w:tc>
          <w:tcPr>
            <w:tcW w:w="550" w:type="dxa"/>
            <w:tcBorders>
              <w:top w:val="nil"/>
              <w:left w:val="nil"/>
              <w:bottom w:val="nil"/>
              <w:right w:val="single" w:sz="4" w:space="0" w:color="auto"/>
            </w:tcBorders>
            <w:shd w:val="clear" w:color="000000" w:fill="69AE23"/>
            <w:noWrap/>
            <w:textDirection w:val="btLr"/>
            <w:vAlign w:val="bottom"/>
            <w:hideMark/>
          </w:tcPr>
          <w:p w14:paraId="3507E6D2" w14:textId="77777777" w:rsidR="005A487A" w:rsidRPr="00994F6C" w:rsidRDefault="005A487A" w:rsidP="005A487A">
            <w:pPr>
              <w:jc w:val="center"/>
              <w:rPr>
                <w:rFonts w:eastAsia="Times New Roman" w:cs="Tahoma"/>
                <w:b/>
                <w:bCs/>
                <w:color w:val="FFFFFF"/>
                <w:sz w:val="14"/>
                <w:szCs w:val="14"/>
                <w:lang w:eastAsia="en-GB"/>
              </w:rPr>
            </w:pPr>
            <w:r w:rsidRPr="00994F6C">
              <w:rPr>
                <w:rFonts w:eastAsia="Times New Roman" w:cs="Tahoma"/>
                <w:b/>
                <w:bCs/>
                <w:color w:val="FFFFFF"/>
                <w:sz w:val="14"/>
                <w:szCs w:val="14"/>
                <w:lang w:eastAsia="en-GB"/>
              </w:rPr>
              <w:t>Hospitals</w:t>
            </w:r>
          </w:p>
        </w:tc>
        <w:tc>
          <w:tcPr>
            <w:tcW w:w="550" w:type="dxa"/>
            <w:tcBorders>
              <w:top w:val="nil"/>
              <w:left w:val="nil"/>
              <w:bottom w:val="nil"/>
              <w:right w:val="single" w:sz="4" w:space="0" w:color="auto"/>
            </w:tcBorders>
            <w:shd w:val="clear" w:color="000000" w:fill="69AE23"/>
            <w:noWrap/>
            <w:textDirection w:val="btLr"/>
            <w:vAlign w:val="bottom"/>
            <w:hideMark/>
          </w:tcPr>
          <w:p w14:paraId="0B2ECF6C" w14:textId="77777777" w:rsidR="005A487A" w:rsidRPr="00994F6C" w:rsidRDefault="005A487A" w:rsidP="005A487A">
            <w:pPr>
              <w:jc w:val="center"/>
              <w:rPr>
                <w:rFonts w:eastAsia="Times New Roman" w:cs="Tahoma"/>
                <w:b/>
                <w:bCs/>
                <w:color w:val="FFFFFF"/>
                <w:sz w:val="14"/>
                <w:szCs w:val="14"/>
                <w:lang w:eastAsia="en-GB"/>
              </w:rPr>
            </w:pPr>
            <w:r w:rsidRPr="00994F6C">
              <w:rPr>
                <w:rFonts w:eastAsia="Times New Roman" w:cs="Tahoma"/>
                <w:b/>
                <w:bCs/>
                <w:color w:val="FFFFFF"/>
                <w:sz w:val="14"/>
                <w:szCs w:val="14"/>
                <w:lang w:eastAsia="en-GB"/>
              </w:rPr>
              <w:t>Others</w:t>
            </w: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1DD82081" w14:textId="77777777" w:rsidR="005A487A" w:rsidRPr="00994F6C" w:rsidRDefault="005A487A" w:rsidP="005A487A">
            <w:pPr>
              <w:rPr>
                <w:rFonts w:eastAsia="Times New Roman" w:cs="Tahoma"/>
                <w:b/>
                <w:bCs/>
                <w:color w:val="FFFFFF"/>
                <w:sz w:val="14"/>
                <w:szCs w:val="14"/>
                <w:lang w:eastAsia="en-GB"/>
              </w:rPr>
            </w:pPr>
          </w:p>
        </w:tc>
      </w:tr>
      <w:tr w:rsidR="00994F6C" w:rsidRPr="00994F6C" w14:paraId="2E982940" w14:textId="77777777" w:rsidTr="00034328">
        <w:trPr>
          <w:trHeight w:val="230"/>
        </w:trPr>
        <w:tc>
          <w:tcPr>
            <w:tcW w:w="990" w:type="dxa"/>
            <w:tcBorders>
              <w:top w:val="single" w:sz="4" w:space="0" w:color="000000"/>
              <w:left w:val="single" w:sz="4" w:space="0" w:color="000000"/>
              <w:bottom w:val="nil"/>
              <w:right w:val="single" w:sz="4" w:space="0" w:color="auto"/>
            </w:tcBorders>
            <w:shd w:val="clear" w:color="000000" w:fill="D9D9D9"/>
            <w:noWrap/>
            <w:vAlign w:val="bottom"/>
            <w:hideMark/>
          </w:tcPr>
          <w:p w14:paraId="14EA870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Austria</w:t>
            </w:r>
          </w:p>
        </w:tc>
        <w:tc>
          <w:tcPr>
            <w:tcW w:w="2878" w:type="dxa"/>
            <w:tcBorders>
              <w:top w:val="single" w:sz="4" w:space="0" w:color="000000"/>
              <w:left w:val="nil"/>
              <w:bottom w:val="nil"/>
              <w:right w:val="single" w:sz="4" w:space="0" w:color="auto"/>
            </w:tcBorders>
            <w:shd w:val="clear" w:color="000000" w:fill="D9D9D9"/>
            <w:noWrap/>
            <w:vAlign w:val="bottom"/>
            <w:hideMark/>
          </w:tcPr>
          <w:p w14:paraId="044AF55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AT-</w:t>
            </w:r>
            <w:proofErr w:type="spellStart"/>
            <w:r w:rsidRPr="00994F6C">
              <w:rPr>
                <w:rFonts w:eastAsia="Times New Roman" w:cs="Tahoma"/>
                <w:sz w:val="14"/>
                <w:szCs w:val="14"/>
                <w:lang w:eastAsia="en-GB"/>
              </w:rPr>
              <w:t>Epidemiegesetz</w:t>
            </w:r>
            <w:proofErr w:type="spellEnd"/>
          </w:p>
        </w:tc>
        <w:tc>
          <w:tcPr>
            <w:tcW w:w="550" w:type="dxa"/>
            <w:tcBorders>
              <w:top w:val="single" w:sz="4" w:space="0" w:color="000000"/>
              <w:left w:val="nil"/>
              <w:bottom w:val="nil"/>
              <w:right w:val="single" w:sz="4" w:space="0" w:color="auto"/>
            </w:tcBorders>
            <w:shd w:val="clear" w:color="000000" w:fill="D9D9D9"/>
            <w:noWrap/>
            <w:vAlign w:val="bottom"/>
            <w:hideMark/>
          </w:tcPr>
          <w:p w14:paraId="4AB3676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single" w:sz="4" w:space="0" w:color="000000"/>
              <w:left w:val="nil"/>
              <w:bottom w:val="nil"/>
              <w:right w:val="single" w:sz="4" w:space="0" w:color="auto"/>
            </w:tcBorders>
            <w:shd w:val="clear" w:color="000000" w:fill="D9D9D9"/>
            <w:noWrap/>
            <w:vAlign w:val="bottom"/>
            <w:hideMark/>
          </w:tcPr>
          <w:p w14:paraId="5F93590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single" w:sz="4" w:space="0" w:color="000000"/>
              <w:left w:val="nil"/>
              <w:bottom w:val="nil"/>
              <w:right w:val="single" w:sz="4" w:space="0" w:color="auto"/>
            </w:tcBorders>
            <w:shd w:val="clear" w:color="000000" w:fill="D9D9D9"/>
            <w:noWrap/>
            <w:vAlign w:val="bottom"/>
            <w:hideMark/>
          </w:tcPr>
          <w:p w14:paraId="32CB1D4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single" w:sz="4" w:space="0" w:color="000000"/>
              <w:left w:val="nil"/>
              <w:bottom w:val="nil"/>
              <w:right w:val="single" w:sz="4" w:space="0" w:color="auto"/>
            </w:tcBorders>
            <w:shd w:val="clear" w:color="000000" w:fill="D9D9D9"/>
            <w:noWrap/>
            <w:vAlign w:val="bottom"/>
            <w:hideMark/>
          </w:tcPr>
          <w:p w14:paraId="352E644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single" w:sz="4" w:space="0" w:color="000000"/>
              <w:left w:val="nil"/>
              <w:bottom w:val="nil"/>
              <w:right w:val="single" w:sz="4" w:space="0" w:color="auto"/>
            </w:tcBorders>
            <w:shd w:val="clear" w:color="000000" w:fill="D9D9D9"/>
            <w:noWrap/>
            <w:vAlign w:val="bottom"/>
            <w:hideMark/>
          </w:tcPr>
          <w:p w14:paraId="4FC93EC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single" w:sz="4" w:space="0" w:color="000000"/>
              <w:left w:val="nil"/>
              <w:bottom w:val="nil"/>
              <w:right w:val="single" w:sz="4" w:space="0" w:color="auto"/>
            </w:tcBorders>
            <w:shd w:val="clear" w:color="000000" w:fill="D9D9D9"/>
            <w:noWrap/>
            <w:vAlign w:val="bottom"/>
            <w:hideMark/>
          </w:tcPr>
          <w:p w14:paraId="767A030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single" w:sz="4" w:space="0" w:color="000000"/>
              <w:left w:val="nil"/>
              <w:bottom w:val="nil"/>
              <w:right w:val="single" w:sz="4" w:space="0" w:color="auto"/>
            </w:tcBorders>
            <w:shd w:val="clear" w:color="000000" w:fill="D9D9D9"/>
            <w:noWrap/>
            <w:vAlign w:val="bottom"/>
            <w:hideMark/>
          </w:tcPr>
          <w:p w14:paraId="41D2055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single" w:sz="4" w:space="0" w:color="000000"/>
              <w:left w:val="nil"/>
              <w:bottom w:val="nil"/>
              <w:right w:val="single" w:sz="4" w:space="0" w:color="auto"/>
            </w:tcBorders>
            <w:shd w:val="clear" w:color="000000" w:fill="D9D9D9"/>
            <w:noWrap/>
            <w:vAlign w:val="bottom"/>
            <w:hideMark/>
          </w:tcPr>
          <w:p w14:paraId="3124D66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1691" w:type="dxa"/>
            <w:tcBorders>
              <w:top w:val="single" w:sz="4" w:space="0" w:color="000000"/>
              <w:left w:val="nil"/>
              <w:bottom w:val="nil"/>
              <w:right w:val="single" w:sz="4" w:space="0" w:color="000000"/>
            </w:tcBorders>
            <w:shd w:val="clear" w:color="000000" w:fill="D9D9D9"/>
            <w:noWrap/>
            <w:vAlign w:val="bottom"/>
            <w:hideMark/>
          </w:tcPr>
          <w:p w14:paraId="6D42969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EU-2008</w:t>
            </w:r>
          </w:p>
        </w:tc>
      </w:tr>
      <w:tr w:rsidR="007D4EE3" w:rsidRPr="00994F6C" w14:paraId="63655D39"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1E73429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Belgium</w:t>
            </w:r>
          </w:p>
        </w:tc>
        <w:tc>
          <w:tcPr>
            <w:tcW w:w="2878" w:type="dxa"/>
            <w:tcBorders>
              <w:top w:val="nil"/>
              <w:left w:val="nil"/>
              <w:bottom w:val="nil"/>
              <w:right w:val="single" w:sz="4" w:space="0" w:color="auto"/>
            </w:tcBorders>
            <w:shd w:val="clear" w:color="auto" w:fill="auto"/>
            <w:noWrap/>
            <w:vAlign w:val="bottom"/>
            <w:hideMark/>
          </w:tcPr>
          <w:p w14:paraId="46CF23A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BE-REFLAB</w:t>
            </w:r>
          </w:p>
        </w:tc>
        <w:tc>
          <w:tcPr>
            <w:tcW w:w="550" w:type="dxa"/>
            <w:tcBorders>
              <w:top w:val="nil"/>
              <w:left w:val="nil"/>
              <w:bottom w:val="nil"/>
              <w:right w:val="single" w:sz="4" w:space="0" w:color="auto"/>
            </w:tcBorders>
            <w:shd w:val="clear" w:color="auto" w:fill="auto"/>
            <w:noWrap/>
            <w:vAlign w:val="bottom"/>
            <w:hideMark/>
          </w:tcPr>
          <w:p w14:paraId="1397945D" w14:textId="6E01F9F7" w:rsidR="005A487A" w:rsidRPr="00994F6C" w:rsidRDefault="00FE6DF7" w:rsidP="00727F61">
            <w:pPr>
              <w:spacing w:before="120" w:after="0"/>
              <w:rPr>
                <w:rFonts w:eastAsia="Times New Roman" w:cs="Tahoma"/>
                <w:sz w:val="14"/>
                <w:szCs w:val="14"/>
                <w:lang w:eastAsia="en-GB"/>
              </w:rPr>
            </w:pPr>
            <w:r>
              <w:rPr>
                <w:rFonts w:eastAsia="Times New Roman" w:cs="Tahoma"/>
                <w:sz w:val="14"/>
                <w:szCs w:val="14"/>
                <w:lang w:eastAsia="en-GB"/>
              </w:rPr>
              <w:t>Vo</w:t>
            </w:r>
          </w:p>
        </w:tc>
        <w:tc>
          <w:tcPr>
            <w:tcW w:w="550" w:type="dxa"/>
            <w:tcBorders>
              <w:top w:val="nil"/>
              <w:left w:val="nil"/>
              <w:bottom w:val="nil"/>
              <w:right w:val="single" w:sz="4" w:space="0" w:color="auto"/>
            </w:tcBorders>
            <w:shd w:val="clear" w:color="auto" w:fill="auto"/>
            <w:noWrap/>
            <w:vAlign w:val="bottom"/>
            <w:hideMark/>
          </w:tcPr>
          <w:p w14:paraId="39236D5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1F261C8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142198A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67E8F85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F8BB64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5DDCED7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7F8E5A5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auto" w:fill="auto"/>
            <w:noWrap/>
            <w:vAlign w:val="bottom"/>
            <w:hideMark/>
          </w:tcPr>
          <w:p w14:paraId="132DE98C" w14:textId="5CDF72DD" w:rsidR="005A487A" w:rsidRPr="00994F6C" w:rsidRDefault="00A57D27"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994F6C" w:rsidRPr="00994F6C" w14:paraId="13654FEB"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42B64AD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Bulgaria</w:t>
            </w:r>
          </w:p>
        </w:tc>
        <w:tc>
          <w:tcPr>
            <w:tcW w:w="2878" w:type="dxa"/>
            <w:tcBorders>
              <w:top w:val="nil"/>
              <w:left w:val="nil"/>
              <w:bottom w:val="nil"/>
              <w:right w:val="single" w:sz="4" w:space="0" w:color="auto"/>
            </w:tcBorders>
            <w:shd w:val="clear" w:color="000000" w:fill="D9D9D9"/>
            <w:noWrap/>
            <w:vAlign w:val="bottom"/>
            <w:hideMark/>
          </w:tcPr>
          <w:p w14:paraId="666212F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BG-NATIONAL_SURVEILLANCE</w:t>
            </w:r>
          </w:p>
        </w:tc>
        <w:tc>
          <w:tcPr>
            <w:tcW w:w="550" w:type="dxa"/>
            <w:tcBorders>
              <w:top w:val="nil"/>
              <w:left w:val="nil"/>
              <w:bottom w:val="nil"/>
              <w:right w:val="single" w:sz="4" w:space="0" w:color="auto"/>
            </w:tcBorders>
            <w:shd w:val="clear" w:color="000000" w:fill="D9D9D9"/>
            <w:noWrap/>
            <w:vAlign w:val="bottom"/>
            <w:hideMark/>
          </w:tcPr>
          <w:p w14:paraId="5B7E670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1B43FE9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1A8BC34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7ECF200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A</w:t>
            </w:r>
          </w:p>
        </w:tc>
        <w:tc>
          <w:tcPr>
            <w:tcW w:w="550" w:type="dxa"/>
            <w:tcBorders>
              <w:top w:val="nil"/>
              <w:left w:val="nil"/>
              <w:bottom w:val="nil"/>
              <w:right w:val="single" w:sz="4" w:space="0" w:color="auto"/>
            </w:tcBorders>
            <w:shd w:val="clear" w:color="000000" w:fill="D9D9D9"/>
            <w:noWrap/>
            <w:vAlign w:val="bottom"/>
            <w:hideMark/>
          </w:tcPr>
          <w:p w14:paraId="6B0CB74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61E13AD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189A848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7AD9DFC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1691" w:type="dxa"/>
            <w:tcBorders>
              <w:top w:val="nil"/>
              <w:left w:val="nil"/>
              <w:bottom w:val="nil"/>
              <w:right w:val="single" w:sz="4" w:space="0" w:color="000000"/>
            </w:tcBorders>
            <w:shd w:val="clear" w:color="000000" w:fill="D9D9D9"/>
            <w:noWrap/>
            <w:vAlign w:val="bottom"/>
            <w:hideMark/>
          </w:tcPr>
          <w:p w14:paraId="136B388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7D4EE3" w:rsidRPr="00994F6C" w14:paraId="3B6DE382"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30B7A3E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Croatia</w:t>
            </w:r>
          </w:p>
        </w:tc>
        <w:tc>
          <w:tcPr>
            <w:tcW w:w="2878" w:type="dxa"/>
            <w:tcBorders>
              <w:top w:val="nil"/>
              <w:left w:val="nil"/>
              <w:bottom w:val="nil"/>
              <w:right w:val="single" w:sz="4" w:space="0" w:color="auto"/>
            </w:tcBorders>
            <w:shd w:val="clear" w:color="auto" w:fill="auto"/>
            <w:noWrap/>
            <w:vAlign w:val="bottom"/>
            <w:hideMark/>
          </w:tcPr>
          <w:p w14:paraId="1018350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HR-CNIPH</w:t>
            </w:r>
          </w:p>
        </w:tc>
        <w:tc>
          <w:tcPr>
            <w:tcW w:w="550" w:type="dxa"/>
            <w:tcBorders>
              <w:top w:val="nil"/>
              <w:left w:val="nil"/>
              <w:bottom w:val="nil"/>
              <w:right w:val="single" w:sz="4" w:space="0" w:color="auto"/>
            </w:tcBorders>
            <w:shd w:val="clear" w:color="auto" w:fill="auto"/>
            <w:noWrap/>
            <w:vAlign w:val="bottom"/>
            <w:hideMark/>
          </w:tcPr>
          <w:p w14:paraId="0BB7326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0E15394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5F42A0B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1A1D9E5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7D4F8EF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02BCDF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B89D79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220D21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1691" w:type="dxa"/>
            <w:tcBorders>
              <w:top w:val="nil"/>
              <w:left w:val="nil"/>
              <w:bottom w:val="nil"/>
              <w:right w:val="single" w:sz="4" w:space="0" w:color="000000"/>
            </w:tcBorders>
            <w:shd w:val="clear" w:color="auto" w:fill="auto"/>
            <w:noWrap/>
            <w:vAlign w:val="bottom"/>
            <w:hideMark/>
          </w:tcPr>
          <w:p w14:paraId="5028771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EU-2012</w:t>
            </w:r>
          </w:p>
        </w:tc>
      </w:tr>
      <w:tr w:rsidR="00994F6C" w:rsidRPr="00994F6C" w14:paraId="1D89EF77"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01BDBB8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Cyprus</w:t>
            </w:r>
          </w:p>
        </w:tc>
        <w:tc>
          <w:tcPr>
            <w:tcW w:w="2878" w:type="dxa"/>
            <w:tcBorders>
              <w:top w:val="nil"/>
              <w:left w:val="nil"/>
              <w:bottom w:val="nil"/>
              <w:right w:val="single" w:sz="4" w:space="0" w:color="auto"/>
            </w:tcBorders>
            <w:shd w:val="clear" w:color="000000" w:fill="D9D9D9"/>
            <w:noWrap/>
            <w:vAlign w:val="bottom"/>
            <w:hideMark/>
          </w:tcPr>
          <w:p w14:paraId="66CF366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CY-NOTIFIED_DISEASES</w:t>
            </w:r>
          </w:p>
        </w:tc>
        <w:tc>
          <w:tcPr>
            <w:tcW w:w="550" w:type="dxa"/>
            <w:tcBorders>
              <w:top w:val="nil"/>
              <w:left w:val="nil"/>
              <w:bottom w:val="nil"/>
              <w:right w:val="single" w:sz="4" w:space="0" w:color="auto"/>
            </w:tcBorders>
            <w:shd w:val="clear" w:color="000000" w:fill="D9D9D9"/>
            <w:noWrap/>
            <w:vAlign w:val="bottom"/>
            <w:hideMark/>
          </w:tcPr>
          <w:p w14:paraId="3667E96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4B715A2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569B4B5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1EA596D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5199120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7855281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75EF4E1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7892FB6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39C389C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EU-2008</w:t>
            </w:r>
          </w:p>
        </w:tc>
      </w:tr>
      <w:tr w:rsidR="007D4EE3" w:rsidRPr="00994F6C" w14:paraId="76961CCF"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4FB45CF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Czechia</w:t>
            </w:r>
          </w:p>
        </w:tc>
        <w:tc>
          <w:tcPr>
            <w:tcW w:w="2878" w:type="dxa"/>
            <w:tcBorders>
              <w:top w:val="nil"/>
              <w:left w:val="nil"/>
              <w:bottom w:val="nil"/>
              <w:right w:val="single" w:sz="4" w:space="0" w:color="auto"/>
            </w:tcBorders>
            <w:shd w:val="clear" w:color="auto" w:fill="auto"/>
            <w:noWrap/>
            <w:vAlign w:val="bottom"/>
            <w:hideMark/>
          </w:tcPr>
          <w:p w14:paraId="555FDE3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CZ-ISIN</w:t>
            </w:r>
          </w:p>
        </w:tc>
        <w:tc>
          <w:tcPr>
            <w:tcW w:w="550" w:type="dxa"/>
            <w:tcBorders>
              <w:top w:val="nil"/>
              <w:left w:val="nil"/>
              <w:bottom w:val="nil"/>
              <w:right w:val="single" w:sz="4" w:space="0" w:color="auto"/>
            </w:tcBorders>
            <w:shd w:val="clear" w:color="auto" w:fill="auto"/>
            <w:noWrap/>
            <w:vAlign w:val="bottom"/>
            <w:hideMark/>
          </w:tcPr>
          <w:p w14:paraId="59DD372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1698C19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7D474DB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A</w:t>
            </w:r>
          </w:p>
        </w:tc>
        <w:tc>
          <w:tcPr>
            <w:tcW w:w="550" w:type="dxa"/>
            <w:tcBorders>
              <w:top w:val="nil"/>
              <w:left w:val="nil"/>
              <w:bottom w:val="nil"/>
              <w:right w:val="single" w:sz="4" w:space="0" w:color="auto"/>
            </w:tcBorders>
            <w:shd w:val="clear" w:color="auto" w:fill="auto"/>
            <w:noWrap/>
            <w:vAlign w:val="bottom"/>
            <w:hideMark/>
          </w:tcPr>
          <w:p w14:paraId="337E38F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0C5CCFA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F95E9D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537D5B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A0E785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auto" w:fill="auto"/>
            <w:noWrap/>
            <w:vAlign w:val="bottom"/>
            <w:hideMark/>
          </w:tcPr>
          <w:p w14:paraId="382B778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EU-2008</w:t>
            </w:r>
          </w:p>
        </w:tc>
      </w:tr>
      <w:tr w:rsidR="00994F6C" w:rsidRPr="00994F6C" w14:paraId="00E1928F"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77DC211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Denmark</w:t>
            </w:r>
          </w:p>
        </w:tc>
        <w:tc>
          <w:tcPr>
            <w:tcW w:w="2878" w:type="dxa"/>
            <w:tcBorders>
              <w:top w:val="nil"/>
              <w:left w:val="nil"/>
              <w:bottom w:val="nil"/>
              <w:right w:val="single" w:sz="4" w:space="0" w:color="auto"/>
            </w:tcBorders>
            <w:shd w:val="clear" w:color="000000" w:fill="D9D9D9"/>
            <w:noWrap/>
            <w:vAlign w:val="bottom"/>
            <w:hideMark/>
          </w:tcPr>
          <w:p w14:paraId="52ED6A5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DK-LAB</w:t>
            </w:r>
          </w:p>
        </w:tc>
        <w:tc>
          <w:tcPr>
            <w:tcW w:w="550" w:type="dxa"/>
            <w:tcBorders>
              <w:top w:val="nil"/>
              <w:left w:val="nil"/>
              <w:bottom w:val="nil"/>
              <w:right w:val="single" w:sz="4" w:space="0" w:color="auto"/>
            </w:tcBorders>
            <w:shd w:val="clear" w:color="000000" w:fill="D9D9D9"/>
            <w:noWrap/>
            <w:vAlign w:val="bottom"/>
            <w:hideMark/>
          </w:tcPr>
          <w:p w14:paraId="7916158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5F44A82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67F4687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2657835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065603E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2CE0C5A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460C7B5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67E50F0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597F3A0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Other</w:t>
            </w:r>
          </w:p>
        </w:tc>
      </w:tr>
      <w:tr w:rsidR="007D4EE3" w:rsidRPr="00994F6C" w14:paraId="28DAB395"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68C0290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Estonia</w:t>
            </w:r>
          </w:p>
        </w:tc>
        <w:tc>
          <w:tcPr>
            <w:tcW w:w="2878" w:type="dxa"/>
            <w:tcBorders>
              <w:top w:val="nil"/>
              <w:left w:val="nil"/>
              <w:bottom w:val="nil"/>
              <w:right w:val="single" w:sz="4" w:space="0" w:color="auto"/>
            </w:tcBorders>
            <w:shd w:val="clear" w:color="auto" w:fill="auto"/>
            <w:noWrap/>
            <w:vAlign w:val="bottom"/>
            <w:hideMark/>
          </w:tcPr>
          <w:p w14:paraId="2EF2CA6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EE-NAKIS</w:t>
            </w:r>
          </w:p>
        </w:tc>
        <w:tc>
          <w:tcPr>
            <w:tcW w:w="550" w:type="dxa"/>
            <w:tcBorders>
              <w:top w:val="nil"/>
              <w:left w:val="nil"/>
              <w:bottom w:val="nil"/>
              <w:right w:val="single" w:sz="4" w:space="0" w:color="auto"/>
            </w:tcBorders>
            <w:shd w:val="clear" w:color="auto" w:fill="auto"/>
            <w:noWrap/>
            <w:vAlign w:val="bottom"/>
            <w:hideMark/>
          </w:tcPr>
          <w:p w14:paraId="334BED6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02E0027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66CAFB2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1411C6F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09099F6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13537C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01AA268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794392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auto" w:fill="auto"/>
            <w:noWrap/>
            <w:vAlign w:val="bottom"/>
            <w:hideMark/>
          </w:tcPr>
          <w:p w14:paraId="0C620EB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994F6C" w:rsidRPr="00994F6C" w14:paraId="5BD07C9D"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69282AB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Finland</w:t>
            </w:r>
          </w:p>
        </w:tc>
        <w:tc>
          <w:tcPr>
            <w:tcW w:w="2878" w:type="dxa"/>
            <w:tcBorders>
              <w:top w:val="nil"/>
              <w:left w:val="nil"/>
              <w:bottom w:val="nil"/>
              <w:right w:val="single" w:sz="4" w:space="0" w:color="auto"/>
            </w:tcBorders>
            <w:shd w:val="clear" w:color="000000" w:fill="D9D9D9"/>
            <w:noWrap/>
            <w:vAlign w:val="bottom"/>
            <w:hideMark/>
          </w:tcPr>
          <w:p w14:paraId="44FB117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FI-NIDR</w:t>
            </w:r>
          </w:p>
        </w:tc>
        <w:tc>
          <w:tcPr>
            <w:tcW w:w="550" w:type="dxa"/>
            <w:tcBorders>
              <w:top w:val="nil"/>
              <w:left w:val="nil"/>
              <w:bottom w:val="nil"/>
              <w:right w:val="single" w:sz="4" w:space="0" w:color="auto"/>
            </w:tcBorders>
            <w:shd w:val="clear" w:color="000000" w:fill="D9D9D9"/>
            <w:noWrap/>
            <w:vAlign w:val="bottom"/>
            <w:hideMark/>
          </w:tcPr>
          <w:p w14:paraId="6EDA909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51E918A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766413B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7854304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50CD495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6E83934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48B6E51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2B8051F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74D6498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EU-2012</w:t>
            </w:r>
          </w:p>
        </w:tc>
      </w:tr>
      <w:tr w:rsidR="007D4EE3" w:rsidRPr="00994F6C" w14:paraId="4D6FDF75"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68497D8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France</w:t>
            </w:r>
          </w:p>
        </w:tc>
        <w:tc>
          <w:tcPr>
            <w:tcW w:w="2878" w:type="dxa"/>
            <w:tcBorders>
              <w:top w:val="nil"/>
              <w:left w:val="nil"/>
              <w:bottom w:val="nil"/>
              <w:right w:val="single" w:sz="4" w:space="0" w:color="auto"/>
            </w:tcBorders>
            <w:shd w:val="clear" w:color="auto" w:fill="auto"/>
            <w:noWrap/>
            <w:vAlign w:val="bottom"/>
            <w:hideMark/>
          </w:tcPr>
          <w:p w14:paraId="6660C25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FR-NATIONAL_REFERENCE_CENTRES</w:t>
            </w:r>
          </w:p>
        </w:tc>
        <w:tc>
          <w:tcPr>
            <w:tcW w:w="550" w:type="dxa"/>
            <w:tcBorders>
              <w:top w:val="nil"/>
              <w:left w:val="nil"/>
              <w:bottom w:val="nil"/>
              <w:right w:val="single" w:sz="4" w:space="0" w:color="auto"/>
            </w:tcBorders>
            <w:shd w:val="clear" w:color="auto" w:fill="auto"/>
            <w:noWrap/>
            <w:vAlign w:val="bottom"/>
            <w:hideMark/>
          </w:tcPr>
          <w:p w14:paraId="290C3C7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V</w:t>
            </w:r>
          </w:p>
        </w:tc>
        <w:tc>
          <w:tcPr>
            <w:tcW w:w="550" w:type="dxa"/>
            <w:tcBorders>
              <w:top w:val="nil"/>
              <w:left w:val="nil"/>
              <w:bottom w:val="nil"/>
              <w:right w:val="single" w:sz="4" w:space="0" w:color="auto"/>
            </w:tcBorders>
            <w:shd w:val="clear" w:color="auto" w:fill="auto"/>
            <w:noWrap/>
            <w:vAlign w:val="bottom"/>
            <w:hideMark/>
          </w:tcPr>
          <w:p w14:paraId="5578E8F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1A8F157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7E38459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4FD34C6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82730C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1287644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6F1F39A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auto" w:fill="auto"/>
            <w:noWrap/>
            <w:vAlign w:val="bottom"/>
            <w:hideMark/>
          </w:tcPr>
          <w:p w14:paraId="1BF2D20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Other</w:t>
            </w:r>
          </w:p>
        </w:tc>
      </w:tr>
      <w:tr w:rsidR="00994F6C" w:rsidRPr="00994F6C" w14:paraId="0980D052"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57DC7CF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Germany</w:t>
            </w:r>
          </w:p>
        </w:tc>
        <w:tc>
          <w:tcPr>
            <w:tcW w:w="2878" w:type="dxa"/>
            <w:tcBorders>
              <w:top w:val="nil"/>
              <w:left w:val="nil"/>
              <w:bottom w:val="nil"/>
              <w:right w:val="single" w:sz="4" w:space="0" w:color="auto"/>
            </w:tcBorders>
            <w:shd w:val="clear" w:color="000000" w:fill="D9D9D9"/>
            <w:noWrap/>
            <w:vAlign w:val="bottom"/>
            <w:hideMark/>
          </w:tcPr>
          <w:p w14:paraId="40B229E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DE-SURVNET@RKI-7.1</w:t>
            </w:r>
          </w:p>
        </w:tc>
        <w:tc>
          <w:tcPr>
            <w:tcW w:w="550" w:type="dxa"/>
            <w:tcBorders>
              <w:top w:val="nil"/>
              <w:left w:val="nil"/>
              <w:bottom w:val="nil"/>
              <w:right w:val="single" w:sz="4" w:space="0" w:color="auto"/>
            </w:tcBorders>
            <w:shd w:val="clear" w:color="000000" w:fill="D9D9D9"/>
            <w:noWrap/>
            <w:vAlign w:val="bottom"/>
            <w:hideMark/>
          </w:tcPr>
          <w:p w14:paraId="0DFE628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7316A63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46F274C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5E76BB2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0BF69E3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F21403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09A8237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1266592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7B766EA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Other</w:t>
            </w:r>
          </w:p>
        </w:tc>
      </w:tr>
      <w:tr w:rsidR="007D4EE3" w:rsidRPr="00994F6C" w14:paraId="1BBB29BB"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2DC49BC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Greece</w:t>
            </w:r>
          </w:p>
        </w:tc>
        <w:tc>
          <w:tcPr>
            <w:tcW w:w="2878" w:type="dxa"/>
            <w:tcBorders>
              <w:top w:val="nil"/>
              <w:left w:val="nil"/>
              <w:bottom w:val="nil"/>
              <w:right w:val="single" w:sz="4" w:space="0" w:color="auto"/>
            </w:tcBorders>
            <w:shd w:val="clear" w:color="auto" w:fill="auto"/>
            <w:noWrap/>
            <w:vAlign w:val="bottom"/>
            <w:hideMark/>
          </w:tcPr>
          <w:p w14:paraId="6A99E24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EL-NOTIFIABLE_DISEASES</w:t>
            </w:r>
          </w:p>
        </w:tc>
        <w:tc>
          <w:tcPr>
            <w:tcW w:w="550" w:type="dxa"/>
            <w:tcBorders>
              <w:top w:val="nil"/>
              <w:left w:val="nil"/>
              <w:bottom w:val="nil"/>
              <w:right w:val="single" w:sz="4" w:space="0" w:color="auto"/>
            </w:tcBorders>
            <w:shd w:val="clear" w:color="auto" w:fill="auto"/>
            <w:noWrap/>
            <w:vAlign w:val="bottom"/>
            <w:hideMark/>
          </w:tcPr>
          <w:p w14:paraId="2C8AEA0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6841E54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430534C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39C760C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30D9B1D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2A88CB1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5CE320F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1074A31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w:t>
            </w:r>
          </w:p>
        </w:tc>
        <w:tc>
          <w:tcPr>
            <w:tcW w:w="1691" w:type="dxa"/>
            <w:tcBorders>
              <w:top w:val="nil"/>
              <w:left w:val="nil"/>
              <w:bottom w:val="nil"/>
              <w:right w:val="single" w:sz="4" w:space="0" w:color="000000"/>
            </w:tcBorders>
            <w:shd w:val="clear" w:color="auto" w:fill="auto"/>
            <w:noWrap/>
            <w:vAlign w:val="bottom"/>
            <w:hideMark/>
          </w:tcPr>
          <w:p w14:paraId="65A23AE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994F6C" w:rsidRPr="00994F6C" w14:paraId="547C6157"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763CB50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Hungary</w:t>
            </w:r>
          </w:p>
        </w:tc>
        <w:tc>
          <w:tcPr>
            <w:tcW w:w="2878" w:type="dxa"/>
            <w:tcBorders>
              <w:top w:val="nil"/>
              <w:left w:val="nil"/>
              <w:bottom w:val="nil"/>
              <w:right w:val="single" w:sz="4" w:space="0" w:color="auto"/>
            </w:tcBorders>
            <w:shd w:val="clear" w:color="000000" w:fill="D9D9D9"/>
            <w:noWrap/>
            <w:vAlign w:val="bottom"/>
            <w:hideMark/>
          </w:tcPr>
          <w:p w14:paraId="11FA0CC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HU-EFRIR</w:t>
            </w:r>
          </w:p>
        </w:tc>
        <w:tc>
          <w:tcPr>
            <w:tcW w:w="550" w:type="dxa"/>
            <w:tcBorders>
              <w:top w:val="nil"/>
              <w:left w:val="nil"/>
              <w:bottom w:val="nil"/>
              <w:right w:val="single" w:sz="4" w:space="0" w:color="auto"/>
            </w:tcBorders>
            <w:shd w:val="clear" w:color="000000" w:fill="D9D9D9"/>
            <w:noWrap/>
            <w:vAlign w:val="bottom"/>
            <w:hideMark/>
          </w:tcPr>
          <w:p w14:paraId="40C85D4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61AFF8E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36EBF2D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14D0A5F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237B7F2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53C991C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76EB136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3543D8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41C8EEC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EU-2012</w:t>
            </w:r>
          </w:p>
        </w:tc>
      </w:tr>
      <w:tr w:rsidR="007D4EE3" w:rsidRPr="00994F6C" w14:paraId="46BBF923"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42AF30C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Iceland</w:t>
            </w:r>
          </w:p>
        </w:tc>
        <w:tc>
          <w:tcPr>
            <w:tcW w:w="2878" w:type="dxa"/>
            <w:tcBorders>
              <w:top w:val="nil"/>
              <w:left w:val="nil"/>
              <w:bottom w:val="nil"/>
              <w:right w:val="single" w:sz="4" w:space="0" w:color="auto"/>
            </w:tcBorders>
            <w:shd w:val="clear" w:color="auto" w:fill="auto"/>
            <w:noWrap/>
            <w:vAlign w:val="bottom"/>
            <w:hideMark/>
          </w:tcPr>
          <w:p w14:paraId="55EF2AE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IS-SUBJECT_TO_REGISTRATION</w:t>
            </w:r>
          </w:p>
        </w:tc>
        <w:tc>
          <w:tcPr>
            <w:tcW w:w="550" w:type="dxa"/>
            <w:tcBorders>
              <w:top w:val="nil"/>
              <w:left w:val="nil"/>
              <w:bottom w:val="nil"/>
              <w:right w:val="single" w:sz="4" w:space="0" w:color="auto"/>
            </w:tcBorders>
            <w:shd w:val="clear" w:color="auto" w:fill="auto"/>
            <w:noWrap/>
            <w:vAlign w:val="bottom"/>
            <w:hideMark/>
          </w:tcPr>
          <w:p w14:paraId="534D5C8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59E43A0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2393103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5BE1B02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7C2F750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43AA45F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64C0C3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w:t>
            </w:r>
          </w:p>
        </w:tc>
        <w:tc>
          <w:tcPr>
            <w:tcW w:w="550" w:type="dxa"/>
            <w:tcBorders>
              <w:top w:val="nil"/>
              <w:left w:val="nil"/>
              <w:bottom w:val="nil"/>
              <w:right w:val="single" w:sz="4" w:space="0" w:color="auto"/>
            </w:tcBorders>
            <w:shd w:val="clear" w:color="auto" w:fill="auto"/>
            <w:noWrap/>
            <w:vAlign w:val="bottom"/>
            <w:hideMark/>
          </w:tcPr>
          <w:p w14:paraId="5E7CBBB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w:t>
            </w:r>
          </w:p>
        </w:tc>
        <w:tc>
          <w:tcPr>
            <w:tcW w:w="1691" w:type="dxa"/>
            <w:tcBorders>
              <w:top w:val="nil"/>
              <w:left w:val="nil"/>
              <w:bottom w:val="nil"/>
              <w:right w:val="single" w:sz="4" w:space="0" w:color="000000"/>
            </w:tcBorders>
            <w:shd w:val="clear" w:color="auto" w:fill="auto"/>
            <w:noWrap/>
            <w:vAlign w:val="bottom"/>
            <w:hideMark/>
          </w:tcPr>
          <w:p w14:paraId="723A6EDD" w14:textId="6FF7D77F"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w:t>
            </w:r>
            <w:r w:rsidR="003A12EB" w:rsidRPr="00994F6C">
              <w:rPr>
                <w:rFonts w:eastAsia="Times New Roman" w:cs="Tahoma"/>
                <w:sz w:val="14"/>
                <w:szCs w:val="14"/>
                <w:lang w:eastAsia="en-GB"/>
              </w:rPr>
              <w:t>8</w:t>
            </w:r>
          </w:p>
        </w:tc>
      </w:tr>
      <w:tr w:rsidR="00994F6C" w:rsidRPr="00994F6C" w14:paraId="7F9084A3"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3451A07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Ireland</w:t>
            </w:r>
          </w:p>
        </w:tc>
        <w:tc>
          <w:tcPr>
            <w:tcW w:w="2878" w:type="dxa"/>
            <w:tcBorders>
              <w:top w:val="nil"/>
              <w:left w:val="nil"/>
              <w:bottom w:val="nil"/>
              <w:right w:val="single" w:sz="4" w:space="0" w:color="auto"/>
            </w:tcBorders>
            <w:shd w:val="clear" w:color="000000" w:fill="D9D9D9"/>
            <w:noWrap/>
            <w:vAlign w:val="bottom"/>
            <w:hideMark/>
          </w:tcPr>
          <w:p w14:paraId="3A84B1A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IE-CIDR</w:t>
            </w:r>
          </w:p>
        </w:tc>
        <w:tc>
          <w:tcPr>
            <w:tcW w:w="550" w:type="dxa"/>
            <w:tcBorders>
              <w:top w:val="nil"/>
              <w:left w:val="nil"/>
              <w:bottom w:val="nil"/>
              <w:right w:val="single" w:sz="4" w:space="0" w:color="auto"/>
            </w:tcBorders>
            <w:shd w:val="clear" w:color="000000" w:fill="D9D9D9"/>
            <w:noWrap/>
            <w:vAlign w:val="bottom"/>
            <w:hideMark/>
          </w:tcPr>
          <w:p w14:paraId="0FA0C3D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2584E27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75F1029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39FE25E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6600622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7C3946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6521A39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568CAB3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6D91705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EU-2008</w:t>
            </w:r>
          </w:p>
        </w:tc>
      </w:tr>
      <w:tr w:rsidR="007D4EE3" w:rsidRPr="00994F6C" w14:paraId="0217059D"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663D4DE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Italy</w:t>
            </w:r>
          </w:p>
        </w:tc>
        <w:tc>
          <w:tcPr>
            <w:tcW w:w="2878" w:type="dxa"/>
            <w:tcBorders>
              <w:top w:val="nil"/>
              <w:left w:val="nil"/>
              <w:bottom w:val="nil"/>
              <w:right w:val="single" w:sz="4" w:space="0" w:color="auto"/>
            </w:tcBorders>
            <w:shd w:val="clear" w:color="auto" w:fill="auto"/>
            <w:noWrap/>
            <w:vAlign w:val="bottom"/>
            <w:hideMark/>
          </w:tcPr>
          <w:p w14:paraId="58E3B93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IT-ENTERNET</w:t>
            </w:r>
          </w:p>
        </w:tc>
        <w:tc>
          <w:tcPr>
            <w:tcW w:w="550" w:type="dxa"/>
            <w:tcBorders>
              <w:top w:val="nil"/>
              <w:left w:val="nil"/>
              <w:bottom w:val="nil"/>
              <w:right w:val="single" w:sz="4" w:space="0" w:color="auto"/>
            </w:tcBorders>
            <w:shd w:val="clear" w:color="auto" w:fill="auto"/>
            <w:noWrap/>
            <w:vAlign w:val="bottom"/>
            <w:hideMark/>
          </w:tcPr>
          <w:p w14:paraId="33465D2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V</w:t>
            </w:r>
          </w:p>
        </w:tc>
        <w:tc>
          <w:tcPr>
            <w:tcW w:w="550" w:type="dxa"/>
            <w:tcBorders>
              <w:top w:val="nil"/>
              <w:left w:val="nil"/>
              <w:bottom w:val="nil"/>
              <w:right w:val="single" w:sz="4" w:space="0" w:color="auto"/>
            </w:tcBorders>
            <w:shd w:val="clear" w:color="auto" w:fill="auto"/>
            <w:noWrap/>
            <w:vAlign w:val="bottom"/>
            <w:hideMark/>
          </w:tcPr>
          <w:p w14:paraId="2D71AFD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Se</w:t>
            </w:r>
          </w:p>
        </w:tc>
        <w:tc>
          <w:tcPr>
            <w:tcW w:w="550" w:type="dxa"/>
            <w:tcBorders>
              <w:top w:val="nil"/>
              <w:left w:val="nil"/>
              <w:bottom w:val="nil"/>
              <w:right w:val="single" w:sz="4" w:space="0" w:color="auto"/>
            </w:tcBorders>
            <w:shd w:val="clear" w:color="auto" w:fill="auto"/>
            <w:noWrap/>
            <w:vAlign w:val="bottom"/>
            <w:hideMark/>
          </w:tcPr>
          <w:p w14:paraId="7D74785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78389CC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2EE2968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45B5304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5309E3F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3D7B623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auto" w:fill="auto"/>
            <w:noWrap/>
            <w:vAlign w:val="bottom"/>
            <w:hideMark/>
          </w:tcPr>
          <w:p w14:paraId="41735F2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Other</w:t>
            </w:r>
          </w:p>
        </w:tc>
      </w:tr>
      <w:tr w:rsidR="00994F6C" w:rsidRPr="00994F6C" w14:paraId="32AE521B"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483EF75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Latvia</w:t>
            </w:r>
          </w:p>
        </w:tc>
        <w:tc>
          <w:tcPr>
            <w:tcW w:w="2878" w:type="dxa"/>
            <w:tcBorders>
              <w:top w:val="nil"/>
              <w:left w:val="nil"/>
              <w:bottom w:val="nil"/>
              <w:right w:val="single" w:sz="4" w:space="0" w:color="auto"/>
            </w:tcBorders>
            <w:shd w:val="clear" w:color="000000" w:fill="D9D9D9"/>
            <w:noWrap/>
            <w:vAlign w:val="bottom"/>
            <w:hideMark/>
          </w:tcPr>
          <w:p w14:paraId="32A4350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LV-BSN</w:t>
            </w:r>
          </w:p>
        </w:tc>
        <w:tc>
          <w:tcPr>
            <w:tcW w:w="550" w:type="dxa"/>
            <w:tcBorders>
              <w:top w:val="nil"/>
              <w:left w:val="nil"/>
              <w:bottom w:val="nil"/>
              <w:right w:val="single" w:sz="4" w:space="0" w:color="auto"/>
            </w:tcBorders>
            <w:shd w:val="clear" w:color="000000" w:fill="D9D9D9"/>
            <w:noWrap/>
            <w:vAlign w:val="bottom"/>
            <w:hideMark/>
          </w:tcPr>
          <w:p w14:paraId="6094202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2DA1FEE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3ABD17D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0347B1B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7078F4C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6B53141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6D3798B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8E9976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0461B01F" w14:textId="03466520" w:rsidR="005A487A" w:rsidRPr="00994F6C" w:rsidRDefault="00A57D27"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7D4EE3" w:rsidRPr="00994F6C" w14:paraId="1D1DFBBF"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64909C2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Liechtenstein</w:t>
            </w:r>
          </w:p>
        </w:tc>
        <w:tc>
          <w:tcPr>
            <w:tcW w:w="2878" w:type="dxa"/>
            <w:tcBorders>
              <w:top w:val="nil"/>
              <w:left w:val="nil"/>
              <w:bottom w:val="nil"/>
              <w:right w:val="single" w:sz="4" w:space="0" w:color="auto"/>
            </w:tcBorders>
            <w:shd w:val="clear" w:color="auto" w:fill="auto"/>
            <w:noWrap/>
            <w:vAlign w:val="bottom"/>
            <w:hideMark/>
          </w:tcPr>
          <w:p w14:paraId="1AC3E69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LI-SEPI</w:t>
            </w:r>
          </w:p>
        </w:tc>
        <w:tc>
          <w:tcPr>
            <w:tcW w:w="550" w:type="dxa"/>
            <w:tcBorders>
              <w:top w:val="nil"/>
              <w:left w:val="nil"/>
              <w:bottom w:val="nil"/>
              <w:right w:val="single" w:sz="4" w:space="0" w:color="auto"/>
            </w:tcBorders>
            <w:shd w:val="clear" w:color="auto" w:fill="auto"/>
            <w:noWrap/>
            <w:vAlign w:val="bottom"/>
            <w:hideMark/>
          </w:tcPr>
          <w:p w14:paraId="687278A3" w14:textId="233B4DB7" w:rsidR="005A487A" w:rsidRPr="00994F6C" w:rsidRDefault="009D04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0A8AE52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0D84C34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3944860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14D5E74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D17300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2D99E86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0474FD3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w:t>
            </w:r>
          </w:p>
        </w:tc>
        <w:tc>
          <w:tcPr>
            <w:tcW w:w="1691" w:type="dxa"/>
            <w:tcBorders>
              <w:top w:val="nil"/>
              <w:left w:val="nil"/>
              <w:bottom w:val="nil"/>
              <w:right w:val="single" w:sz="4" w:space="0" w:color="000000"/>
            </w:tcBorders>
            <w:shd w:val="clear" w:color="auto" w:fill="auto"/>
            <w:noWrap/>
            <w:vAlign w:val="bottom"/>
            <w:hideMark/>
          </w:tcPr>
          <w:p w14:paraId="17226233" w14:textId="3EA23220" w:rsidR="005A487A" w:rsidRPr="00994F6C" w:rsidRDefault="00A57D27"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994F6C" w:rsidRPr="00994F6C" w14:paraId="65A53A41"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224F913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Lithuania</w:t>
            </w:r>
          </w:p>
        </w:tc>
        <w:tc>
          <w:tcPr>
            <w:tcW w:w="2878" w:type="dxa"/>
            <w:tcBorders>
              <w:top w:val="nil"/>
              <w:left w:val="nil"/>
              <w:bottom w:val="nil"/>
              <w:right w:val="single" w:sz="4" w:space="0" w:color="auto"/>
            </w:tcBorders>
            <w:shd w:val="clear" w:color="000000" w:fill="D9D9D9"/>
            <w:noWrap/>
            <w:vAlign w:val="bottom"/>
            <w:hideMark/>
          </w:tcPr>
          <w:p w14:paraId="6183127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LT-COMMUNICABLE_DISEASES</w:t>
            </w:r>
          </w:p>
        </w:tc>
        <w:tc>
          <w:tcPr>
            <w:tcW w:w="550" w:type="dxa"/>
            <w:tcBorders>
              <w:top w:val="nil"/>
              <w:left w:val="nil"/>
              <w:bottom w:val="nil"/>
              <w:right w:val="single" w:sz="4" w:space="0" w:color="auto"/>
            </w:tcBorders>
            <w:shd w:val="clear" w:color="000000" w:fill="D9D9D9"/>
            <w:noWrap/>
            <w:vAlign w:val="bottom"/>
            <w:hideMark/>
          </w:tcPr>
          <w:p w14:paraId="7C6777F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2872A67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5169B5D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5F71EE4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30CF906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25E2D0F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977C45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52B3F5F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5CEF5BE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7D4EE3" w:rsidRPr="00994F6C" w14:paraId="7FF22D0C"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0EB8B63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Luxembourg</w:t>
            </w:r>
          </w:p>
        </w:tc>
        <w:tc>
          <w:tcPr>
            <w:tcW w:w="2878" w:type="dxa"/>
            <w:tcBorders>
              <w:top w:val="nil"/>
              <w:left w:val="nil"/>
              <w:bottom w:val="nil"/>
              <w:right w:val="single" w:sz="4" w:space="0" w:color="auto"/>
            </w:tcBorders>
            <w:shd w:val="clear" w:color="auto" w:fill="auto"/>
            <w:noWrap/>
            <w:vAlign w:val="bottom"/>
            <w:hideMark/>
          </w:tcPr>
          <w:p w14:paraId="5F3242D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LU-SYSTEM1</w:t>
            </w:r>
          </w:p>
        </w:tc>
        <w:tc>
          <w:tcPr>
            <w:tcW w:w="550" w:type="dxa"/>
            <w:tcBorders>
              <w:top w:val="nil"/>
              <w:left w:val="nil"/>
              <w:bottom w:val="nil"/>
              <w:right w:val="single" w:sz="4" w:space="0" w:color="auto"/>
            </w:tcBorders>
            <w:shd w:val="clear" w:color="auto" w:fill="auto"/>
            <w:noWrap/>
            <w:vAlign w:val="bottom"/>
            <w:hideMark/>
          </w:tcPr>
          <w:p w14:paraId="263A8E5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2F746D5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2093572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4F82737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5A956ED5" w14:textId="1DE81F53" w:rsidR="005A487A" w:rsidRPr="00994F6C" w:rsidRDefault="00687BA0"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31C9B4DA" w14:textId="2B428D27" w:rsidR="005A487A" w:rsidRPr="00994F6C" w:rsidRDefault="00687BA0"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222BD00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05D7BB2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auto" w:fill="auto"/>
            <w:noWrap/>
            <w:vAlign w:val="bottom"/>
            <w:hideMark/>
          </w:tcPr>
          <w:p w14:paraId="40330276" w14:textId="3819EF95"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w:t>
            </w:r>
            <w:r w:rsidR="00687BA0" w:rsidRPr="00994F6C">
              <w:rPr>
                <w:rFonts w:eastAsia="Times New Roman" w:cs="Tahoma"/>
                <w:sz w:val="14"/>
                <w:szCs w:val="14"/>
                <w:lang w:eastAsia="en-GB"/>
              </w:rPr>
              <w:t>18</w:t>
            </w:r>
          </w:p>
        </w:tc>
      </w:tr>
      <w:tr w:rsidR="00994F6C" w:rsidRPr="00994F6C" w14:paraId="79D6CB76"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08B730C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Malta</w:t>
            </w:r>
          </w:p>
        </w:tc>
        <w:tc>
          <w:tcPr>
            <w:tcW w:w="2878" w:type="dxa"/>
            <w:tcBorders>
              <w:top w:val="nil"/>
              <w:left w:val="nil"/>
              <w:bottom w:val="nil"/>
              <w:right w:val="single" w:sz="4" w:space="0" w:color="auto"/>
            </w:tcBorders>
            <w:shd w:val="clear" w:color="000000" w:fill="D9D9D9"/>
            <w:noWrap/>
            <w:vAlign w:val="bottom"/>
            <w:hideMark/>
          </w:tcPr>
          <w:p w14:paraId="76D803A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MT-DISEASE_SURVEILLANCE</w:t>
            </w:r>
          </w:p>
        </w:tc>
        <w:tc>
          <w:tcPr>
            <w:tcW w:w="550" w:type="dxa"/>
            <w:tcBorders>
              <w:top w:val="nil"/>
              <w:left w:val="nil"/>
              <w:bottom w:val="nil"/>
              <w:right w:val="single" w:sz="4" w:space="0" w:color="auto"/>
            </w:tcBorders>
            <w:shd w:val="clear" w:color="000000" w:fill="D9D9D9"/>
            <w:noWrap/>
            <w:vAlign w:val="bottom"/>
            <w:hideMark/>
          </w:tcPr>
          <w:p w14:paraId="5811466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29C6DFB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4D816AD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78EB86A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7E998D6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63D1C4D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17936A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2232C0F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1691" w:type="dxa"/>
            <w:tcBorders>
              <w:top w:val="nil"/>
              <w:left w:val="nil"/>
              <w:bottom w:val="nil"/>
              <w:right w:val="single" w:sz="4" w:space="0" w:color="000000"/>
            </w:tcBorders>
            <w:shd w:val="clear" w:color="000000" w:fill="D9D9D9"/>
            <w:noWrap/>
            <w:vAlign w:val="bottom"/>
            <w:hideMark/>
          </w:tcPr>
          <w:p w14:paraId="1021C03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7D4EE3" w:rsidRPr="00994F6C" w14:paraId="3809C13C"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4048642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Netherlands</w:t>
            </w:r>
          </w:p>
        </w:tc>
        <w:tc>
          <w:tcPr>
            <w:tcW w:w="2878" w:type="dxa"/>
            <w:tcBorders>
              <w:top w:val="nil"/>
              <w:left w:val="nil"/>
              <w:bottom w:val="nil"/>
              <w:right w:val="single" w:sz="4" w:space="0" w:color="auto"/>
            </w:tcBorders>
            <w:shd w:val="clear" w:color="auto" w:fill="auto"/>
            <w:noWrap/>
            <w:vAlign w:val="bottom"/>
            <w:hideMark/>
          </w:tcPr>
          <w:p w14:paraId="34369B7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NL-OSIRIS</w:t>
            </w:r>
          </w:p>
        </w:tc>
        <w:tc>
          <w:tcPr>
            <w:tcW w:w="550" w:type="dxa"/>
            <w:tcBorders>
              <w:top w:val="nil"/>
              <w:left w:val="nil"/>
              <w:bottom w:val="nil"/>
              <w:right w:val="single" w:sz="4" w:space="0" w:color="auto"/>
            </w:tcBorders>
            <w:shd w:val="clear" w:color="auto" w:fill="auto"/>
            <w:noWrap/>
            <w:vAlign w:val="bottom"/>
            <w:hideMark/>
          </w:tcPr>
          <w:p w14:paraId="2DF6C44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6ED58DE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11B2694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047EB5C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0C1017A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067B69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05D4615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3FA675E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1691" w:type="dxa"/>
            <w:tcBorders>
              <w:top w:val="nil"/>
              <w:left w:val="nil"/>
              <w:bottom w:val="nil"/>
              <w:right w:val="single" w:sz="4" w:space="0" w:color="000000"/>
            </w:tcBorders>
            <w:shd w:val="clear" w:color="auto" w:fill="auto"/>
            <w:noWrap/>
            <w:vAlign w:val="bottom"/>
            <w:hideMark/>
          </w:tcPr>
          <w:p w14:paraId="70062D6E" w14:textId="4708CA19"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w:t>
            </w:r>
            <w:r w:rsidR="00A7745F">
              <w:rPr>
                <w:rFonts w:eastAsia="Times New Roman" w:cs="Tahoma"/>
                <w:sz w:val="14"/>
                <w:szCs w:val="14"/>
                <w:lang w:eastAsia="en-GB"/>
              </w:rPr>
              <w:t>1</w:t>
            </w:r>
            <w:r w:rsidRPr="00994F6C">
              <w:rPr>
                <w:rFonts w:eastAsia="Times New Roman" w:cs="Tahoma"/>
                <w:sz w:val="14"/>
                <w:szCs w:val="14"/>
                <w:lang w:eastAsia="en-GB"/>
              </w:rPr>
              <w:t>8</w:t>
            </w:r>
          </w:p>
        </w:tc>
      </w:tr>
      <w:tr w:rsidR="00994F6C" w:rsidRPr="00994F6C" w14:paraId="2540D440"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6946E06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Norway</w:t>
            </w:r>
          </w:p>
        </w:tc>
        <w:tc>
          <w:tcPr>
            <w:tcW w:w="2878" w:type="dxa"/>
            <w:tcBorders>
              <w:top w:val="nil"/>
              <w:left w:val="nil"/>
              <w:bottom w:val="nil"/>
              <w:right w:val="single" w:sz="4" w:space="0" w:color="auto"/>
            </w:tcBorders>
            <w:shd w:val="clear" w:color="000000" w:fill="D9D9D9"/>
            <w:noWrap/>
            <w:vAlign w:val="bottom"/>
            <w:hideMark/>
          </w:tcPr>
          <w:p w14:paraId="5F1BC5C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NO-MSIS_A</w:t>
            </w:r>
          </w:p>
        </w:tc>
        <w:tc>
          <w:tcPr>
            <w:tcW w:w="550" w:type="dxa"/>
            <w:tcBorders>
              <w:top w:val="nil"/>
              <w:left w:val="nil"/>
              <w:bottom w:val="nil"/>
              <w:right w:val="single" w:sz="4" w:space="0" w:color="auto"/>
            </w:tcBorders>
            <w:shd w:val="clear" w:color="000000" w:fill="D9D9D9"/>
            <w:noWrap/>
            <w:vAlign w:val="bottom"/>
            <w:hideMark/>
          </w:tcPr>
          <w:p w14:paraId="4780496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1F8BC40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4FEC772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3DA3932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4751B27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24382A8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19C4C98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2D73E7E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52947B0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7D4EE3" w:rsidRPr="00994F6C" w14:paraId="654F27F2"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431B55C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Poland</w:t>
            </w:r>
          </w:p>
        </w:tc>
        <w:tc>
          <w:tcPr>
            <w:tcW w:w="2878" w:type="dxa"/>
            <w:tcBorders>
              <w:top w:val="nil"/>
              <w:left w:val="nil"/>
              <w:bottom w:val="nil"/>
              <w:right w:val="single" w:sz="4" w:space="0" w:color="auto"/>
            </w:tcBorders>
            <w:shd w:val="clear" w:color="auto" w:fill="auto"/>
            <w:noWrap/>
            <w:vAlign w:val="bottom"/>
            <w:hideMark/>
          </w:tcPr>
          <w:p w14:paraId="0AB63B1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PL-NATIONAL_SURVEILLANCE</w:t>
            </w:r>
          </w:p>
        </w:tc>
        <w:tc>
          <w:tcPr>
            <w:tcW w:w="550" w:type="dxa"/>
            <w:tcBorders>
              <w:top w:val="nil"/>
              <w:left w:val="nil"/>
              <w:bottom w:val="nil"/>
              <w:right w:val="single" w:sz="4" w:space="0" w:color="auto"/>
            </w:tcBorders>
            <w:shd w:val="clear" w:color="auto" w:fill="auto"/>
            <w:noWrap/>
            <w:vAlign w:val="bottom"/>
            <w:hideMark/>
          </w:tcPr>
          <w:p w14:paraId="0C0590A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4C8A884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799B7F3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5D6D006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39B566E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F3A876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036A986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2B654A4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auto" w:fill="auto"/>
            <w:noWrap/>
            <w:vAlign w:val="bottom"/>
            <w:hideMark/>
          </w:tcPr>
          <w:p w14:paraId="67DEB19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994F6C" w:rsidRPr="00994F6C" w14:paraId="624A6F39"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28BC5D0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Portugal</w:t>
            </w:r>
          </w:p>
        </w:tc>
        <w:tc>
          <w:tcPr>
            <w:tcW w:w="2878" w:type="dxa"/>
            <w:tcBorders>
              <w:top w:val="nil"/>
              <w:left w:val="nil"/>
              <w:bottom w:val="nil"/>
              <w:right w:val="single" w:sz="4" w:space="0" w:color="auto"/>
            </w:tcBorders>
            <w:shd w:val="clear" w:color="000000" w:fill="D9D9D9"/>
            <w:noWrap/>
            <w:vAlign w:val="bottom"/>
            <w:hideMark/>
          </w:tcPr>
          <w:p w14:paraId="5D4AE2B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PT-SHIGELLOSIS</w:t>
            </w:r>
          </w:p>
        </w:tc>
        <w:tc>
          <w:tcPr>
            <w:tcW w:w="550" w:type="dxa"/>
            <w:tcBorders>
              <w:top w:val="nil"/>
              <w:left w:val="nil"/>
              <w:bottom w:val="nil"/>
              <w:right w:val="single" w:sz="4" w:space="0" w:color="auto"/>
            </w:tcBorders>
            <w:shd w:val="clear" w:color="000000" w:fill="D9D9D9"/>
            <w:noWrap/>
            <w:vAlign w:val="bottom"/>
            <w:hideMark/>
          </w:tcPr>
          <w:p w14:paraId="1CE941C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3B8D565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3835584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7187DF5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048F5CF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0AEDC26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5E47A10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000000" w:fill="D9D9D9"/>
            <w:noWrap/>
            <w:vAlign w:val="bottom"/>
            <w:hideMark/>
          </w:tcPr>
          <w:p w14:paraId="7CF8E7BF"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73DF8DA9" w14:textId="271DD710"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w:t>
            </w:r>
            <w:r w:rsidR="00193755" w:rsidRPr="00994F6C">
              <w:rPr>
                <w:rFonts w:eastAsia="Times New Roman" w:cs="Tahoma"/>
                <w:sz w:val="14"/>
                <w:szCs w:val="14"/>
                <w:lang w:eastAsia="en-GB"/>
              </w:rPr>
              <w:t>20</w:t>
            </w:r>
            <w:r w:rsidR="00193755">
              <w:rPr>
                <w:rFonts w:eastAsia="Times New Roman" w:cs="Tahoma"/>
                <w:sz w:val="14"/>
                <w:szCs w:val="14"/>
                <w:lang w:eastAsia="en-GB"/>
              </w:rPr>
              <w:t>18</w:t>
            </w:r>
          </w:p>
        </w:tc>
      </w:tr>
      <w:tr w:rsidR="007D4EE3" w:rsidRPr="00994F6C" w14:paraId="64EC0A11"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5C99CE0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Romania</w:t>
            </w:r>
          </w:p>
        </w:tc>
        <w:tc>
          <w:tcPr>
            <w:tcW w:w="2878" w:type="dxa"/>
            <w:tcBorders>
              <w:top w:val="nil"/>
              <w:left w:val="nil"/>
              <w:bottom w:val="nil"/>
              <w:right w:val="single" w:sz="4" w:space="0" w:color="auto"/>
            </w:tcBorders>
            <w:shd w:val="clear" w:color="auto" w:fill="auto"/>
            <w:noWrap/>
            <w:vAlign w:val="bottom"/>
            <w:hideMark/>
          </w:tcPr>
          <w:p w14:paraId="1381A0BD"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RO-</w:t>
            </w:r>
            <w:proofErr w:type="spellStart"/>
            <w:r w:rsidRPr="00994F6C">
              <w:rPr>
                <w:rFonts w:eastAsia="Times New Roman" w:cs="Tahoma"/>
                <w:sz w:val="14"/>
                <w:szCs w:val="14"/>
                <w:lang w:eastAsia="en-GB"/>
              </w:rPr>
              <w:t>RNSSy</w:t>
            </w:r>
            <w:proofErr w:type="spellEnd"/>
          </w:p>
        </w:tc>
        <w:tc>
          <w:tcPr>
            <w:tcW w:w="550" w:type="dxa"/>
            <w:tcBorders>
              <w:top w:val="nil"/>
              <w:left w:val="nil"/>
              <w:bottom w:val="nil"/>
              <w:right w:val="single" w:sz="4" w:space="0" w:color="auto"/>
            </w:tcBorders>
            <w:shd w:val="clear" w:color="auto" w:fill="auto"/>
            <w:noWrap/>
            <w:vAlign w:val="bottom"/>
            <w:hideMark/>
          </w:tcPr>
          <w:p w14:paraId="6F001CF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72652E2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2EA8DEB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1F7419A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4407C32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78D57EB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nil"/>
              <w:right w:val="single" w:sz="4" w:space="0" w:color="auto"/>
            </w:tcBorders>
            <w:shd w:val="clear" w:color="auto" w:fill="auto"/>
            <w:noWrap/>
            <w:vAlign w:val="bottom"/>
            <w:hideMark/>
          </w:tcPr>
          <w:p w14:paraId="316AEF0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6E608A0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auto" w:fill="auto"/>
            <w:noWrap/>
            <w:vAlign w:val="bottom"/>
            <w:hideMark/>
          </w:tcPr>
          <w:p w14:paraId="089C0803"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994F6C" w:rsidRPr="00994F6C" w14:paraId="468D2338"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4E4B2A1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Slovakia</w:t>
            </w:r>
          </w:p>
        </w:tc>
        <w:tc>
          <w:tcPr>
            <w:tcW w:w="2878" w:type="dxa"/>
            <w:tcBorders>
              <w:top w:val="nil"/>
              <w:left w:val="nil"/>
              <w:bottom w:val="nil"/>
              <w:right w:val="single" w:sz="4" w:space="0" w:color="auto"/>
            </w:tcBorders>
            <w:shd w:val="clear" w:color="000000" w:fill="D9D9D9"/>
            <w:noWrap/>
            <w:vAlign w:val="bottom"/>
            <w:hideMark/>
          </w:tcPr>
          <w:p w14:paraId="349B384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SK-EPIS</w:t>
            </w:r>
          </w:p>
        </w:tc>
        <w:tc>
          <w:tcPr>
            <w:tcW w:w="550" w:type="dxa"/>
            <w:tcBorders>
              <w:top w:val="nil"/>
              <w:left w:val="nil"/>
              <w:bottom w:val="nil"/>
              <w:right w:val="single" w:sz="4" w:space="0" w:color="auto"/>
            </w:tcBorders>
            <w:shd w:val="clear" w:color="000000" w:fill="D9D9D9"/>
            <w:noWrap/>
            <w:vAlign w:val="bottom"/>
            <w:hideMark/>
          </w:tcPr>
          <w:p w14:paraId="41CB004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23D60FF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662E3ED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A</w:t>
            </w:r>
          </w:p>
        </w:tc>
        <w:tc>
          <w:tcPr>
            <w:tcW w:w="550" w:type="dxa"/>
            <w:tcBorders>
              <w:top w:val="nil"/>
              <w:left w:val="nil"/>
              <w:bottom w:val="nil"/>
              <w:right w:val="single" w:sz="4" w:space="0" w:color="auto"/>
            </w:tcBorders>
            <w:shd w:val="clear" w:color="000000" w:fill="D9D9D9"/>
            <w:noWrap/>
            <w:vAlign w:val="bottom"/>
            <w:hideMark/>
          </w:tcPr>
          <w:p w14:paraId="172E3B2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639F96E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7C6D69B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C7E9CF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70580B1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1691" w:type="dxa"/>
            <w:tcBorders>
              <w:top w:val="nil"/>
              <w:left w:val="nil"/>
              <w:bottom w:val="nil"/>
              <w:right w:val="single" w:sz="4" w:space="0" w:color="000000"/>
            </w:tcBorders>
            <w:shd w:val="clear" w:color="000000" w:fill="D9D9D9"/>
            <w:noWrap/>
            <w:vAlign w:val="bottom"/>
            <w:hideMark/>
          </w:tcPr>
          <w:p w14:paraId="7CAE5202" w14:textId="3ED03C02"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w:t>
            </w:r>
            <w:r w:rsidR="00193755">
              <w:rPr>
                <w:rFonts w:eastAsia="Times New Roman" w:cs="Tahoma"/>
                <w:sz w:val="14"/>
                <w:szCs w:val="14"/>
                <w:lang w:eastAsia="en-GB"/>
              </w:rPr>
              <w:t>8</w:t>
            </w:r>
          </w:p>
        </w:tc>
      </w:tr>
      <w:tr w:rsidR="007D4EE3" w:rsidRPr="00994F6C" w14:paraId="5F75339D" w14:textId="77777777" w:rsidTr="00034328">
        <w:trPr>
          <w:trHeight w:val="230"/>
        </w:trPr>
        <w:tc>
          <w:tcPr>
            <w:tcW w:w="990" w:type="dxa"/>
            <w:tcBorders>
              <w:top w:val="nil"/>
              <w:left w:val="single" w:sz="4" w:space="0" w:color="000000"/>
              <w:bottom w:val="nil"/>
              <w:right w:val="single" w:sz="4" w:space="0" w:color="auto"/>
            </w:tcBorders>
            <w:shd w:val="clear" w:color="auto" w:fill="auto"/>
            <w:noWrap/>
            <w:vAlign w:val="bottom"/>
            <w:hideMark/>
          </w:tcPr>
          <w:p w14:paraId="2F8CE50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Slovenia</w:t>
            </w:r>
          </w:p>
        </w:tc>
        <w:tc>
          <w:tcPr>
            <w:tcW w:w="2878" w:type="dxa"/>
            <w:tcBorders>
              <w:top w:val="nil"/>
              <w:left w:val="nil"/>
              <w:bottom w:val="nil"/>
              <w:right w:val="single" w:sz="4" w:space="0" w:color="auto"/>
            </w:tcBorders>
            <w:shd w:val="clear" w:color="auto" w:fill="auto"/>
            <w:noWrap/>
            <w:vAlign w:val="bottom"/>
            <w:hideMark/>
          </w:tcPr>
          <w:p w14:paraId="4B39F9A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SI-SURVIVAL</w:t>
            </w:r>
          </w:p>
        </w:tc>
        <w:tc>
          <w:tcPr>
            <w:tcW w:w="550" w:type="dxa"/>
            <w:tcBorders>
              <w:top w:val="nil"/>
              <w:left w:val="nil"/>
              <w:bottom w:val="nil"/>
              <w:right w:val="single" w:sz="4" w:space="0" w:color="auto"/>
            </w:tcBorders>
            <w:shd w:val="clear" w:color="auto" w:fill="auto"/>
            <w:noWrap/>
            <w:vAlign w:val="bottom"/>
            <w:hideMark/>
          </w:tcPr>
          <w:p w14:paraId="0A2C696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auto" w:fill="auto"/>
            <w:noWrap/>
            <w:vAlign w:val="bottom"/>
            <w:hideMark/>
          </w:tcPr>
          <w:p w14:paraId="64D411B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auto" w:fill="auto"/>
            <w:noWrap/>
            <w:vAlign w:val="bottom"/>
            <w:hideMark/>
          </w:tcPr>
          <w:p w14:paraId="36B8AB5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auto" w:fill="auto"/>
            <w:noWrap/>
            <w:vAlign w:val="bottom"/>
            <w:hideMark/>
          </w:tcPr>
          <w:p w14:paraId="659301B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auto" w:fill="auto"/>
            <w:noWrap/>
            <w:vAlign w:val="bottom"/>
            <w:hideMark/>
          </w:tcPr>
          <w:p w14:paraId="53B60879"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096FE3E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2485BAA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auto" w:fill="auto"/>
            <w:noWrap/>
            <w:vAlign w:val="bottom"/>
            <w:hideMark/>
          </w:tcPr>
          <w:p w14:paraId="39566DF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auto" w:fill="auto"/>
            <w:noWrap/>
            <w:vAlign w:val="bottom"/>
            <w:hideMark/>
          </w:tcPr>
          <w:p w14:paraId="43C45ECA"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EU-2008</w:t>
            </w:r>
          </w:p>
        </w:tc>
      </w:tr>
      <w:tr w:rsidR="00994F6C" w:rsidRPr="00994F6C" w14:paraId="756F0109" w14:textId="77777777" w:rsidTr="00034328">
        <w:trPr>
          <w:trHeight w:val="230"/>
        </w:trPr>
        <w:tc>
          <w:tcPr>
            <w:tcW w:w="990" w:type="dxa"/>
            <w:tcBorders>
              <w:top w:val="nil"/>
              <w:left w:val="single" w:sz="4" w:space="0" w:color="000000"/>
              <w:bottom w:val="nil"/>
              <w:right w:val="single" w:sz="4" w:space="0" w:color="auto"/>
            </w:tcBorders>
            <w:shd w:val="clear" w:color="000000" w:fill="D9D9D9"/>
            <w:noWrap/>
            <w:vAlign w:val="bottom"/>
            <w:hideMark/>
          </w:tcPr>
          <w:p w14:paraId="2E49EBC6"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Spain</w:t>
            </w:r>
          </w:p>
        </w:tc>
        <w:tc>
          <w:tcPr>
            <w:tcW w:w="2878" w:type="dxa"/>
            <w:tcBorders>
              <w:top w:val="nil"/>
              <w:left w:val="nil"/>
              <w:bottom w:val="nil"/>
              <w:right w:val="single" w:sz="4" w:space="0" w:color="auto"/>
            </w:tcBorders>
            <w:shd w:val="clear" w:color="000000" w:fill="D9D9D9"/>
            <w:noWrap/>
            <w:vAlign w:val="bottom"/>
            <w:hideMark/>
          </w:tcPr>
          <w:p w14:paraId="64E6C75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ES-STATUTORY_DISEASES</w:t>
            </w:r>
          </w:p>
        </w:tc>
        <w:tc>
          <w:tcPr>
            <w:tcW w:w="550" w:type="dxa"/>
            <w:tcBorders>
              <w:top w:val="nil"/>
              <w:left w:val="nil"/>
              <w:bottom w:val="nil"/>
              <w:right w:val="single" w:sz="4" w:space="0" w:color="auto"/>
            </w:tcBorders>
            <w:shd w:val="clear" w:color="000000" w:fill="D9D9D9"/>
            <w:noWrap/>
            <w:vAlign w:val="bottom"/>
            <w:hideMark/>
          </w:tcPr>
          <w:p w14:paraId="04797E1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nil"/>
              <w:right w:val="single" w:sz="4" w:space="0" w:color="auto"/>
            </w:tcBorders>
            <w:shd w:val="clear" w:color="000000" w:fill="D9D9D9"/>
            <w:noWrap/>
            <w:vAlign w:val="bottom"/>
            <w:hideMark/>
          </w:tcPr>
          <w:p w14:paraId="43E60D8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nil"/>
              <w:right w:val="single" w:sz="4" w:space="0" w:color="auto"/>
            </w:tcBorders>
            <w:shd w:val="clear" w:color="000000" w:fill="D9D9D9"/>
            <w:noWrap/>
            <w:vAlign w:val="bottom"/>
            <w:hideMark/>
          </w:tcPr>
          <w:p w14:paraId="6BA17BC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nil"/>
              <w:right w:val="single" w:sz="4" w:space="0" w:color="auto"/>
            </w:tcBorders>
            <w:shd w:val="clear" w:color="000000" w:fill="D9D9D9"/>
            <w:noWrap/>
            <w:vAlign w:val="bottom"/>
            <w:hideMark/>
          </w:tcPr>
          <w:p w14:paraId="2D15B68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nil"/>
              <w:right w:val="single" w:sz="4" w:space="0" w:color="auto"/>
            </w:tcBorders>
            <w:shd w:val="clear" w:color="000000" w:fill="D9D9D9"/>
            <w:noWrap/>
            <w:vAlign w:val="bottom"/>
            <w:hideMark/>
          </w:tcPr>
          <w:p w14:paraId="3507B54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03C33287"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7276199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nil"/>
              <w:right w:val="single" w:sz="4" w:space="0" w:color="auto"/>
            </w:tcBorders>
            <w:shd w:val="clear" w:color="000000" w:fill="D9D9D9"/>
            <w:noWrap/>
            <w:vAlign w:val="bottom"/>
            <w:hideMark/>
          </w:tcPr>
          <w:p w14:paraId="37BFB62E"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nil"/>
              <w:right w:val="single" w:sz="4" w:space="0" w:color="000000"/>
            </w:tcBorders>
            <w:shd w:val="clear" w:color="000000" w:fill="D9D9D9"/>
            <w:noWrap/>
            <w:vAlign w:val="bottom"/>
            <w:hideMark/>
          </w:tcPr>
          <w:p w14:paraId="50BCC8C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r w:rsidR="007D4EE3" w:rsidRPr="00994F6C" w14:paraId="37C9AF15" w14:textId="77777777" w:rsidTr="00034328">
        <w:trPr>
          <w:trHeight w:val="230"/>
        </w:trPr>
        <w:tc>
          <w:tcPr>
            <w:tcW w:w="990" w:type="dxa"/>
            <w:tcBorders>
              <w:top w:val="nil"/>
              <w:left w:val="single" w:sz="4" w:space="0" w:color="000000"/>
              <w:bottom w:val="single" w:sz="4" w:space="0" w:color="000000"/>
              <w:right w:val="single" w:sz="4" w:space="0" w:color="auto"/>
            </w:tcBorders>
            <w:shd w:val="clear" w:color="auto" w:fill="auto"/>
            <w:noWrap/>
            <w:vAlign w:val="bottom"/>
            <w:hideMark/>
          </w:tcPr>
          <w:p w14:paraId="3E879D7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Sweden</w:t>
            </w:r>
          </w:p>
        </w:tc>
        <w:tc>
          <w:tcPr>
            <w:tcW w:w="2878" w:type="dxa"/>
            <w:tcBorders>
              <w:top w:val="nil"/>
              <w:left w:val="nil"/>
              <w:bottom w:val="single" w:sz="4" w:space="0" w:color="000000"/>
              <w:right w:val="single" w:sz="4" w:space="0" w:color="auto"/>
            </w:tcBorders>
            <w:shd w:val="clear" w:color="auto" w:fill="auto"/>
            <w:noWrap/>
            <w:vAlign w:val="bottom"/>
            <w:hideMark/>
          </w:tcPr>
          <w:p w14:paraId="73AFFCE5"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SE-SMINET</w:t>
            </w:r>
          </w:p>
        </w:tc>
        <w:tc>
          <w:tcPr>
            <w:tcW w:w="550" w:type="dxa"/>
            <w:tcBorders>
              <w:top w:val="nil"/>
              <w:left w:val="nil"/>
              <w:bottom w:val="single" w:sz="4" w:space="0" w:color="000000"/>
              <w:right w:val="single" w:sz="4" w:space="0" w:color="auto"/>
            </w:tcBorders>
            <w:shd w:val="clear" w:color="auto" w:fill="auto"/>
            <w:noWrap/>
            <w:vAlign w:val="bottom"/>
            <w:hideMark/>
          </w:tcPr>
          <w:p w14:paraId="4185DF4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Cp</w:t>
            </w:r>
          </w:p>
        </w:tc>
        <w:tc>
          <w:tcPr>
            <w:tcW w:w="550" w:type="dxa"/>
            <w:tcBorders>
              <w:top w:val="nil"/>
              <w:left w:val="nil"/>
              <w:bottom w:val="single" w:sz="4" w:space="0" w:color="000000"/>
              <w:right w:val="single" w:sz="4" w:space="0" w:color="auto"/>
            </w:tcBorders>
            <w:shd w:val="clear" w:color="auto" w:fill="auto"/>
            <w:noWrap/>
            <w:vAlign w:val="bottom"/>
            <w:hideMark/>
          </w:tcPr>
          <w:p w14:paraId="47D31A21"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Co</w:t>
            </w:r>
          </w:p>
        </w:tc>
        <w:tc>
          <w:tcPr>
            <w:tcW w:w="550" w:type="dxa"/>
            <w:tcBorders>
              <w:top w:val="nil"/>
              <w:left w:val="nil"/>
              <w:bottom w:val="single" w:sz="4" w:space="0" w:color="000000"/>
              <w:right w:val="single" w:sz="4" w:space="0" w:color="auto"/>
            </w:tcBorders>
            <w:shd w:val="clear" w:color="auto" w:fill="auto"/>
            <w:noWrap/>
            <w:vAlign w:val="bottom"/>
            <w:hideMark/>
          </w:tcPr>
          <w:p w14:paraId="089E4972"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P</w:t>
            </w:r>
          </w:p>
        </w:tc>
        <w:tc>
          <w:tcPr>
            <w:tcW w:w="550" w:type="dxa"/>
            <w:tcBorders>
              <w:top w:val="nil"/>
              <w:left w:val="nil"/>
              <w:bottom w:val="single" w:sz="4" w:space="0" w:color="000000"/>
              <w:right w:val="single" w:sz="4" w:space="0" w:color="auto"/>
            </w:tcBorders>
            <w:shd w:val="clear" w:color="auto" w:fill="auto"/>
            <w:noWrap/>
            <w:vAlign w:val="bottom"/>
            <w:hideMark/>
          </w:tcPr>
          <w:p w14:paraId="3B744BA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C</w:t>
            </w:r>
          </w:p>
        </w:tc>
        <w:tc>
          <w:tcPr>
            <w:tcW w:w="550" w:type="dxa"/>
            <w:tcBorders>
              <w:top w:val="nil"/>
              <w:left w:val="nil"/>
              <w:bottom w:val="single" w:sz="4" w:space="0" w:color="000000"/>
              <w:right w:val="single" w:sz="4" w:space="0" w:color="auto"/>
            </w:tcBorders>
            <w:shd w:val="clear" w:color="auto" w:fill="auto"/>
            <w:noWrap/>
            <w:vAlign w:val="bottom"/>
            <w:hideMark/>
          </w:tcPr>
          <w:p w14:paraId="7786B960"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single" w:sz="4" w:space="0" w:color="000000"/>
              <w:right w:val="single" w:sz="4" w:space="0" w:color="auto"/>
            </w:tcBorders>
            <w:shd w:val="clear" w:color="auto" w:fill="auto"/>
            <w:noWrap/>
            <w:vAlign w:val="bottom"/>
            <w:hideMark/>
          </w:tcPr>
          <w:p w14:paraId="0682A02C"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Y</w:t>
            </w:r>
          </w:p>
        </w:tc>
        <w:tc>
          <w:tcPr>
            <w:tcW w:w="550" w:type="dxa"/>
            <w:tcBorders>
              <w:top w:val="nil"/>
              <w:left w:val="nil"/>
              <w:bottom w:val="single" w:sz="4" w:space="0" w:color="000000"/>
              <w:right w:val="single" w:sz="4" w:space="0" w:color="auto"/>
            </w:tcBorders>
            <w:shd w:val="clear" w:color="auto" w:fill="auto"/>
            <w:noWrap/>
            <w:vAlign w:val="bottom"/>
            <w:hideMark/>
          </w:tcPr>
          <w:p w14:paraId="5C477B0B"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550" w:type="dxa"/>
            <w:tcBorders>
              <w:top w:val="nil"/>
              <w:left w:val="nil"/>
              <w:bottom w:val="single" w:sz="4" w:space="0" w:color="000000"/>
              <w:right w:val="single" w:sz="4" w:space="0" w:color="auto"/>
            </w:tcBorders>
            <w:shd w:val="clear" w:color="auto" w:fill="auto"/>
            <w:noWrap/>
            <w:vAlign w:val="bottom"/>
            <w:hideMark/>
          </w:tcPr>
          <w:p w14:paraId="3D4844A4"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N</w:t>
            </w:r>
          </w:p>
        </w:tc>
        <w:tc>
          <w:tcPr>
            <w:tcW w:w="1691" w:type="dxa"/>
            <w:tcBorders>
              <w:top w:val="nil"/>
              <w:left w:val="nil"/>
              <w:bottom w:val="single" w:sz="4" w:space="0" w:color="000000"/>
              <w:right w:val="single" w:sz="4" w:space="0" w:color="000000"/>
            </w:tcBorders>
            <w:shd w:val="clear" w:color="auto" w:fill="auto"/>
            <w:noWrap/>
            <w:vAlign w:val="bottom"/>
            <w:hideMark/>
          </w:tcPr>
          <w:p w14:paraId="187E13C8" w14:textId="77777777" w:rsidR="005A487A" w:rsidRPr="00994F6C" w:rsidRDefault="005A487A" w:rsidP="00727F61">
            <w:pPr>
              <w:spacing w:before="120" w:after="0"/>
              <w:rPr>
                <w:rFonts w:eastAsia="Times New Roman" w:cs="Tahoma"/>
                <w:sz w:val="14"/>
                <w:szCs w:val="14"/>
                <w:lang w:eastAsia="en-GB"/>
              </w:rPr>
            </w:pPr>
            <w:r w:rsidRPr="00994F6C">
              <w:rPr>
                <w:rFonts w:eastAsia="Times New Roman" w:cs="Tahoma"/>
                <w:sz w:val="14"/>
                <w:szCs w:val="14"/>
                <w:lang w:eastAsia="en-GB"/>
              </w:rPr>
              <w:t>EU-2018</w:t>
            </w:r>
          </w:p>
        </w:tc>
      </w:tr>
    </w:tbl>
    <w:p w14:paraId="2FC32711" w14:textId="77777777" w:rsidR="000C1690" w:rsidRPr="00794A6F" w:rsidRDefault="00AC0043" w:rsidP="000C1690">
      <w:pPr>
        <w:pStyle w:val="EC-Title-4"/>
        <w:rPr>
          <w:i/>
          <w:sz w:val="30"/>
          <w:szCs w:val="30"/>
        </w:rPr>
      </w:pPr>
      <w:r>
        <w:br w:type="page"/>
      </w:r>
      <w:bookmarkStart w:id="68" w:name="_Toc68790643"/>
      <w:bookmarkStart w:id="69" w:name="_Toc68790647"/>
      <w:bookmarkStart w:id="70" w:name="_Toc69140701"/>
      <w:bookmarkStart w:id="71" w:name="_Toc99029023"/>
      <w:bookmarkStart w:id="72" w:name="_Toc127531830"/>
      <w:r w:rsidR="000C1690" w:rsidRPr="00794A6F">
        <w:rPr>
          <w:sz w:val="30"/>
          <w:szCs w:val="30"/>
        </w:rPr>
        <w:lastRenderedPageBreak/>
        <w:t xml:space="preserve">Antimicrobial resistance in </w:t>
      </w:r>
      <w:r w:rsidR="000C1690" w:rsidRPr="00794A6F">
        <w:rPr>
          <w:i/>
          <w:sz w:val="30"/>
          <w:szCs w:val="30"/>
        </w:rPr>
        <w:t>Shigella spp.</w:t>
      </w:r>
      <w:bookmarkEnd w:id="68"/>
      <w:bookmarkEnd w:id="69"/>
      <w:bookmarkEnd w:id="70"/>
      <w:bookmarkEnd w:id="71"/>
      <w:bookmarkEnd w:id="72"/>
    </w:p>
    <w:p w14:paraId="6CBE8EB1" w14:textId="7CD56353" w:rsidR="000C1690" w:rsidRPr="00315294" w:rsidRDefault="000C1690" w:rsidP="000C1690">
      <w:pPr>
        <w:pStyle w:val="EC-Para"/>
        <w:jc w:val="right"/>
        <w:rPr>
          <w:b/>
          <w:lang w:eastAsia="en-US"/>
        </w:rPr>
      </w:pPr>
      <w:r>
        <w:rPr>
          <w:b/>
          <w:lang w:eastAsia="en-US"/>
        </w:rPr>
        <w:t xml:space="preserve">Last updated:  </w:t>
      </w:r>
      <w:r w:rsidR="00EA2F7F">
        <w:rPr>
          <w:b/>
          <w:lang w:eastAsia="en-US"/>
        </w:rPr>
        <w:t>21</w:t>
      </w:r>
      <w:r w:rsidR="00E363F6">
        <w:rPr>
          <w:b/>
          <w:lang w:eastAsia="en-US"/>
        </w:rPr>
        <w:t xml:space="preserve"> February</w:t>
      </w:r>
      <w:r>
        <w:rPr>
          <w:b/>
          <w:lang w:eastAsia="en-US"/>
        </w:rPr>
        <w:t xml:space="preserve"> 202</w:t>
      </w:r>
      <w:r w:rsidR="00EA2F7F">
        <w:rPr>
          <w:b/>
          <w:lang w:eastAsia="en-US"/>
        </w:rPr>
        <w:t>4</w:t>
      </w:r>
    </w:p>
    <w:p w14:paraId="6574FC22" w14:textId="26742A65" w:rsidR="000C1690" w:rsidRDefault="000C1690" w:rsidP="000C1690">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xml:space="preserve">: </w:t>
      </w:r>
      <w:r w:rsidR="009E4269">
        <w:rPr>
          <w:b/>
          <w:lang w:eastAsia="en-US"/>
        </w:rPr>
        <w:t xml:space="preserve">1 December </w:t>
      </w:r>
      <w:r>
        <w:rPr>
          <w:b/>
          <w:lang w:eastAsia="en-US"/>
        </w:rPr>
        <w:t>202</w:t>
      </w:r>
      <w:r w:rsidR="00EA2F7F">
        <w:rPr>
          <w:b/>
          <w:lang w:eastAsia="en-US"/>
        </w:rPr>
        <w:t>3</w:t>
      </w:r>
    </w:p>
    <w:p w14:paraId="53F98A7A" w14:textId="77777777" w:rsidR="000C1690" w:rsidRDefault="000C1690" w:rsidP="000C1690">
      <w:pPr>
        <w:spacing w:after="200" w:line="276" w:lineRule="auto"/>
        <w:jc w:val="both"/>
        <w:rPr>
          <w:rFonts w:cs="Tahoma"/>
          <w:color w:val="595959" w:themeColor="text1" w:themeTint="A6"/>
        </w:rPr>
      </w:pPr>
    </w:p>
    <w:p w14:paraId="27425A44" w14:textId="77777777" w:rsidR="000C1690" w:rsidRDefault="000C1690" w:rsidP="000C1690">
      <w:pPr>
        <w:autoSpaceDE w:val="0"/>
        <w:autoSpaceDN w:val="0"/>
        <w:adjustRightInd w:val="0"/>
        <w:spacing w:after="120"/>
        <w:jc w:val="both"/>
        <w:rPr>
          <w:rStyle w:val="Hyperlink"/>
          <w:i/>
        </w:rPr>
      </w:pPr>
      <w:r w:rsidRPr="00C41493">
        <w:rPr>
          <w:rFonts w:cs="Tahoma"/>
          <w:szCs w:val="18"/>
          <w:shd w:val="clear" w:color="auto" w:fill="FFFFFF"/>
        </w:rPr>
        <w:t xml:space="preserve">Shigellosis is a gastrointestinal infection caused by one of four species of </w:t>
      </w:r>
      <w:r w:rsidRPr="00C41493">
        <w:rPr>
          <w:rFonts w:cs="Tahoma"/>
          <w:i/>
          <w:iCs/>
          <w:szCs w:val="18"/>
          <w:shd w:val="clear" w:color="auto" w:fill="FFFFFF"/>
        </w:rPr>
        <w:t>Shigella</w:t>
      </w:r>
      <w:r w:rsidRPr="00C41493">
        <w:rPr>
          <w:rFonts w:cs="Tahoma"/>
          <w:szCs w:val="18"/>
          <w:shd w:val="clear" w:color="auto" w:fill="FFFFFF"/>
        </w:rPr>
        <w:t xml:space="preserve"> bacteria: </w:t>
      </w:r>
      <w:r w:rsidRPr="00C41493">
        <w:rPr>
          <w:rFonts w:cs="Tahoma"/>
          <w:i/>
          <w:iCs/>
          <w:szCs w:val="18"/>
          <w:shd w:val="clear" w:color="auto" w:fill="FFFFFF"/>
        </w:rPr>
        <w:t xml:space="preserve">Shigella </w:t>
      </w:r>
      <w:proofErr w:type="spellStart"/>
      <w:r w:rsidRPr="00C41493">
        <w:rPr>
          <w:rFonts w:cs="Tahoma"/>
          <w:i/>
          <w:iCs/>
          <w:szCs w:val="18"/>
          <w:shd w:val="clear" w:color="auto" w:fill="FFFFFF"/>
        </w:rPr>
        <w:t>sonnei</w:t>
      </w:r>
      <w:proofErr w:type="spellEnd"/>
      <w:r w:rsidRPr="00C41493">
        <w:rPr>
          <w:rFonts w:cs="Tahoma"/>
          <w:szCs w:val="18"/>
          <w:shd w:val="clear" w:color="auto" w:fill="FFFFFF"/>
        </w:rPr>
        <w:t xml:space="preserve">, </w:t>
      </w:r>
      <w:r w:rsidRPr="00C41493">
        <w:rPr>
          <w:rFonts w:cs="Tahoma"/>
          <w:i/>
          <w:iCs/>
          <w:szCs w:val="18"/>
          <w:shd w:val="clear" w:color="auto" w:fill="FFFFFF"/>
        </w:rPr>
        <w:t>S. flexneri</w:t>
      </w:r>
      <w:r>
        <w:rPr>
          <w:rFonts w:cs="Tahoma"/>
          <w:szCs w:val="18"/>
          <w:shd w:val="clear" w:color="auto" w:fill="FFFFFF"/>
        </w:rPr>
        <w:t>,</w:t>
      </w:r>
      <w:r w:rsidRPr="00C41493">
        <w:rPr>
          <w:rFonts w:cs="Tahoma"/>
          <w:i/>
          <w:iCs/>
          <w:szCs w:val="18"/>
          <w:shd w:val="clear" w:color="auto" w:fill="FFFFFF"/>
        </w:rPr>
        <w:t xml:space="preserve"> S. boydii </w:t>
      </w:r>
      <w:r w:rsidRPr="00C41493">
        <w:rPr>
          <w:rFonts w:cs="Tahoma"/>
          <w:szCs w:val="18"/>
          <w:shd w:val="clear" w:color="auto" w:fill="FFFFFF"/>
        </w:rPr>
        <w:t xml:space="preserve">and </w:t>
      </w:r>
      <w:r w:rsidRPr="00C41493">
        <w:rPr>
          <w:rFonts w:cs="Tahoma"/>
          <w:i/>
          <w:iCs/>
          <w:szCs w:val="18"/>
          <w:shd w:val="clear" w:color="auto" w:fill="FFFFFF"/>
        </w:rPr>
        <w:t xml:space="preserve">S. </w:t>
      </w:r>
      <w:proofErr w:type="spellStart"/>
      <w:r w:rsidRPr="00C41493">
        <w:rPr>
          <w:rFonts w:cs="Tahoma"/>
          <w:i/>
          <w:iCs/>
          <w:szCs w:val="18"/>
          <w:shd w:val="clear" w:color="auto" w:fill="FFFFFF"/>
        </w:rPr>
        <w:t>dysenteriae</w:t>
      </w:r>
      <w:proofErr w:type="spellEnd"/>
      <w:r w:rsidRPr="00C41493">
        <w:rPr>
          <w:rFonts w:cs="Tahoma"/>
          <w:szCs w:val="18"/>
          <w:shd w:val="clear" w:color="auto" w:fill="FFFFFF"/>
        </w:rPr>
        <w:t>.</w:t>
      </w:r>
      <w:r>
        <w:rPr>
          <w:rFonts w:cs="Tahoma"/>
          <w:szCs w:val="18"/>
          <w:shd w:val="clear" w:color="auto" w:fill="FFFFFF"/>
        </w:rPr>
        <w:t xml:space="preserve"> </w:t>
      </w:r>
      <w:r w:rsidRPr="00C41493">
        <w:rPr>
          <w:rStyle w:val="Emphasis"/>
          <w:rFonts w:cs="Tahoma"/>
          <w:i w:val="0"/>
          <w:iCs w:val="0"/>
          <w:szCs w:val="18"/>
          <w:lang w:val="en"/>
        </w:rPr>
        <w:t xml:space="preserve">Rehydration therapy is given to people who are ill with shigellosis to stop them from becoming dehydrated. </w:t>
      </w:r>
      <w:r>
        <w:rPr>
          <w:rStyle w:val="Emphasis"/>
          <w:rFonts w:cs="Tahoma"/>
          <w:i w:val="0"/>
          <w:iCs w:val="0"/>
          <w:szCs w:val="18"/>
          <w:lang w:val="en"/>
        </w:rPr>
        <w:t>Antibiotics are used to treat s</w:t>
      </w:r>
      <w:r w:rsidRPr="00C41493">
        <w:rPr>
          <w:rStyle w:val="Emphasis"/>
          <w:rFonts w:cs="Tahoma"/>
          <w:i w:val="0"/>
          <w:iCs w:val="0"/>
          <w:szCs w:val="18"/>
          <w:lang w:val="en"/>
        </w:rPr>
        <w:t xml:space="preserve">evere illness </w:t>
      </w:r>
      <w:r>
        <w:rPr>
          <w:rStyle w:val="Emphasis"/>
          <w:rFonts w:cs="Tahoma"/>
          <w:i w:val="0"/>
          <w:iCs w:val="0"/>
          <w:szCs w:val="18"/>
          <w:lang w:val="en"/>
        </w:rPr>
        <w:t>and will shorten the duration of illness and reduce the risk of spread to other people</w:t>
      </w:r>
      <w:r w:rsidRPr="00C41493">
        <w:rPr>
          <w:rStyle w:val="Emphasis"/>
          <w:rFonts w:cs="Tahoma"/>
          <w:i w:val="0"/>
          <w:iCs w:val="0"/>
          <w:szCs w:val="18"/>
          <w:lang w:val="en"/>
        </w:rPr>
        <w:t>.</w:t>
      </w:r>
      <w:r>
        <w:rPr>
          <w:rStyle w:val="Emphasis"/>
          <w:rFonts w:cs="Tahoma"/>
          <w:i w:val="0"/>
          <w:iCs w:val="0"/>
          <w:szCs w:val="18"/>
          <w:lang w:val="en"/>
        </w:rPr>
        <w:t xml:space="preserve"> </w:t>
      </w:r>
      <w:r w:rsidRPr="00F44E9A">
        <w:rPr>
          <w:rFonts w:eastAsiaTheme="minorHAnsi" w:cs="Tahoma"/>
          <w:szCs w:val="18"/>
        </w:rPr>
        <w:t xml:space="preserve">For a more detailed description of the </w:t>
      </w:r>
      <w:r w:rsidRPr="008D0E3F">
        <w:rPr>
          <w:rFonts w:eastAsiaTheme="minorHAnsi" w:cs="Tahoma"/>
          <w:szCs w:val="18"/>
        </w:rPr>
        <w:t>disease and its epidemiology, please click</w:t>
      </w:r>
      <w:r w:rsidRPr="008D0E3F">
        <w:rPr>
          <w:rFonts w:cs="Tahoma"/>
          <w:szCs w:val="18"/>
        </w:rPr>
        <w:t xml:space="preserve"> </w:t>
      </w:r>
      <w:hyperlink r:id="rId80" w:history="1">
        <w:r w:rsidRPr="00CF7357">
          <w:rPr>
            <w:rStyle w:val="Hyperlink"/>
            <w:i/>
            <w:sz w:val="18"/>
            <w:szCs w:val="18"/>
          </w:rPr>
          <w:t>here</w:t>
        </w:r>
      </w:hyperlink>
      <w:r w:rsidRPr="00CF7357">
        <w:rPr>
          <w:rStyle w:val="Hyperlink"/>
          <w:i/>
          <w:sz w:val="18"/>
          <w:szCs w:val="18"/>
        </w:rPr>
        <w:t>.</w:t>
      </w:r>
      <w:r w:rsidRPr="008D0E3F">
        <w:rPr>
          <w:rStyle w:val="Hyperlink"/>
          <w:i/>
        </w:rPr>
        <w:t xml:space="preserve">  </w:t>
      </w:r>
    </w:p>
    <w:p w14:paraId="4FE95BCF" w14:textId="77777777" w:rsidR="000C1690" w:rsidRPr="008F577B" w:rsidRDefault="000C1690" w:rsidP="000C1690">
      <w:pPr>
        <w:pStyle w:val="EC-Title-6"/>
      </w:pPr>
      <w:bookmarkStart w:id="73" w:name="_Toc99028493"/>
      <w:r w:rsidRPr="008F577B">
        <w:t>Data</w:t>
      </w:r>
      <w:bookmarkEnd w:id="73"/>
    </w:p>
    <w:p w14:paraId="46740438" w14:textId="77777777" w:rsidR="000C1690" w:rsidRPr="008F577B" w:rsidRDefault="000C1690" w:rsidP="000C1690">
      <w:pPr>
        <w:pStyle w:val="EC-Para"/>
        <w:rPr>
          <w:rFonts w:eastAsiaTheme="minorHAnsi" w:cs="Tahoma"/>
          <w:lang w:eastAsia="en-US"/>
        </w:rPr>
      </w:pPr>
      <w:r w:rsidRPr="008F577B">
        <w:rPr>
          <w:rFonts w:cs="Tahoma"/>
        </w:rPr>
        <w:t xml:space="preserve">The Surveillance Atlas of Infectious Diseases displays data on antimicrobial resistance (AMR) in </w:t>
      </w:r>
      <w:r w:rsidRPr="0089387E">
        <w:rPr>
          <w:rFonts w:cs="Tahoma"/>
          <w:i/>
          <w:iCs/>
        </w:rPr>
        <w:t>Shigella</w:t>
      </w:r>
      <w:r>
        <w:rPr>
          <w:rFonts w:cs="Tahoma"/>
        </w:rPr>
        <w:t xml:space="preserve"> spp. </w:t>
      </w:r>
      <w:r w:rsidRPr="008F577B">
        <w:rPr>
          <w:rFonts w:cs="Tahoma"/>
        </w:rPr>
        <w:t xml:space="preserve">reported by the EU/EEA countries. According to the 2018 EU case definition for </w:t>
      </w:r>
      <w:r>
        <w:rPr>
          <w:rFonts w:cs="Tahoma"/>
        </w:rPr>
        <w:t>shigellosis</w:t>
      </w:r>
      <w:r w:rsidRPr="008F577B">
        <w:rPr>
          <w:rStyle w:val="FootnoteReference"/>
          <w:rFonts w:eastAsiaTheme="minorHAnsi" w:cs="Tahoma"/>
          <w:szCs w:val="20"/>
          <w:lang w:eastAsia="en-US"/>
        </w:rPr>
        <w:footnoteReference w:id="33"/>
      </w:r>
      <w:r w:rsidRPr="008F577B">
        <w:rPr>
          <w:rFonts w:cs="Tahoma"/>
        </w:rPr>
        <w:t xml:space="preserve">, </w:t>
      </w:r>
      <w:r>
        <w:rPr>
          <w:rFonts w:cs="Tahoma"/>
        </w:rPr>
        <w:t>a</w:t>
      </w:r>
      <w:r w:rsidRPr="005803E4">
        <w:rPr>
          <w:rFonts w:cs="Tahoma"/>
        </w:rPr>
        <w:t xml:space="preserve">ntimicrobial susceptibility testing of </w:t>
      </w:r>
      <w:r w:rsidRPr="005803E4">
        <w:rPr>
          <w:rFonts w:cs="Tahoma"/>
          <w:i/>
          <w:iCs/>
        </w:rPr>
        <w:t>Shigella</w:t>
      </w:r>
      <w:r w:rsidRPr="005803E4">
        <w:rPr>
          <w:rFonts w:cs="Tahoma"/>
        </w:rPr>
        <w:t xml:space="preserve"> should be performed, if possible</w:t>
      </w:r>
      <w:r>
        <w:rPr>
          <w:rFonts w:cs="Tahoma"/>
        </w:rPr>
        <w:t xml:space="preserve"> and t</w:t>
      </w:r>
      <w:r w:rsidRPr="005803E4">
        <w:rPr>
          <w:rFonts w:cs="Tahoma"/>
        </w:rPr>
        <w:t>he results of antimicrobial susceptibility tests must be reported according to the methods and criteria agreed between</w:t>
      </w:r>
      <w:r>
        <w:rPr>
          <w:rFonts w:cs="Tahoma"/>
        </w:rPr>
        <w:t xml:space="preserve"> </w:t>
      </w:r>
      <w:r w:rsidRPr="005803E4">
        <w:rPr>
          <w:rFonts w:cs="Tahoma"/>
        </w:rPr>
        <w:t>ECDC and Member States.</w:t>
      </w:r>
    </w:p>
    <w:p w14:paraId="6BD2A106" w14:textId="77777777" w:rsidR="000C1690" w:rsidRDefault="000C1690" w:rsidP="000C1690">
      <w:pPr>
        <w:pStyle w:val="EC-Para"/>
      </w:pPr>
      <w:r w:rsidRPr="008F577B">
        <w:t xml:space="preserve">AMR data </w:t>
      </w:r>
      <w:r>
        <w:t xml:space="preserve">for </w:t>
      </w:r>
      <w:r w:rsidRPr="005803E4">
        <w:rPr>
          <w:i/>
          <w:iCs/>
        </w:rPr>
        <w:t>Shigella</w:t>
      </w:r>
      <w:r>
        <w:t xml:space="preserve"> </w:t>
      </w:r>
      <w:r w:rsidRPr="008F577B">
        <w:t xml:space="preserve">are collected as part of the case-based datasets for </w:t>
      </w:r>
      <w:r>
        <w:t xml:space="preserve">shigellosis since </w:t>
      </w:r>
      <w:r w:rsidRPr="008F577B">
        <w:t>the 201</w:t>
      </w:r>
      <w:r>
        <w:t>7</w:t>
      </w:r>
      <w:r w:rsidRPr="008F577B">
        <w:t xml:space="preserve"> data collection. The case-based dataset contains data from clinical treatment of patients and the results are therefore by default interpreted using clinical breakpoints for assessing treatment options. </w:t>
      </w:r>
    </w:p>
    <w:p w14:paraId="0A78445E" w14:textId="77777777" w:rsidR="000C1690" w:rsidRPr="00C82DDE" w:rsidRDefault="000C1690" w:rsidP="00CF7357">
      <w:pPr>
        <w:pStyle w:val="EC-Title-6"/>
      </w:pPr>
      <w:bookmarkStart w:id="74" w:name="_Toc99028494"/>
      <w:r w:rsidRPr="00BD0ACE">
        <w:t xml:space="preserve">Data </w:t>
      </w:r>
      <w:r w:rsidRPr="00CF7357">
        <w:t>collection</w:t>
      </w:r>
      <w:r w:rsidRPr="00BD0ACE">
        <w:t xml:space="preserve"> and analysis</w:t>
      </w:r>
      <w:bookmarkEnd w:id="74"/>
      <w:r w:rsidRPr="00BD0ACE">
        <w:t xml:space="preserve"> </w:t>
      </w:r>
    </w:p>
    <w:p w14:paraId="42E36DE4" w14:textId="77777777" w:rsidR="000C1690" w:rsidRDefault="000C1690" w:rsidP="000C1690">
      <w:pPr>
        <w:pStyle w:val="EC-Para"/>
        <w:jc w:val="both"/>
        <w:rPr>
          <w:rFonts w:cs="Tahoma"/>
        </w:rPr>
      </w:pPr>
      <w:r>
        <w:rPr>
          <w:rFonts w:cs="Tahoma"/>
        </w:rPr>
        <w:t xml:space="preserve">Data are collected on an annual basis for the previous year. Before analysis, data are validated with nominated data providers in EU/EEA countries. </w:t>
      </w:r>
      <w:r>
        <w:rPr>
          <w:rFonts w:cstheme="minorHAnsi"/>
        </w:rPr>
        <w:t xml:space="preserve">Note that data published in the Surveillance Atlas might differ from figures in national reports due to different times of reporting or use of different denominators. </w:t>
      </w:r>
    </w:p>
    <w:p w14:paraId="29FB8FF5" w14:textId="77777777" w:rsidR="000C1690" w:rsidRDefault="000C1690" w:rsidP="000C1690">
      <w:pPr>
        <w:pStyle w:val="EC-Para"/>
        <w:jc w:val="both"/>
        <w:rPr>
          <w:rFonts w:cs="Tahoma"/>
        </w:rPr>
      </w:pPr>
      <w:r>
        <w:rPr>
          <w:rFonts w:cs="Tahoma"/>
        </w:rPr>
        <w:t xml:space="preserve">Surveillance systems across the EU/EEA countries are heterogeneous and a surveillance systems overview is displayed in Annex 1. </w:t>
      </w:r>
    </w:p>
    <w:p w14:paraId="021A5DDF" w14:textId="77777777" w:rsidR="00CF7357" w:rsidRDefault="00CF7357" w:rsidP="000C1690">
      <w:pPr>
        <w:pStyle w:val="EC-Para"/>
        <w:jc w:val="both"/>
        <w:rPr>
          <w:rFonts w:cs="Tahoma"/>
        </w:rPr>
      </w:pPr>
    </w:p>
    <w:p w14:paraId="32CE7276" w14:textId="43386840" w:rsidR="000C1690" w:rsidRPr="00CF7357" w:rsidRDefault="000C1690" w:rsidP="000C1690">
      <w:pPr>
        <w:pStyle w:val="EC-Para"/>
        <w:rPr>
          <w:lang w:eastAsia="en-US"/>
        </w:rPr>
      </w:pPr>
      <w:r w:rsidRPr="00CF7357">
        <w:rPr>
          <w:lang w:eastAsia="en-US"/>
        </w:rPr>
        <w:t>Antibiotics reported for Shigella AMR</w:t>
      </w:r>
      <w:r w:rsidR="00CF7357" w:rsidRPr="00CF7357">
        <w:rPr>
          <w:lang w:eastAsia="en-US"/>
        </w:rPr>
        <w:t>:</w:t>
      </w:r>
    </w:p>
    <w:tbl>
      <w:tblPr>
        <w:tblStyle w:val="TableGrid"/>
        <w:tblW w:w="0" w:type="auto"/>
        <w:tblLook w:val="04A0" w:firstRow="1" w:lastRow="0" w:firstColumn="1" w:lastColumn="0" w:noHBand="0" w:noVBand="1"/>
      </w:tblPr>
      <w:tblGrid>
        <w:gridCol w:w="1728"/>
        <w:gridCol w:w="5255"/>
      </w:tblGrid>
      <w:tr w:rsidR="000C1690" w:rsidRPr="00172CF3" w14:paraId="7915DFC6" w14:textId="77777777" w:rsidTr="00034EC0">
        <w:tc>
          <w:tcPr>
            <w:tcW w:w="0" w:type="auto"/>
            <w:tcBorders>
              <w:top w:val="single" w:sz="4" w:space="0" w:color="000000"/>
              <w:left w:val="single" w:sz="4" w:space="0" w:color="000000"/>
              <w:bottom w:val="single" w:sz="4" w:space="0" w:color="000000"/>
              <w:right w:val="single" w:sz="4" w:space="0" w:color="000000"/>
            </w:tcBorders>
            <w:shd w:val="clear" w:color="auto" w:fill="69AE23"/>
            <w:vAlign w:val="center"/>
            <w:hideMark/>
          </w:tcPr>
          <w:p w14:paraId="3509E525" w14:textId="77777777" w:rsidR="000C1690" w:rsidRPr="00947826" w:rsidRDefault="000C1690" w:rsidP="00034EC0">
            <w:pPr>
              <w:pStyle w:val="EC-Para"/>
              <w:rPr>
                <w:b/>
                <w:bCs/>
                <w:color w:val="FFFFFF" w:themeColor="background1"/>
                <w:lang w:eastAsia="en-US"/>
              </w:rPr>
            </w:pPr>
            <w:r w:rsidRPr="00947826">
              <w:rPr>
                <w:b/>
                <w:bCs/>
                <w:color w:val="FFFFFF" w:themeColor="background1"/>
                <w:lang w:eastAsia="en-US"/>
              </w:rPr>
              <w:t>Antimicrobial</w:t>
            </w:r>
          </w:p>
        </w:tc>
        <w:tc>
          <w:tcPr>
            <w:tcW w:w="0" w:type="auto"/>
            <w:tcBorders>
              <w:top w:val="single" w:sz="4" w:space="0" w:color="000000"/>
              <w:left w:val="single" w:sz="4" w:space="0" w:color="000000"/>
              <w:bottom w:val="single" w:sz="4" w:space="0" w:color="000000"/>
              <w:right w:val="single" w:sz="4" w:space="0" w:color="000000"/>
            </w:tcBorders>
            <w:shd w:val="clear" w:color="auto" w:fill="69AE23"/>
            <w:vAlign w:val="center"/>
          </w:tcPr>
          <w:p w14:paraId="57A892D5" w14:textId="77777777" w:rsidR="000C1690" w:rsidRPr="00947826" w:rsidRDefault="000C1690" w:rsidP="00034EC0">
            <w:pPr>
              <w:pStyle w:val="EC-Para"/>
              <w:rPr>
                <w:b/>
                <w:bCs/>
                <w:color w:val="FFFFFF" w:themeColor="background1"/>
                <w:lang w:eastAsia="en-US"/>
              </w:rPr>
            </w:pPr>
            <w:r>
              <w:rPr>
                <w:b/>
                <w:bCs/>
                <w:color w:val="FFFFFF" w:themeColor="background1"/>
                <w:lang w:eastAsia="en-US"/>
              </w:rPr>
              <w:t>Type of breakpoints</w:t>
            </w:r>
          </w:p>
        </w:tc>
      </w:tr>
      <w:tr w:rsidR="000C1690" w:rsidRPr="00172CF3" w14:paraId="018A2461"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5736AC6F" w14:textId="77777777" w:rsidR="000C1690" w:rsidRPr="00947826" w:rsidRDefault="000C1690" w:rsidP="00034EC0">
            <w:pPr>
              <w:pStyle w:val="EC-Para"/>
              <w:rPr>
                <w:lang w:eastAsia="en-US"/>
              </w:rPr>
            </w:pPr>
            <w:r>
              <w:rPr>
                <w:lang w:eastAsia="en-US"/>
              </w:rPr>
              <w:t>Ampicillin</w:t>
            </w:r>
          </w:p>
        </w:tc>
        <w:tc>
          <w:tcPr>
            <w:tcW w:w="0" w:type="auto"/>
            <w:tcBorders>
              <w:top w:val="single" w:sz="4" w:space="0" w:color="000000"/>
              <w:left w:val="single" w:sz="4" w:space="0" w:color="000000"/>
              <w:bottom w:val="single" w:sz="4" w:space="0" w:color="000000"/>
              <w:right w:val="single" w:sz="4" w:space="0" w:color="000000"/>
            </w:tcBorders>
            <w:vAlign w:val="center"/>
          </w:tcPr>
          <w:p w14:paraId="678201C1" w14:textId="77777777" w:rsidR="000C1690" w:rsidRPr="00947826" w:rsidRDefault="000C1690" w:rsidP="00034EC0">
            <w:pPr>
              <w:pStyle w:val="EC-Para"/>
              <w:rPr>
                <w:lang w:eastAsia="en-US"/>
              </w:rPr>
            </w:pPr>
            <w:r>
              <w:rPr>
                <w:lang w:eastAsia="en-US"/>
              </w:rPr>
              <w:t>Clinical breakpoints</w:t>
            </w:r>
          </w:p>
        </w:tc>
      </w:tr>
      <w:tr w:rsidR="000C1690" w:rsidRPr="00172CF3" w14:paraId="46F489B8"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2BA259DB" w14:textId="77777777" w:rsidR="000C1690" w:rsidRDefault="000C1690" w:rsidP="00034EC0">
            <w:pPr>
              <w:pStyle w:val="EC-Para"/>
              <w:rPr>
                <w:lang w:eastAsia="en-US"/>
              </w:rPr>
            </w:pPr>
            <w:r w:rsidRPr="00947826">
              <w:rPr>
                <w:lang w:eastAsia="en-US"/>
              </w:rPr>
              <w:t>Ciprofloxacin</w:t>
            </w:r>
          </w:p>
        </w:tc>
        <w:tc>
          <w:tcPr>
            <w:tcW w:w="0" w:type="auto"/>
            <w:tcBorders>
              <w:top w:val="single" w:sz="4" w:space="0" w:color="000000"/>
              <w:left w:val="single" w:sz="4" w:space="0" w:color="000000"/>
              <w:bottom w:val="single" w:sz="4" w:space="0" w:color="000000"/>
              <w:right w:val="single" w:sz="4" w:space="0" w:color="000000"/>
            </w:tcBorders>
            <w:vAlign w:val="center"/>
          </w:tcPr>
          <w:p w14:paraId="0E5DFE61" w14:textId="77777777" w:rsidR="000C1690" w:rsidRPr="00947826" w:rsidRDefault="000C1690" w:rsidP="00034EC0">
            <w:pPr>
              <w:pStyle w:val="EC-Para"/>
              <w:rPr>
                <w:lang w:eastAsia="en-US"/>
              </w:rPr>
            </w:pPr>
            <w:r>
              <w:rPr>
                <w:lang w:eastAsia="en-US"/>
              </w:rPr>
              <w:t>Clinical breakpoints</w:t>
            </w:r>
          </w:p>
        </w:tc>
      </w:tr>
      <w:tr w:rsidR="000C1690" w:rsidRPr="00172CF3" w14:paraId="04459C34"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hideMark/>
          </w:tcPr>
          <w:p w14:paraId="2E543C10" w14:textId="77777777" w:rsidR="000C1690" w:rsidRPr="00947826" w:rsidRDefault="000C1690" w:rsidP="00034EC0">
            <w:pPr>
              <w:pStyle w:val="EC-Para"/>
              <w:rPr>
                <w:lang w:eastAsia="en-US"/>
              </w:rPr>
            </w:pPr>
            <w:r>
              <w:rPr>
                <w:lang w:eastAsia="en-US"/>
              </w:rPr>
              <w:t>Cefotaxime</w:t>
            </w:r>
          </w:p>
        </w:tc>
        <w:tc>
          <w:tcPr>
            <w:tcW w:w="0" w:type="auto"/>
            <w:tcBorders>
              <w:top w:val="single" w:sz="4" w:space="0" w:color="000000"/>
              <w:left w:val="single" w:sz="4" w:space="0" w:color="000000"/>
              <w:bottom w:val="single" w:sz="4" w:space="0" w:color="000000"/>
              <w:right w:val="single" w:sz="4" w:space="0" w:color="000000"/>
            </w:tcBorders>
          </w:tcPr>
          <w:p w14:paraId="7090F64B" w14:textId="77777777" w:rsidR="000C1690" w:rsidRPr="00947826" w:rsidRDefault="000C1690" w:rsidP="00034EC0">
            <w:pPr>
              <w:pStyle w:val="EC-Para"/>
              <w:rPr>
                <w:lang w:eastAsia="en-US"/>
              </w:rPr>
            </w:pPr>
            <w:r w:rsidRPr="007C680F">
              <w:rPr>
                <w:lang w:eastAsia="en-US"/>
              </w:rPr>
              <w:t>Clinical breakpoints</w:t>
            </w:r>
          </w:p>
        </w:tc>
      </w:tr>
      <w:tr w:rsidR="000C1690" w:rsidRPr="00172CF3" w14:paraId="6005A8C3"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7D861B3A" w14:textId="77777777" w:rsidR="000C1690" w:rsidRPr="00947826" w:rsidRDefault="000C1690" w:rsidP="00034EC0">
            <w:pPr>
              <w:pStyle w:val="EC-Para"/>
              <w:rPr>
                <w:lang w:eastAsia="en-US"/>
              </w:rPr>
            </w:pPr>
            <w:r>
              <w:rPr>
                <w:lang w:eastAsia="en-US"/>
              </w:rPr>
              <w:t>Ceftazidime</w:t>
            </w:r>
          </w:p>
        </w:tc>
        <w:tc>
          <w:tcPr>
            <w:tcW w:w="0" w:type="auto"/>
            <w:tcBorders>
              <w:top w:val="single" w:sz="4" w:space="0" w:color="000000"/>
              <w:left w:val="single" w:sz="4" w:space="0" w:color="000000"/>
              <w:bottom w:val="single" w:sz="4" w:space="0" w:color="000000"/>
              <w:right w:val="single" w:sz="4" w:space="0" w:color="000000"/>
            </w:tcBorders>
          </w:tcPr>
          <w:p w14:paraId="1CCF83F2" w14:textId="77777777" w:rsidR="000C1690" w:rsidRPr="00947826" w:rsidRDefault="000C1690" w:rsidP="00034EC0">
            <w:pPr>
              <w:pStyle w:val="EC-Para"/>
              <w:rPr>
                <w:lang w:eastAsia="en-US"/>
              </w:rPr>
            </w:pPr>
            <w:r w:rsidRPr="007C680F">
              <w:rPr>
                <w:lang w:eastAsia="en-US"/>
              </w:rPr>
              <w:t>Clinical breakpoints</w:t>
            </w:r>
          </w:p>
        </w:tc>
      </w:tr>
      <w:tr w:rsidR="000C1690" w:rsidRPr="00172CF3" w14:paraId="22E16AEE"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5428367A" w14:textId="77777777" w:rsidR="000C1690" w:rsidRPr="00947826" w:rsidRDefault="000C1690" w:rsidP="00034EC0">
            <w:pPr>
              <w:pStyle w:val="EC-Para"/>
              <w:rPr>
                <w:lang w:eastAsia="en-US"/>
              </w:rPr>
            </w:pPr>
            <w:r>
              <w:rPr>
                <w:lang w:eastAsia="en-US"/>
              </w:rPr>
              <w:t>Trimethoprim-</w:t>
            </w:r>
            <w:proofErr w:type="spellStart"/>
            <w:r>
              <w:rPr>
                <w:lang w:eastAsia="en-US"/>
              </w:rPr>
              <w:t>sulfa</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5BEC6E8" w14:textId="77777777" w:rsidR="000C1690" w:rsidRPr="00947826" w:rsidRDefault="000C1690" w:rsidP="00034EC0">
            <w:pPr>
              <w:pStyle w:val="EC-Para"/>
              <w:rPr>
                <w:lang w:eastAsia="en-US"/>
              </w:rPr>
            </w:pPr>
            <w:r w:rsidRPr="007C680F">
              <w:rPr>
                <w:lang w:eastAsia="en-US"/>
              </w:rPr>
              <w:t>Clinical breakpoints</w:t>
            </w:r>
          </w:p>
        </w:tc>
      </w:tr>
      <w:tr w:rsidR="000C1690" w14:paraId="768B6661" w14:textId="77777777" w:rsidTr="00034EC0">
        <w:tc>
          <w:tcPr>
            <w:tcW w:w="0" w:type="auto"/>
            <w:tcBorders>
              <w:top w:val="single" w:sz="4" w:space="0" w:color="000000"/>
              <w:left w:val="single" w:sz="4" w:space="0" w:color="000000"/>
              <w:bottom w:val="single" w:sz="4" w:space="0" w:color="000000"/>
              <w:right w:val="single" w:sz="4" w:space="0" w:color="000000"/>
            </w:tcBorders>
            <w:vAlign w:val="center"/>
          </w:tcPr>
          <w:p w14:paraId="3CCFEC3A" w14:textId="77777777" w:rsidR="000C1690" w:rsidRPr="00947826" w:rsidRDefault="000C1690" w:rsidP="00034EC0">
            <w:pPr>
              <w:pStyle w:val="EC-Para"/>
              <w:rPr>
                <w:lang w:eastAsia="en-US"/>
              </w:rPr>
            </w:pPr>
            <w:r>
              <w:rPr>
                <w:lang w:eastAsia="en-US"/>
              </w:rPr>
              <w:t>Azithromycin</w:t>
            </w:r>
          </w:p>
        </w:tc>
        <w:tc>
          <w:tcPr>
            <w:tcW w:w="0" w:type="auto"/>
            <w:tcBorders>
              <w:top w:val="single" w:sz="4" w:space="0" w:color="000000"/>
              <w:left w:val="single" w:sz="4" w:space="0" w:color="000000"/>
              <w:bottom w:val="single" w:sz="4" w:space="0" w:color="000000"/>
              <w:right w:val="single" w:sz="4" w:space="0" w:color="000000"/>
            </w:tcBorders>
            <w:vAlign w:val="center"/>
          </w:tcPr>
          <w:p w14:paraId="0FA636A7" w14:textId="77777777" w:rsidR="000C1690" w:rsidRPr="00947826" w:rsidRDefault="000C1690" w:rsidP="00034EC0">
            <w:pPr>
              <w:pStyle w:val="EC-Para"/>
              <w:rPr>
                <w:lang w:eastAsia="en-US"/>
              </w:rPr>
            </w:pPr>
            <w:r>
              <w:rPr>
                <w:lang w:eastAsia="en-US"/>
              </w:rPr>
              <w:t>Epidemiological cut-off value (clinical breakpoints not available)</w:t>
            </w:r>
          </w:p>
        </w:tc>
      </w:tr>
    </w:tbl>
    <w:p w14:paraId="180C9E8D" w14:textId="77777777" w:rsidR="00CF7357" w:rsidRDefault="00CF7357" w:rsidP="00CF7357">
      <w:pPr>
        <w:pStyle w:val="EC-Title-6"/>
      </w:pPr>
      <w:bookmarkStart w:id="75" w:name="_Toc99028495"/>
    </w:p>
    <w:p w14:paraId="5CE37C8A" w14:textId="1CDE526B" w:rsidR="000C1690" w:rsidRPr="0072746F" w:rsidRDefault="000C1690" w:rsidP="00CF7357">
      <w:pPr>
        <w:pStyle w:val="EC-Title-6"/>
      </w:pPr>
      <w:r w:rsidRPr="0072746F">
        <w:t xml:space="preserve">Surveillance Atlas </w:t>
      </w:r>
      <w:r w:rsidRPr="00CF7357">
        <w:t>indicators</w:t>
      </w:r>
      <w:bookmarkEnd w:id="75"/>
    </w:p>
    <w:p w14:paraId="1E2DAA27" w14:textId="77777777" w:rsidR="000C1690" w:rsidRDefault="000C1690" w:rsidP="000C1690">
      <w:pPr>
        <w:pStyle w:val="EC-Para"/>
        <w:rPr>
          <w:rFonts w:cs="Tahoma"/>
        </w:rPr>
      </w:pPr>
      <w:r w:rsidRPr="005E139C">
        <w:rPr>
          <w:rFonts w:cs="Tahoma"/>
        </w:rPr>
        <w:t>The Surveillan</w:t>
      </w:r>
      <w:r>
        <w:rPr>
          <w:rFonts w:cs="Tahoma"/>
        </w:rPr>
        <w:t xml:space="preserve">ce Atlas indicators for </w:t>
      </w:r>
      <w:r>
        <w:rPr>
          <w:rFonts w:cs="Tahoma"/>
          <w:i/>
          <w:iCs/>
        </w:rPr>
        <w:t>Shigella</w:t>
      </w:r>
      <w:r>
        <w:rPr>
          <w:rFonts w:cs="Tahoma"/>
        </w:rPr>
        <w:t xml:space="preserve"> antimicrobial resistance </w:t>
      </w:r>
      <w:r w:rsidRPr="005E139C">
        <w:rPr>
          <w:rFonts w:cs="Tahoma"/>
        </w:rPr>
        <w:t>are:</w:t>
      </w:r>
    </w:p>
    <w:p w14:paraId="58E562D9" w14:textId="77777777" w:rsidR="000C1690" w:rsidRPr="007B34B1" w:rsidRDefault="000C1690" w:rsidP="00452CE3">
      <w:pPr>
        <w:numPr>
          <w:ilvl w:val="0"/>
          <w:numId w:val="4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Non-wild type (NWT) isolates </w:t>
      </w:r>
      <w:proofErr w:type="gramStart"/>
      <w:r>
        <w:rPr>
          <w:rFonts w:eastAsia="Arial Unicode MS" w:cs="Tahoma"/>
          <w:kern w:val="22"/>
          <w:szCs w:val="18"/>
        </w:rPr>
        <w:t>percentage</w:t>
      </w:r>
      <w:r w:rsidRPr="007B34B1">
        <w:rPr>
          <w:rFonts w:eastAsia="Arial Unicode MS" w:cs="Tahoma"/>
          <w:kern w:val="22"/>
          <w:szCs w:val="18"/>
        </w:rPr>
        <w:t>;</w:t>
      </w:r>
      <w:proofErr w:type="gramEnd"/>
    </w:p>
    <w:p w14:paraId="730E0003" w14:textId="77777777" w:rsidR="000C1690" w:rsidRDefault="000C1690" w:rsidP="00452CE3">
      <w:pPr>
        <w:numPr>
          <w:ilvl w:val="0"/>
          <w:numId w:val="4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No</w:t>
      </w:r>
      <w:r>
        <w:rPr>
          <w:rFonts w:eastAsia="Arial Unicode MS" w:cs="Tahoma"/>
          <w:kern w:val="22"/>
          <w:szCs w:val="18"/>
        </w:rPr>
        <w:t xml:space="preserve">n-wild type or I+R isolates </w:t>
      </w:r>
      <w:proofErr w:type="gramStart"/>
      <w:r>
        <w:rPr>
          <w:rFonts w:eastAsia="Arial Unicode MS" w:cs="Tahoma"/>
          <w:kern w:val="22"/>
          <w:szCs w:val="18"/>
        </w:rPr>
        <w:t>percentage</w:t>
      </w:r>
      <w:r w:rsidRPr="007B34B1">
        <w:rPr>
          <w:rFonts w:eastAsia="Arial Unicode MS" w:cs="Tahoma"/>
          <w:kern w:val="22"/>
          <w:szCs w:val="18"/>
        </w:rPr>
        <w:t>;</w:t>
      </w:r>
      <w:proofErr w:type="gramEnd"/>
    </w:p>
    <w:p w14:paraId="7B23637B" w14:textId="77777777" w:rsidR="000C1690" w:rsidRDefault="000C1690" w:rsidP="00452CE3">
      <w:pPr>
        <w:numPr>
          <w:ilvl w:val="0"/>
          <w:numId w:val="4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Clinically resistant (R) isolates percentage</w:t>
      </w:r>
    </w:p>
    <w:p w14:paraId="17AC5135" w14:textId="77777777" w:rsidR="000C1690" w:rsidRDefault="000C1690" w:rsidP="00452CE3">
      <w:pPr>
        <w:numPr>
          <w:ilvl w:val="0"/>
          <w:numId w:val="4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Total tested isolates</w:t>
      </w:r>
    </w:p>
    <w:p w14:paraId="48B42AE8" w14:textId="77777777" w:rsidR="000C1690" w:rsidRPr="00EE67C1" w:rsidRDefault="000C1690" w:rsidP="000C1690">
      <w:pPr>
        <w:kinsoku w:val="0"/>
        <w:autoSpaceDE w:val="0"/>
        <w:autoSpaceDN w:val="0"/>
        <w:adjustRightInd w:val="0"/>
        <w:spacing w:line="200" w:lineRule="atLeast"/>
        <w:ind w:left="720"/>
        <w:rPr>
          <w:rFonts w:eastAsia="Arial Unicode MS" w:cs="Tahoma"/>
          <w:kern w:val="22"/>
          <w:szCs w:val="18"/>
          <w:highlight w:val="yellow"/>
        </w:rPr>
      </w:pPr>
    </w:p>
    <w:p w14:paraId="42DED927" w14:textId="77777777" w:rsidR="000C1690" w:rsidRPr="00DB1F22" w:rsidRDefault="000C1690" w:rsidP="000C1690">
      <w:pPr>
        <w:kinsoku w:val="0"/>
        <w:autoSpaceDE w:val="0"/>
        <w:autoSpaceDN w:val="0"/>
        <w:adjustRightInd w:val="0"/>
        <w:spacing w:line="200" w:lineRule="atLeast"/>
        <w:rPr>
          <w:rFonts w:eastAsia="Arial Unicode MS" w:cs="Tahoma"/>
          <w:kern w:val="22"/>
          <w:szCs w:val="18"/>
        </w:rPr>
      </w:pPr>
      <w:r w:rsidRPr="00DB1F22">
        <w:rPr>
          <w:rFonts w:eastAsia="Arial Unicode MS" w:cs="Tahoma"/>
          <w:kern w:val="22"/>
          <w:szCs w:val="18"/>
        </w:rPr>
        <w:t xml:space="preserve">For the </w:t>
      </w:r>
      <w:r w:rsidRPr="00DB1F22">
        <w:rPr>
          <w:rFonts w:eastAsia="Arial Unicode MS" w:cs="Tahoma"/>
          <w:kern w:val="22"/>
          <w:szCs w:val="18"/>
          <w:u w:val="single"/>
        </w:rPr>
        <w:t>resistance indicators</w:t>
      </w:r>
      <w:r w:rsidRPr="00DB1F22">
        <w:rPr>
          <w:rFonts w:eastAsia="Arial Unicode MS" w:cs="Tahoma"/>
          <w:kern w:val="22"/>
          <w:szCs w:val="18"/>
        </w:rPr>
        <w:t xml:space="preserve">, the data may be displayed in a bar chart as:  </w:t>
      </w:r>
    </w:p>
    <w:p w14:paraId="7A3D82F5" w14:textId="77777777" w:rsidR="000C1690" w:rsidRPr="00DB1F22" w:rsidRDefault="000C1690" w:rsidP="000C1690">
      <w:pPr>
        <w:numPr>
          <w:ilvl w:val="0"/>
          <w:numId w:val="1"/>
        </w:numPr>
        <w:kinsoku w:val="0"/>
        <w:autoSpaceDE w:val="0"/>
        <w:autoSpaceDN w:val="0"/>
        <w:adjustRightInd w:val="0"/>
        <w:spacing w:line="200" w:lineRule="atLeast"/>
        <w:rPr>
          <w:rFonts w:eastAsia="Arial Unicode MS" w:cs="Tahoma"/>
          <w:kern w:val="22"/>
          <w:szCs w:val="18"/>
        </w:rPr>
      </w:pPr>
      <w:r w:rsidRPr="00DB1F22">
        <w:rPr>
          <w:rFonts w:eastAsia="Arial Unicode MS" w:cs="Tahoma"/>
          <w:kern w:val="22"/>
          <w:szCs w:val="18"/>
        </w:rPr>
        <w:t>Proportion resistant isolates by age-group (for age groups 0-4, 5-14, 15-24, 25-44, 45-64, 65 years and above</w:t>
      </w:r>
      <w:proofErr w:type="gramStart"/>
      <w:r w:rsidRPr="00DB1F22">
        <w:rPr>
          <w:rFonts w:eastAsia="Arial Unicode MS" w:cs="Tahoma"/>
          <w:kern w:val="22"/>
          <w:szCs w:val="18"/>
        </w:rPr>
        <w:t>);</w:t>
      </w:r>
      <w:proofErr w:type="gramEnd"/>
    </w:p>
    <w:p w14:paraId="24D5F062" w14:textId="77777777" w:rsidR="000C1690" w:rsidRPr="00DB1F22" w:rsidRDefault="000C1690" w:rsidP="000C1690">
      <w:pPr>
        <w:numPr>
          <w:ilvl w:val="0"/>
          <w:numId w:val="1"/>
        </w:numPr>
        <w:kinsoku w:val="0"/>
        <w:autoSpaceDE w:val="0"/>
        <w:autoSpaceDN w:val="0"/>
        <w:adjustRightInd w:val="0"/>
        <w:spacing w:line="200" w:lineRule="atLeast"/>
        <w:rPr>
          <w:rFonts w:eastAsia="Arial Unicode MS" w:cs="Tahoma"/>
          <w:kern w:val="22"/>
          <w:szCs w:val="18"/>
        </w:rPr>
      </w:pPr>
      <w:r w:rsidRPr="00DB1F22">
        <w:rPr>
          <w:rFonts w:eastAsia="Arial Unicode MS" w:cs="Tahoma"/>
          <w:kern w:val="22"/>
          <w:szCs w:val="18"/>
        </w:rPr>
        <w:t xml:space="preserve">Proportion resistant isolates by </w:t>
      </w:r>
      <w:proofErr w:type="gramStart"/>
      <w:r w:rsidRPr="00DB1F22">
        <w:rPr>
          <w:rFonts w:eastAsia="Arial Unicode MS" w:cs="Tahoma"/>
          <w:kern w:val="22"/>
          <w:szCs w:val="18"/>
        </w:rPr>
        <w:t>gender;</w:t>
      </w:r>
      <w:proofErr w:type="gramEnd"/>
    </w:p>
    <w:p w14:paraId="3E73B159" w14:textId="77777777" w:rsidR="000C1690" w:rsidRPr="00DB1F22" w:rsidRDefault="000C1690" w:rsidP="000C1690">
      <w:pPr>
        <w:numPr>
          <w:ilvl w:val="0"/>
          <w:numId w:val="1"/>
        </w:numPr>
        <w:kinsoku w:val="0"/>
        <w:autoSpaceDE w:val="0"/>
        <w:autoSpaceDN w:val="0"/>
        <w:adjustRightInd w:val="0"/>
        <w:spacing w:line="200" w:lineRule="atLeast"/>
        <w:rPr>
          <w:rFonts w:eastAsia="Arial Unicode MS" w:cs="Tahoma"/>
          <w:kern w:val="22"/>
          <w:szCs w:val="18"/>
        </w:rPr>
      </w:pPr>
      <w:r w:rsidRPr="00DB1F22">
        <w:rPr>
          <w:rFonts w:eastAsia="Arial Unicode MS" w:cs="Tahoma"/>
          <w:kern w:val="22"/>
          <w:szCs w:val="18"/>
        </w:rPr>
        <w:t xml:space="preserve">Proportion resistant isolates by geographical region, in case of travel-associated infections </w:t>
      </w:r>
    </w:p>
    <w:p w14:paraId="776783B0" w14:textId="77777777" w:rsidR="000C1690" w:rsidRDefault="000C1690" w:rsidP="000C1690">
      <w:pPr>
        <w:kinsoku w:val="0"/>
        <w:autoSpaceDE w:val="0"/>
        <w:autoSpaceDN w:val="0"/>
        <w:adjustRightInd w:val="0"/>
        <w:spacing w:line="200" w:lineRule="atLeast"/>
        <w:rPr>
          <w:rFonts w:eastAsia="Arial Unicode MS" w:cs="Tahoma"/>
          <w:kern w:val="22"/>
          <w:szCs w:val="18"/>
          <w:highlight w:val="yellow"/>
        </w:rPr>
      </w:pPr>
    </w:p>
    <w:p w14:paraId="5933E767" w14:textId="77777777" w:rsidR="000C1690" w:rsidRDefault="000C1690" w:rsidP="000C1690">
      <w:pPr>
        <w:pStyle w:val="EC-Para"/>
        <w:jc w:val="both"/>
      </w:pPr>
      <w:r>
        <w:t>Indicators are displayed as “</w:t>
      </w:r>
      <w:r w:rsidRPr="00321372">
        <w:rPr>
          <w:rFonts w:eastAsiaTheme="minorHAnsi" w:cs="Tahoma"/>
          <w:b/>
          <w:lang w:eastAsia="en-US"/>
        </w:rPr>
        <w:t>–</w:t>
      </w:r>
      <w:r>
        <w:t xml:space="preserve">” and not calculated for when fewer than 10 isolates had been tested for the selected combination (e.g. </w:t>
      </w:r>
      <w:r>
        <w:rPr>
          <w:i/>
          <w:iCs/>
        </w:rPr>
        <w:t xml:space="preserve">Shigella </w:t>
      </w:r>
      <w:r w:rsidRPr="00172CF3">
        <w:t>specie</w:t>
      </w:r>
      <w:r>
        <w:t xml:space="preserve">, importation status and antimicrobial) and </w:t>
      </w:r>
      <w:proofErr w:type="gramStart"/>
      <w:r>
        <w:t>time period</w:t>
      </w:r>
      <w:proofErr w:type="gramEnd"/>
      <w:r>
        <w:t>.</w:t>
      </w:r>
    </w:p>
    <w:p w14:paraId="37414CFC" w14:textId="77777777" w:rsidR="000C1690" w:rsidRDefault="000C1690" w:rsidP="000C1690">
      <w:pPr>
        <w:pStyle w:val="ec-para0"/>
        <w:shd w:val="clear" w:color="auto" w:fill="FFFFFF"/>
        <w:spacing w:after="0"/>
        <w:jc w:val="both"/>
        <w:rPr>
          <w:rFonts w:ascii="Tahoma" w:eastAsia="Calibri" w:hAnsi="Tahoma" w:cs="Tahoma"/>
          <w:sz w:val="18"/>
          <w:szCs w:val="18"/>
          <w:lang w:eastAsia="en-US"/>
        </w:rPr>
      </w:pPr>
      <w:r w:rsidRPr="00572A82">
        <w:rPr>
          <w:rFonts w:ascii="Tahoma" w:eastAsia="Calibri" w:hAnsi="Tahoma" w:cs="Tahoma"/>
          <w:sz w:val="18"/>
          <w:szCs w:val="18"/>
          <w:lang w:eastAsia="en-US"/>
        </w:rPr>
        <w:t xml:space="preserve">Indicators by age group and gender are not displayed if more than 50% of cases have undocumented information (unknown or missing) for a given geographical resolution (e.g. country, EU/EEA) and </w:t>
      </w:r>
      <w:proofErr w:type="gramStart"/>
      <w:r w:rsidRPr="00572A82">
        <w:rPr>
          <w:rFonts w:ascii="Tahoma" w:eastAsia="Calibri" w:hAnsi="Tahoma" w:cs="Tahoma"/>
          <w:sz w:val="18"/>
          <w:szCs w:val="18"/>
          <w:lang w:eastAsia="en-US"/>
        </w:rPr>
        <w:t>time period</w:t>
      </w:r>
      <w:proofErr w:type="gramEnd"/>
      <w:r w:rsidRPr="00572A82">
        <w:rPr>
          <w:rFonts w:ascii="Tahoma" w:eastAsia="Calibri" w:hAnsi="Tahoma" w:cs="Tahoma"/>
          <w:sz w:val="18"/>
          <w:szCs w:val="18"/>
          <w:lang w:eastAsia="en-US"/>
        </w:rPr>
        <w:t>.</w:t>
      </w:r>
    </w:p>
    <w:p w14:paraId="5F332EF8" w14:textId="77777777" w:rsidR="000C1690" w:rsidRDefault="000C1690" w:rsidP="000C1690">
      <w:pPr>
        <w:pStyle w:val="ec-para0"/>
        <w:shd w:val="clear" w:color="auto" w:fill="FFFFFF"/>
        <w:spacing w:after="0"/>
        <w:jc w:val="both"/>
        <w:rPr>
          <w:rFonts w:ascii="Tahoma" w:eastAsia="Calibri" w:hAnsi="Tahoma" w:cs="Tahoma"/>
          <w:sz w:val="18"/>
          <w:szCs w:val="18"/>
          <w:lang w:eastAsia="en-US"/>
        </w:rPr>
      </w:pPr>
    </w:p>
    <w:p w14:paraId="499DCE9D" w14:textId="78BFE4B9" w:rsidR="000C1690" w:rsidRPr="00572A82" w:rsidRDefault="000C1690" w:rsidP="000C1690">
      <w:pPr>
        <w:pStyle w:val="ec-para0"/>
        <w:shd w:val="clear" w:color="auto" w:fill="FFFFFF"/>
        <w:spacing w:after="0"/>
        <w:jc w:val="both"/>
        <w:rPr>
          <w:rFonts w:ascii="Tahoma" w:eastAsia="Calibri" w:hAnsi="Tahoma" w:cs="Tahoma"/>
          <w:sz w:val="18"/>
          <w:szCs w:val="18"/>
          <w:lang w:eastAsia="en-US"/>
        </w:rPr>
      </w:pPr>
      <w:r w:rsidRPr="008D3596">
        <w:rPr>
          <w:rFonts w:ascii="Tahoma" w:eastAsia="Calibri" w:hAnsi="Tahoma" w:cs="Tahoma"/>
          <w:sz w:val="18"/>
          <w:szCs w:val="18"/>
          <w:lang w:eastAsia="en-US"/>
        </w:rPr>
        <w:t xml:space="preserve">The Surveillance Atlas indicators </w:t>
      </w:r>
      <w:r>
        <w:rPr>
          <w:rFonts w:ascii="Tahoma" w:eastAsia="Calibri" w:hAnsi="Tahoma" w:cs="Tahoma"/>
          <w:sz w:val="18"/>
          <w:szCs w:val="18"/>
          <w:lang w:eastAsia="en-US"/>
        </w:rPr>
        <w:t>are</w:t>
      </w:r>
      <w:r w:rsidRPr="008D3596">
        <w:rPr>
          <w:rFonts w:ascii="Tahoma" w:eastAsia="Calibri" w:hAnsi="Tahoma" w:cs="Tahoma"/>
          <w:sz w:val="18"/>
          <w:szCs w:val="18"/>
          <w:lang w:eastAsia="en-US"/>
        </w:rPr>
        <w:t xml:space="preserve"> calculated </w:t>
      </w:r>
      <w:r>
        <w:rPr>
          <w:rFonts w:ascii="Tahoma" w:eastAsia="Calibri" w:hAnsi="Tahoma" w:cs="Tahoma"/>
          <w:sz w:val="18"/>
          <w:szCs w:val="18"/>
          <w:lang w:eastAsia="en-US"/>
        </w:rPr>
        <w:t xml:space="preserve">from 2017 </w:t>
      </w:r>
      <w:r w:rsidRPr="008D3596">
        <w:rPr>
          <w:rFonts w:ascii="Tahoma" w:eastAsia="Calibri" w:hAnsi="Tahoma" w:cs="Tahoma"/>
          <w:sz w:val="18"/>
          <w:szCs w:val="18"/>
          <w:lang w:eastAsia="en-US"/>
        </w:rPr>
        <w:t>up to the end of 20</w:t>
      </w:r>
      <w:r>
        <w:rPr>
          <w:rFonts w:ascii="Tahoma" w:eastAsia="Calibri" w:hAnsi="Tahoma" w:cs="Tahoma"/>
          <w:sz w:val="18"/>
          <w:szCs w:val="18"/>
          <w:lang w:eastAsia="en-US"/>
        </w:rPr>
        <w:t>2</w:t>
      </w:r>
      <w:r w:rsidR="00195D6B">
        <w:rPr>
          <w:rFonts w:ascii="Tahoma" w:eastAsia="Calibri" w:hAnsi="Tahoma" w:cs="Tahoma"/>
          <w:sz w:val="18"/>
          <w:szCs w:val="18"/>
          <w:lang w:eastAsia="en-US"/>
        </w:rPr>
        <w:t>1</w:t>
      </w:r>
      <w:r w:rsidRPr="008D3596">
        <w:rPr>
          <w:rFonts w:ascii="Tahoma" w:eastAsia="Calibri" w:hAnsi="Tahoma" w:cs="Tahoma"/>
          <w:sz w:val="18"/>
          <w:szCs w:val="18"/>
          <w:lang w:eastAsia="en-US"/>
        </w:rPr>
        <w:t>.</w:t>
      </w:r>
    </w:p>
    <w:p w14:paraId="460C33CD" w14:textId="77777777" w:rsidR="000C1690" w:rsidRPr="00572A82" w:rsidRDefault="000C1690" w:rsidP="000C1690">
      <w:pPr>
        <w:kinsoku w:val="0"/>
        <w:autoSpaceDE w:val="0"/>
        <w:autoSpaceDN w:val="0"/>
        <w:adjustRightInd w:val="0"/>
        <w:spacing w:line="200" w:lineRule="atLeast"/>
        <w:rPr>
          <w:rFonts w:eastAsia="Arial Unicode MS" w:cs="Tahoma"/>
          <w:kern w:val="22"/>
          <w:szCs w:val="18"/>
        </w:rPr>
      </w:pPr>
    </w:p>
    <w:p w14:paraId="5D2C2659" w14:textId="44F26656" w:rsidR="000C1690" w:rsidRDefault="000C1690" w:rsidP="000C1690">
      <w:pPr>
        <w:pStyle w:val="ec-para0"/>
        <w:shd w:val="clear" w:color="auto" w:fill="FFFFFF"/>
        <w:jc w:val="both"/>
        <w:rPr>
          <w:rFonts w:eastAsia="Arial Unicode MS"/>
          <w:b/>
          <w:bCs/>
          <w:kern w:val="22"/>
          <w:sz w:val="18"/>
          <w:szCs w:val="18"/>
        </w:rPr>
      </w:pPr>
      <w:r w:rsidRPr="0017148E">
        <w:rPr>
          <w:rFonts w:ascii="Tahoma" w:eastAsia="Arial Unicode MS" w:hAnsi="Tahoma" w:cs="Tahoma"/>
          <w:kern w:val="22"/>
          <w:sz w:val="18"/>
          <w:szCs w:val="18"/>
        </w:rPr>
        <w:t>Symbols used in the Surveillance Atlas table</w:t>
      </w:r>
      <w:r w:rsidR="0017148E" w:rsidRPr="0017148E">
        <w:rPr>
          <w:rFonts w:ascii="Tahoma" w:eastAsia="Arial Unicode MS" w:hAnsi="Tahoma" w:cs="Tahoma"/>
          <w:kern w:val="22"/>
          <w:sz w:val="18"/>
          <w:szCs w:val="18"/>
        </w:rPr>
        <w:t>:</w:t>
      </w:r>
    </w:p>
    <w:tbl>
      <w:tblPr>
        <w:tblStyle w:val="TableGrid"/>
        <w:tblW w:w="0" w:type="auto"/>
        <w:tblLook w:val="04A0" w:firstRow="1" w:lastRow="0" w:firstColumn="1" w:lastColumn="0" w:noHBand="0" w:noVBand="1"/>
      </w:tblPr>
      <w:tblGrid>
        <w:gridCol w:w="1101"/>
        <w:gridCol w:w="5103"/>
      </w:tblGrid>
      <w:tr w:rsidR="000C1690" w14:paraId="769EBD71" w14:textId="77777777" w:rsidTr="00034EC0">
        <w:tc>
          <w:tcPr>
            <w:tcW w:w="1101" w:type="dxa"/>
            <w:tcBorders>
              <w:top w:val="single" w:sz="4" w:space="0" w:color="000000"/>
              <w:left w:val="single" w:sz="4" w:space="0" w:color="000000"/>
              <w:bottom w:val="single" w:sz="4" w:space="0" w:color="000000"/>
              <w:right w:val="single" w:sz="4" w:space="0" w:color="000000"/>
            </w:tcBorders>
            <w:shd w:val="clear" w:color="auto" w:fill="69AE23"/>
            <w:hideMark/>
          </w:tcPr>
          <w:p w14:paraId="01C80D3C" w14:textId="77777777" w:rsidR="000C1690" w:rsidRPr="00C57199" w:rsidRDefault="000C1690" w:rsidP="00034EC0">
            <w:pPr>
              <w:pStyle w:val="EC-Para"/>
              <w:rPr>
                <w:b/>
                <w:bCs/>
                <w:color w:val="FFFFFF" w:themeColor="background1"/>
                <w:lang w:eastAsia="en-US"/>
              </w:rPr>
            </w:pPr>
            <w:r w:rsidRPr="00C57199">
              <w:rPr>
                <w:b/>
                <w:bCs/>
                <w:color w:val="FFFFFF" w:themeColor="background1"/>
                <w:lang w:eastAsia="en-US"/>
              </w:rPr>
              <w:t>Symbol</w:t>
            </w:r>
          </w:p>
        </w:tc>
        <w:tc>
          <w:tcPr>
            <w:tcW w:w="5103" w:type="dxa"/>
            <w:tcBorders>
              <w:top w:val="single" w:sz="4" w:space="0" w:color="000000"/>
              <w:left w:val="single" w:sz="4" w:space="0" w:color="000000"/>
              <w:bottom w:val="single" w:sz="4" w:space="0" w:color="000000"/>
              <w:right w:val="single" w:sz="4" w:space="0" w:color="000000"/>
            </w:tcBorders>
            <w:shd w:val="clear" w:color="auto" w:fill="69AE23"/>
            <w:hideMark/>
          </w:tcPr>
          <w:p w14:paraId="72B075A9" w14:textId="77777777" w:rsidR="000C1690" w:rsidRPr="00C57199" w:rsidRDefault="000C1690" w:rsidP="00034EC0">
            <w:pPr>
              <w:pStyle w:val="EC-Para"/>
              <w:rPr>
                <w:b/>
                <w:bCs/>
                <w:color w:val="FFFFFF" w:themeColor="background1"/>
                <w:lang w:eastAsia="en-US"/>
              </w:rPr>
            </w:pPr>
            <w:r w:rsidRPr="00C57199">
              <w:rPr>
                <w:b/>
                <w:bCs/>
                <w:color w:val="FFFFFF" w:themeColor="background1"/>
                <w:lang w:eastAsia="en-US"/>
              </w:rPr>
              <w:t>Comment</w:t>
            </w:r>
          </w:p>
        </w:tc>
      </w:tr>
      <w:tr w:rsidR="000C1690" w14:paraId="55176221" w14:textId="77777777" w:rsidTr="00034EC0">
        <w:tc>
          <w:tcPr>
            <w:tcW w:w="1101" w:type="dxa"/>
            <w:tcBorders>
              <w:top w:val="single" w:sz="4" w:space="0" w:color="000000"/>
              <w:left w:val="single" w:sz="4" w:space="0" w:color="000000"/>
              <w:bottom w:val="single" w:sz="4" w:space="0" w:color="000000"/>
              <w:right w:val="single" w:sz="4" w:space="0" w:color="000000"/>
            </w:tcBorders>
            <w:hideMark/>
          </w:tcPr>
          <w:p w14:paraId="42D6A24B" w14:textId="77777777" w:rsidR="000C1690" w:rsidRDefault="000C1690" w:rsidP="00034EC0">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3F1CF608" w14:textId="77777777" w:rsidR="000C1690" w:rsidRDefault="000C1690" w:rsidP="00034EC0">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0C1690" w14:paraId="3F2C822A" w14:textId="77777777" w:rsidTr="00034EC0">
        <w:tc>
          <w:tcPr>
            <w:tcW w:w="1101" w:type="dxa"/>
            <w:tcBorders>
              <w:top w:val="single" w:sz="4" w:space="0" w:color="000000"/>
              <w:left w:val="single" w:sz="4" w:space="0" w:color="000000"/>
              <w:bottom w:val="single" w:sz="4" w:space="0" w:color="000000"/>
              <w:right w:val="single" w:sz="4" w:space="0" w:color="000000"/>
            </w:tcBorders>
            <w:hideMark/>
          </w:tcPr>
          <w:p w14:paraId="7D1C61ED" w14:textId="77777777" w:rsidR="000C1690" w:rsidRDefault="000C1690" w:rsidP="00034EC0">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44E5CE6A" w14:textId="77777777" w:rsidR="000C1690" w:rsidRDefault="000C1690" w:rsidP="00034EC0">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298A4DF1" w14:textId="77777777" w:rsidR="000C1690" w:rsidRDefault="000C1690" w:rsidP="000C1690">
      <w:pPr>
        <w:pStyle w:val="EC-Para"/>
        <w:rPr>
          <w:lang w:eastAsia="en-US"/>
        </w:rPr>
      </w:pPr>
    </w:p>
    <w:p w14:paraId="39DCD15F" w14:textId="77777777" w:rsidR="000C1690" w:rsidRPr="005E0D54" w:rsidRDefault="000C1690" w:rsidP="000C1690">
      <w:pPr>
        <w:pStyle w:val="EC-Title-6"/>
      </w:pPr>
      <w:bookmarkStart w:id="76" w:name="_Toc99028496"/>
      <w:r w:rsidRPr="005E0D54">
        <w:t>Interpretation</w:t>
      </w:r>
      <w:bookmarkEnd w:id="76"/>
      <w:r w:rsidRPr="005E0D54">
        <w:t xml:space="preserve"> </w:t>
      </w:r>
    </w:p>
    <w:p w14:paraId="6758F38A" w14:textId="77777777" w:rsidR="000C1690" w:rsidRDefault="000C1690" w:rsidP="000C1690">
      <w:pPr>
        <w:pStyle w:val="EC-Para"/>
        <w:jc w:val="both"/>
        <w:rPr>
          <w:rFonts w:cs="Tahoma"/>
          <w:lang w:eastAsia="en-US"/>
        </w:rPr>
      </w:pPr>
      <w:r w:rsidRPr="00D45E3C">
        <w:rPr>
          <w:rFonts w:eastAsiaTheme="minorHAnsi" w:cs="Tahoma"/>
          <w:lang w:eastAsia="en-US"/>
        </w:rPr>
        <w:t xml:space="preserve">The </w:t>
      </w:r>
      <w:r>
        <w:rPr>
          <w:rFonts w:eastAsiaTheme="minorHAnsi" w:cs="Tahoma"/>
          <w:lang w:eastAsia="en-US"/>
        </w:rPr>
        <w:t>data</w:t>
      </w:r>
      <w:r w:rsidRPr="00D45E3C">
        <w:rPr>
          <w:rFonts w:eastAsiaTheme="minorHAnsi" w:cs="Tahoma"/>
          <w:lang w:eastAsia="en-US"/>
        </w:rPr>
        <w:t xml:space="preserve">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w:t>
      </w:r>
      <w:r w:rsidRPr="00D45E3C">
        <w:rPr>
          <w:rFonts w:cs="Tahoma"/>
        </w:rPr>
        <w:t xml:space="preserve"> </w:t>
      </w:r>
      <w:r>
        <w:rPr>
          <w:rFonts w:cs="Tahoma"/>
        </w:rPr>
        <w:t xml:space="preserve">and so does </w:t>
      </w:r>
      <w:r w:rsidRPr="00C845AB">
        <w:rPr>
          <w:rFonts w:cs="Tahoma"/>
          <w:lang w:eastAsia="en-US"/>
        </w:rPr>
        <w:t xml:space="preserve">case under-ascertainment </w:t>
      </w:r>
      <w:r>
        <w:rPr>
          <w:rFonts w:cs="Tahoma"/>
          <w:lang w:eastAsia="en-US"/>
        </w:rPr>
        <w:t xml:space="preserve">and under-reporting </w:t>
      </w:r>
      <w:r w:rsidRPr="00C845AB">
        <w:rPr>
          <w:rFonts w:cs="Tahoma"/>
          <w:lang w:eastAsia="en-US"/>
        </w:rPr>
        <w:t>between countries</w:t>
      </w:r>
      <w:r>
        <w:rPr>
          <w:rFonts w:cs="Tahoma"/>
          <w:lang w:eastAsia="en-US"/>
        </w:rPr>
        <w:t xml:space="preserve">. </w:t>
      </w:r>
    </w:p>
    <w:p w14:paraId="5A83E0A7" w14:textId="77777777" w:rsidR="000C1690" w:rsidRDefault="000C1690" w:rsidP="000C1690">
      <w:pPr>
        <w:pStyle w:val="EC-Para"/>
        <w:jc w:val="both"/>
      </w:pPr>
      <w:r>
        <w:t xml:space="preserve">The shigella AMR data is </w:t>
      </w:r>
      <w:r w:rsidRPr="002B6A09">
        <w:t xml:space="preserve">normally from local or regional laboratories and reported together with the information on the clinical case. </w:t>
      </w:r>
      <w:r>
        <w:t xml:space="preserve">Since the antimicrobial susceptibility testing </w:t>
      </w:r>
      <w:r w:rsidRPr="002B6A09">
        <w:t>ha</w:t>
      </w:r>
      <w:r>
        <w:t>s</w:t>
      </w:r>
      <w:r w:rsidRPr="002B6A09">
        <w:t xml:space="preserve"> primarily been performed with the purpose of treatment of the case rather than AMR monitoring</w:t>
      </w:r>
      <w:r>
        <w:t xml:space="preserve">, </w:t>
      </w:r>
      <w:r w:rsidRPr="002B6A09">
        <w:t xml:space="preserve">the number of tests per antimicrobial </w:t>
      </w:r>
      <w:r>
        <w:t xml:space="preserve">can </w:t>
      </w:r>
      <w:r w:rsidRPr="002B6A09">
        <w:t>var</w:t>
      </w:r>
      <w:r>
        <w:t>y according to local practices</w:t>
      </w:r>
      <w:r w:rsidRPr="002B6A09">
        <w:t>.</w:t>
      </w:r>
    </w:p>
    <w:p w14:paraId="104E599C" w14:textId="77777777" w:rsidR="000C1690" w:rsidRPr="007035BD" w:rsidRDefault="000C1690" w:rsidP="000C1690">
      <w:pPr>
        <w:pStyle w:val="TextText"/>
        <w:spacing w:before="0" w:after="120" w:line="240" w:lineRule="auto"/>
        <w:rPr>
          <w:rFonts w:ascii="Tahoma" w:eastAsia="Arial Unicode MS" w:hAnsi="Tahoma" w:cs="Times New Roman"/>
          <w:color w:val="auto"/>
          <w:kern w:val="22"/>
          <w:sz w:val="18"/>
          <w:szCs w:val="18"/>
          <w:lang w:eastAsia="ko-KR"/>
        </w:rPr>
      </w:pPr>
      <w:r w:rsidRPr="007035BD">
        <w:rPr>
          <w:rFonts w:ascii="Tahoma" w:eastAsia="Arial Unicode MS" w:hAnsi="Tahoma" w:cs="Times New Roman"/>
          <w:color w:val="auto"/>
          <w:kern w:val="22"/>
          <w:sz w:val="18"/>
          <w:szCs w:val="18"/>
          <w:lang w:eastAsia="ko-KR"/>
        </w:rPr>
        <w:t xml:space="preserve">The guidelines for clinical breakpoints </w:t>
      </w:r>
      <w:r>
        <w:rPr>
          <w:rFonts w:ascii="Tahoma" w:eastAsia="Arial Unicode MS" w:hAnsi="Tahoma" w:cs="Times New Roman"/>
          <w:color w:val="auto"/>
          <w:kern w:val="22"/>
          <w:sz w:val="18"/>
          <w:szCs w:val="18"/>
          <w:lang w:eastAsia="ko-KR"/>
        </w:rPr>
        <w:t xml:space="preserve">applied may </w:t>
      </w:r>
      <w:r w:rsidRPr="007035BD">
        <w:rPr>
          <w:rFonts w:ascii="Tahoma" w:eastAsia="Arial Unicode MS" w:hAnsi="Tahoma" w:cs="Times New Roman"/>
          <w:color w:val="auto"/>
          <w:kern w:val="22"/>
          <w:sz w:val="18"/>
          <w:szCs w:val="18"/>
          <w:lang w:eastAsia="ko-KR"/>
        </w:rPr>
        <w:t xml:space="preserve">vary among countries in Europe, and </w:t>
      </w:r>
      <w:r>
        <w:rPr>
          <w:rFonts w:ascii="Tahoma" w:eastAsia="Arial Unicode MS" w:hAnsi="Tahoma" w:cs="Times New Roman"/>
          <w:color w:val="auto"/>
          <w:kern w:val="22"/>
          <w:sz w:val="18"/>
          <w:szCs w:val="18"/>
          <w:lang w:eastAsia="ko-KR"/>
        </w:rPr>
        <w:t xml:space="preserve">possibly also </w:t>
      </w:r>
      <w:r w:rsidRPr="007035BD">
        <w:rPr>
          <w:rFonts w:ascii="Tahoma" w:eastAsia="Arial Unicode MS" w:hAnsi="Tahoma" w:cs="Times New Roman"/>
          <w:color w:val="auto"/>
          <w:kern w:val="22"/>
          <w:sz w:val="18"/>
          <w:szCs w:val="18"/>
          <w:lang w:eastAsia="ko-KR"/>
        </w:rPr>
        <w:t xml:space="preserve">between laboratories in the same country. </w:t>
      </w:r>
      <w:r>
        <w:rPr>
          <w:rFonts w:ascii="Tahoma" w:eastAsia="Arial Unicode MS" w:hAnsi="Tahoma" w:cs="Times New Roman"/>
          <w:color w:val="auto"/>
          <w:kern w:val="22"/>
          <w:sz w:val="18"/>
          <w:szCs w:val="18"/>
          <w:lang w:eastAsia="ko-KR"/>
        </w:rPr>
        <w:t>C</w:t>
      </w:r>
      <w:r w:rsidRPr="007035BD">
        <w:rPr>
          <w:rFonts w:ascii="Tahoma" w:eastAsia="Arial Unicode MS" w:hAnsi="Tahoma" w:cs="Times New Roman"/>
          <w:color w:val="auto"/>
          <w:kern w:val="22"/>
          <w:sz w:val="18"/>
          <w:szCs w:val="18"/>
          <w:lang w:eastAsia="ko-KR"/>
        </w:rPr>
        <w:t xml:space="preserve">linical breakpoints </w:t>
      </w:r>
      <w:r>
        <w:rPr>
          <w:rFonts w:ascii="Tahoma" w:eastAsia="Arial Unicode MS" w:hAnsi="Tahoma" w:cs="Times New Roman"/>
          <w:color w:val="auto"/>
          <w:kern w:val="22"/>
          <w:sz w:val="18"/>
          <w:szCs w:val="18"/>
          <w:lang w:eastAsia="ko-KR"/>
        </w:rPr>
        <w:t xml:space="preserve">from one organisation </w:t>
      </w:r>
      <w:r w:rsidRPr="007035BD">
        <w:rPr>
          <w:rFonts w:ascii="Tahoma" w:eastAsia="Arial Unicode MS" w:hAnsi="Tahoma" w:cs="Times New Roman"/>
          <w:color w:val="auto"/>
          <w:kern w:val="22"/>
          <w:sz w:val="18"/>
          <w:szCs w:val="18"/>
          <w:lang w:eastAsia="ko-KR"/>
        </w:rPr>
        <w:t xml:space="preserve">may </w:t>
      </w:r>
      <w:r>
        <w:rPr>
          <w:rFonts w:ascii="Tahoma" w:eastAsia="Arial Unicode MS" w:hAnsi="Tahoma" w:cs="Times New Roman"/>
          <w:color w:val="auto"/>
          <w:kern w:val="22"/>
          <w:sz w:val="18"/>
          <w:szCs w:val="18"/>
          <w:lang w:eastAsia="ko-KR"/>
        </w:rPr>
        <w:t xml:space="preserve">also </w:t>
      </w:r>
      <w:r w:rsidRPr="007035BD">
        <w:rPr>
          <w:rFonts w:ascii="Tahoma" w:eastAsia="Arial Unicode MS" w:hAnsi="Tahoma" w:cs="Times New Roman"/>
          <w:color w:val="auto"/>
          <w:kern w:val="22"/>
          <w:sz w:val="18"/>
          <w:szCs w:val="18"/>
          <w:lang w:eastAsia="ko-KR"/>
        </w:rPr>
        <w:t xml:space="preserve">change over time, as breakpoints may be revised. </w:t>
      </w:r>
    </w:p>
    <w:p w14:paraId="28D08193" w14:textId="77777777" w:rsidR="000C1690" w:rsidRDefault="000C1690" w:rsidP="000C1690">
      <w:pPr>
        <w:pStyle w:val="EC-Para"/>
        <w:jc w:val="both"/>
      </w:pPr>
      <w:r w:rsidRPr="009C0EDC">
        <w:rPr>
          <w:rFonts w:cs="Tahoma"/>
          <w:lang w:eastAsia="en-US"/>
        </w:rPr>
        <w:t xml:space="preserve">The completeness of the travel history varies between countries and years; some countries </w:t>
      </w:r>
      <w:proofErr w:type="gramStart"/>
      <w:r w:rsidRPr="009C0EDC">
        <w:rPr>
          <w:rFonts w:cs="Tahoma"/>
          <w:lang w:eastAsia="en-US"/>
        </w:rPr>
        <w:t>are able to</w:t>
      </w:r>
      <w:proofErr w:type="gramEnd"/>
      <w:r w:rsidRPr="009C0EDC">
        <w:rPr>
          <w:rFonts w:cs="Tahoma"/>
          <w:lang w:eastAsia="en-US"/>
        </w:rPr>
        <w:t xml:space="preserve"> collect and integrate this type of information from different sources, other countries are not. </w:t>
      </w:r>
      <w:r>
        <w:rPr>
          <w:rFonts w:cs="Tahoma"/>
          <w:lang w:eastAsia="en-US"/>
        </w:rPr>
        <w:t>F</w:t>
      </w:r>
      <w:r w:rsidRPr="009C0EDC">
        <w:rPr>
          <w:rFonts w:cs="Tahoma"/>
          <w:lang w:eastAsia="en-US"/>
        </w:rPr>
        <w:t xml:space="preserve">or that reason, </w:t>
      </w:r>
      <w:r>
        <w:rPr>
          <w:rFonts w:cs="Tahoma"/>
          <w:lang w:eastAsia="en-US"/>
        </w:rPr>
        <w:t>the category ‘</w:t>
      </w:r>
      <w:r w:rsidRPr="009C0EDC">
        <w:rPr>
          <w:rFonts w:cs="Tahoma"/>
          <w:lang w:eastAsia="en-US"/>
        </w:rPr>
        <w:t>domestic or unknown</w:t>
      </w:r>
      <w:r>
        <w:rPr>
          <w:rFonts w:cs="Tahoma"/>
          <w:lang w:eastAsia="en-US"/>
        </w:rPr>
        <w:t xml:space="preserve">’ can be selected </w:t>
      </w:r>
      <w:r w:rsidRPr="009C0EDC">
        <w:rPr>
          <w:rFonts w:cs="Tahoma"/>
          <w:lang w:eastAsia="en-US"/>
        </w:rPr>
        <w:t>as it is anticipated that</w:t>
      </w:r>
      <w:r>
        <w:rPr>
          <w:rFonts w:cs="Tahoma"/>
          <w:lang w:eastAsia="en-US"/>
        </w:rPr>
        <w:t xml:space="preserve"> a</w:t>
      </w:r>
      <w:r w:rsidRPr="009C0EDC">
        <w:rPr>
          <w:rFonts w:cs="Tahoma"/>
          <w:lang w:eastAsia="en-US"/>
        </w:rPr>
        <w:t xml:space="preserve"> </w:t>
      </w:r>
      <w:r>
        <w:rPr>
          <w:rFonts w:cs="Tahoma"/>
          <w:lang w:eastAsia="en-US"/>
        </w:rPr>
        <w:t xml:space="preserve">missing value is more likely to represent no travel as travel-related infections are more likely to be notified as such by the doctor.  </w:t>
      </w:r>
      <w:r w:rsidRPr="007035BD">
        <w:t xml:space="preserve"> </w:t>
      </w:r>
    </w:p>
    <w:p w14:paraId="6207BE51" w14:textId="77777777" w:rsidR="000C1690" w:rsidRPr="005E0D54" w:rsidRDefault="000C1690" w:rsidP="000C1690">
      <w:pPr>
        <w:pStyle w:val="EC-Title-6"/>
      </w:pPr>
      <w:bookmarkStart w:id="77" w:name="_Toc99028497"/>
      <w:r w:rsidRPr="005E0D54">
        <w:t xml:space="preserve">Reports published by ECDC on </w:t>
      </w:r>
      <w:r>
        <w:t>Shigella</w:t>
      </w:r>
      <w:r w:rsidRPr="005E0D54">
        <w:t xml:space="preserve"> AMR</w:t>
      </w:r>
      <w:bookmarkEnd w:id="77"/>
      <w:r w:rsidRPr="005E0D54">
        <w:t xml:space="preserve"> </w:t>
      </w:r>
    </w:p>
    <w:p w14:paraId="5E1D0210" w14:textId="77777777" w:rsidR="000C1690" w:rsidRDefault="000C1690" w:rsidP="000C1690">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19E51B72" w14:textId="61AF09D5" w:rsidR="000C1690" w:rsidRDefault="000C1690" w:rsidP="000C1690">
      <w:pPr>
        <w:pStyle w:val="EC-Para"/>
        <w:spacing w:after="0"/>
        <w:rPr>
          <w:rFonts w:eastAsiaTheme="minorHAnsi" w:cs="Tahoma"/>
          <w:b/>
          <w:lang w:eastAsia="en-US"/>
        </w:rPr>
      </w:pPr>
      <w:r w:rsidRPr="009578FE">
        <w:rPr>
          <w:rFonts w:eastAsiaTheme="minorHAnsi" w:cs="Tahoma"/>
          <w:b/>
          <w:lang w:eastAsia="en-US"/>
        </w:rPr>
        <w:t xml:space="preserve">Annual epidemiological report </w:t>
      </w:r>
      <w:r>
        <w:rPr>
          <w:rFonts w:eastAsiaTheme="minorHAnsi" w:cs="Tahoma"/>
          <w:b/>
          <w:lang w:eastAsia="en-US"/>
        </w:rPr>
        <w:t xml:space="preserve">for </w:t>
      </w:r>
      <w:r w:rsidRPr="009578FE">
        <w:rPr>
          <w:rFonts w:eastAsiaTheme="minorHAnsi" w:cs="Tahoma"/>
          <w:b/>
          <w:lang w:eastAsia="en-US"/>
        </w:rPr>
        <w:t>20</w:t>
      </w:r>
      <w:r>
        <w:rPr>
          <w:rFonts w:eastAsiaTheme="minorHAnsi" w:cs="Tahoma"/>
          <w:b/>
          <w:lang w:eastAsia="en-US"/>
        </w:rPr>
        <w:t>2</w:t>
      </w:r>
      <w:r w:rsidR="00EA2F7F">
        <w:rPr>
          <w:rFonts w:eastAsiaTheme="minorHAnsi" w:cs="Tahoma"/>
          <w:b/>
          <w:lang w:eastAsia="en-US"/>
        </w:rPr>
        <w:t>2</w:t>
      </w:r>
      <w:r w:rsidRPr="009578FE">
        <w:rPr>
          <w:rFonts w:eastAsiaTheme="minorHAnsi" w:cs="Tahoma"/>
          <w:b/>
          <w:lang w:eastAsia="en-US"/>
        </w:rPr>
        <w:t xml:space="preserve"> – </w:t>
      </w:r>
      <w:r>
        <w:rPr>
          <w:rFonts w:eastAsiaTheme="minorHAnsi" w:cs="Tahoma"/>
          <w:b/>
          <w:lang w:eastAsia="en-US"/>
        </w:rPr>
        <w:t>Shigellosis</w:t>
      </w:r>
      <w:r w:rsidRPr="009578FE">
        <w:rPr>
          <w:rFonts w:eastAsiaTheme="minorHAnsi" w:cs="Tahoma"/>
          <w:b/>
          <w:lang w:eastAsia="en-US"/>
        </w:rPr>
        <w:t>:</w:t>
      </w:r>
    </w:p>
    <w:p w14:paraId="055AB305" w14:textId="315F467E" w:rsidR="000C1690" w:rsidRDefault="00000000" w:rsidP="000C1690">
      <w:pPr>
        <w:pStyle w:val="EC-Para"/>
        <w:rPr>
          <w:rStyle w:val="Hyperlink"/>
          <w:rFonts w:eastAsiaTheme="minorHAnsi"/>
          <w:lang w:eastAsia="en-US"/>
        </w:rPr>
      </w:pPr>
      <w:hyperlink r:id="rId81" w:history="1">
        <w:r w:rsidR="00EA2F7F" w:rsidRPr="00657007">
          <w:rPr>
            <w:rStyle w:val="Hyperlink"/>
            <w:sz w:val="18"/>
          </w:rPr>
          <w:t>https://www.ecdc.europa.eu/en/publications-data/shigellosis-annual-epidemiological-report-2022</w:t>
        </w:r>
      </w:hyperlink>
      <w:r w:rsidR="00EA2F7F">
        <w:t xml:space="preserve"> </w:t>
      </w:r>
      <w:r w:rsidR="000C1690">
        <w:t xml:space="preserve"> </w:t>
      </w:r>
      <w:r w:rsidR="000C1690">
        <w:rPr>
          <w:rStyle w:val="Hyperlink"/>
          <w:rFonts w:eastAsiaTheme="minorHAnsi"/>
          <w:lang w:eastAsia="en-US"/>
        </w:rPr>
        <w:t xml:space="preserve"> </w:t>
      </w:r>
    </w:p>
    <w:p w14:paraId="0594A76D" w14:textId="79FD2258" w:rsidR="00EA2F7F" w:rsidRDefault="00EA2F7F" w:rsidP="00F62B8F">
      <w:pPr>
        <w:pStyle w:val="EC-Para"/>
        <w:spacing w:after="0"/>
        <w:rPr>
          <w:rFonts w:eastAsiaTheme="minorHAnsi" w:cs="Tahoma"/>
          <w:b/>
          <w:lang w:eastAsia="en-US"/>
        </w:rPr>
      </w:pPr>
      <w:r>
        <w:rPr>
          <w:rFonts w:eastAsiaTheme="minorHAnsi" w:cs="Tahoma"/>
          <w:b/>
          <w:lang w:eastAsia="en-US"/>
        </w:rPr>
        <w:t>Epidemiological update</w:t>
      </w:r>
      <w:r w:rsidR="000A5DE6">
        <w:rPr>
          <w:rFonts w:eastAsiaTheme="minorHAnsi" w:cs="Tahoma"/>
          <w:b/>
          <w:lang w:eastAsia="en-US"/>
        </w:rPr>
        <w:t>18 Jul 2023</w:t>
      </w:r>
      <w:r>
        <w:rPr>
          <w:rFonts w:eastAsiaTheme="minorHAnsi" w:cs="Tahoma"/>
          <w:b/>
          <w:lang w:eastAsia="en-US"/>
        </w:rPr>
        <w:t xml:space="preserve">: </w:t>
      </w:r>
      <w:r w:rsidRPr="00EA2F7F">
        <w:rPr>
          <w:rFonts w:eastAsiaTheme="minorHAnsi" w:cs="Tahoma"/>
          <w:b/>
          <w:lang w:eastAsia="en-US"/>
        </w:rPr>
        <w:t xml:space="preserve">Spread of multidrug-resistant </w:t>
      </w:r>
      <w:r w:rsidRPr="00433520">
        <w:rPr>
          <w:rFonts w:eastAsiaTheme="minorHAnsi" w:cs="Tahoma"/>
          <w:b/>
          <w:i/>
          <w:iCs/>
          <w:lang w:eastAsia="en-US"/>
        </w:rPr>
        <w:t>Shigella</w:t>
      </w:r>
      <w:r w:rsidRPr="00EA2F7F">
        <w:rPr>
          <w:rFonts w:eastAsiaTheme="minorHAnsi" w:cs="Tahoma"/>
          <w:b/>
          <w:lang w:eastAsia="en-US"/>
        </w:rPr>
        <w:t xml:space="preserve"> in EU/EEA among gay, bisexual and other men who have sex with men</w:t>
      </w:r>
      <w:r>
        <w:rPr>
          <w:rFonts w:eastAsiaTheme="minorHAnsi" w:cs="Tahoma"/>
          <w:b/>
          <w:lang w:eastAsia="en-US"/>
        </w:rPr>
        <w:t>:</w:t>
      </w:r>
    </w:p>
    <w:p w14:paraId="1692B9AB" w14:textId="023AC037" w:rsidR="00EA2F7F" w:rsidRPr="00EA2F7F" w:rsidRDefault="00000000" w:rsidP="00EA2F7F">
      <w:pPr>
        <w:pStyle w:val="EC-Para"/>
        <w:rPr>
          <w:rFonts w:eastAsiaTheme="minorHAnsi" w:cs="Tahoma"/>
          <w:bCs/>
          <w:lang w:eastAsia="en-US"/>
        </w:rPr>
      </w:pPr>
      <w:hyperlink r:id="rId82" w:history="1">
        <w:r w:rsidR="00EA2F7F" w:rsidRPr="00657007">
          <w:rPr>
            <w:rStyle w:val="Hyperlink"/>
            <w:rFonts w:eastAsiaTheme="minorHAnsi" w:cs="Tahoma"/>
            <w:bCs/>
            <w:sz w:val="18"/>
            <w:lang w:eastAsia="en-US"/>
          </w:rPr>
          <w:t>https://www.ecdc.europa.eu/en/news-events/spread-multidrug-resistant-shigella-eueea-among-gay-bisexual-and-other-men-who-have-sex</w:t>
        </w:r>
      </w:hyperlink>
      <w:r w:rsidR="00EA2F7F">
        <w:rPr>
          <w:rFonts w:eastAsiaTheme="minorHAnsi" w:cs="Tahoma"/>
          <w:bCs/>
          <w:lang w:eastAsia="en-US"/>
        </w:rPr>
        <w:t xml:space="preserve"> </w:t>
      </w:r>
      <w:r w:rsidR="00EA2F7F" w:rsidRPr="00EA2F7F">
        <w:rPr>
          <w:rFonts w:eastAsiaTheme="minorHAnsi" w:cs="Tahoma"/>
          <w:bCs/>
          <w:lang w:eastAsia="en-US"/>
        </w:rPr>
        <w:t xml:space="preserve"> </w:t>
      </w:r>
      <w:r w:rsidR="00EA2F7F">
        <w:rPr>
          <w:rFonts w:eastAsiaTheme="minorHAnsi" w:cs="Tahoma"/>
          <w:bCs/>
          <w:lang w:eastAsia="en-US"/>
        </w:rPr>
        <w:t xml:space="preserve"> </w:t>
      </w:r>
    </w:p>
    <w:p w14:paraId="0115D55B" w14:textId="504BB467" w:rsidR="00F62B8F" w:rsidRDefault="00F62B8F" w:rsidP="00F62B8F">
      <w:pPr>
        <w:pStyle w:val="EC-Para"/>
        <w:spacing w:after="0"/>
        <w:rPr>
          <w:rFonts w:eastAsiaTheme="minorHAnsi" w:cs="Tahoma"/>
          <w:b/>
          <w:lang w:eastAsia="en-US"/>
        </w:rPr>
      </w:pPr>
      <w:r>
        <w:rPr>
          <w:rFonts w:eastAsiaTheme="minorHAnsi" w:cs="Tahoma"/>
          <w:b/>
          <w:lang w:eastAsia="en-US"/>
        </w:rPr>
        <w:t>Ra</w:t>
      </w:r>
      <w:r w:rsidRPr="00A6680E">
        <w:rPr>
          <w:rFonts w:eastAsiaTheme="minorHAnsi" w:cs="Tahoma"/>
          <w:b/>
          <w:lang w:eastAsia="en-US"/>
        </w:rPr>
        <w:t xml:space="preserve">pid risk assessment: Increase in extensively-drug resistant </w:t>
      </w:r>
      <w:r w:rsidRPr="00433520">
        <w:rPr>
          <w:rFonts w:eastAsiaTheme="minorHAnsi" w:cs="Tahoma"/>
          <w:b/>
          <w:i/>
          <w:iCs/>
          <w:lang w:eastAsia="en-US"/>
        </w:rPr>
        <w:t xml:space="preserve">Shigella </w:t>
      </w:r>
      <w:proofErr w:type="spellStart"/>
      <w:r w:rsidRPr="00433520">
        <w:rPr>
          <w:rFonts w:eastAsiaTheme="minorHAnsi" w:cs="Tahoma"/>
          <w:b/>
          <w:i/>
          <w:iCs/>
          <w:lang w:eastAsia="en-US"/>
        </w:rPr>
        <w:t>sonnei</w:t>
      </w:r>
      <w:proofErr w:type="spellEnd"/>
      <w:r w:rsidRPr="00A6680E">
        <w:rPr>
          <w:rFonts w:eastAsiaTheme="minorHAnsi" w:cs="Tahoma"/>
          <w:b/>
          <w:lang w:eastAsia="en-US"/>
        </w:rPr>
        <w:t xml:space="preserve"> infections in men who have sex with men in the EU/EEA and the UK</w:t>
      </w:r>
      <w:r w:rsidR="000A5DE6">
        <w:rPr>
          <w:rFonts w:eastAsiaTheme="minorHAnsi" w:cs="Tahoma"/>
          <w:b/>
          <w:lang w:eastAsia="en-US"/>
        </w:rPr>
        <w:t xml:space="preserve"> (</w:t>
      </w:r>
      <w:r>
        <w:rPr>
          <w:rFonts w:eastAsiaTheme="minorHAnsi" w:cs="Tahoma"/>
          <w:b/>
          <w:lang w:eastAsia="en-US"/>
        </w:rPr>
        <w:t>23 February 2022</w:t>
      </w:r>
      <w:r w:rsidR="000A5DE6">
        <w:rPr>
          <w:rFonts w:eastAsiaTheme="minorHAnsi" w:cs="Tahoma"/>
          <w:b/>
          <w:lang w:eastAsia="en-US"/>
        </w:rPr>
        <w:t>)</w:t>
      </w:r>
      <w:r w:rsidRPr="009578FE">
        <w:rPr>
          <w:rFonts w:eastAsiaTheme="minorHAnsi" w:cs="Tahoma"/>
          <w:b/>
          <w:lang w:eastAsia="en-US"/>
        </w:rPr>
        <w:t>:</w:t>
      </w:r>
    </w:p>
    <w:p w14:paraId="22C6DF50" w14:textId="12AC2CBB" w:rsidR="000C1690" w:rsidRDefault="00F62B8F" w:rsidP="00EA2F7F">
      <w:pPr>
        <w:pStyle w:val="EC-Para"/>
        <w:rPr>
          <w:b/>
          <w:bCs/>
          <w:color w:val="69AE23"/>
          <w:sz w:val="26"/>
          <w:szCs w:val="26"/>
        </w:rPr>
      </w:pPr>
      <w:r w:rsidRPr="00EA2F7F">
        <w:rPr>
          <w:rStyle w:val="Hyperlink"/>
          <w:sz w:val="18"/>
          <w:szCs w:val="20"/>
        </w:rPr>
        <w:t>https://www.ecdc.europa.eu/en/publications-data/rapid-risk-assessment-increase-extensively-drug-resistant-shigella-sonnei</w:t>
      </w:r>
      <w:bookmarkStart w:id="78" w:name="_Toc69154720"/>
      <w:bookmarkStart w:id="79" w:name="_Toc99028498"/>
      <w:r w:rsidR="000C1690">
        <w:br w:type="page"/>
      </w:r>
    </w:p>
    <w:p w14:paraId="4271BC74" w14:textId="44CBE9C7" w:rsidR="000C1690" w:rsidRPr="00800CD5" w:rsidRDefault="000C1690" w:rsidP="000C1690">
      <w:pPr>
        <w:pStyle w:val="EC-Title-6"/>
      </w:pPr>
      <w:r w:rsidRPr="00800CD5">
        <w:lastRenderedPageBreak/>
        <w:t>Annex 1. Surveillance systems overview, 20</w:t>
      </w:r>
      <w:bookmarkEnd w:id="78"/>
      <w:r>
        <w:t>2</w:t>
      </w:r>
      <w:bookmarkEnd w:id="79"/>
      <w:r w:rsidR="00362FC8">
        <w:t>2</w:t>
      </w:r>
    </w:p>
    <w:tbl>
      <w:tblPr>
        <w:tblW w:w="9542" w:type="dxa"/>
        <w:tblInd w:w="113" w:type="dxa"/>
        <w:tblLook w:val="04A0" w:firstRow="1" w:lastRow="0" w:firstColumn="1" w:lastColumn="0" w:noHBand="0" w:noVBand="1"/>
      </w:tblPr>
      <w:tblGrid>
        <w:gridCol w:w="1016"/>
        <w:gridCol w:w="2588"/>
        <w:gridCol w:w="571"/>
        <w:gridCol w:w="571"/>
        <w:gridCol w:w="571"/>
        <w:gridCol w:w="571"/>
        <w:gridCol w:w="571"/>
        <w:gridCol w:w="571"/>
        <w:gridCol w:w="571"/>
        <w:gridCol w:w="571"/>
        <w:gridCol w:w="1370"/>
      </w:tblGrid>
      <w:tr w:rsidR="00034328" w:rsidRPr="0016756C" w14:paraId="7318B8BD" w14:textId="77777777" w:rsidTr="00362FC8">
        <w:trPr>
          <w:trHeight w:val="302"/>
        </w:trPr>
        <w:tc>
          <w:tcPr>
            <w:tcW w:w="1016"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2057976B" w14:textId="77777777" w:rsidR="000C1690" w:rsidRPr="0016756C" w:rsidRDefault="000C1690" w:rsidP="00034EC0">
            <w:pPr>
              <w:rPr>
                <w:rFonts w:eastAsia="Times New Roman" w:cs="Tahoma"/>
                <w:b/>
                <w:bCs/>
                <w:color w:val="FFFFFF"/>
                <w:sz w:val="14"/>
                <w:szCs w:val="14"/>
                <w:lang w:eastAsia="en-GB"/>
              </w:rPr>
            </w:pPr>
            <w:r w:rsidRPr="0016756C">
              <w:rPr>
                <w:rFonts w:eastAsia="Times New Roman" w:cs="Tahoma"/>
                <w:b/>
                <w:bCs/>
                <w:color w:val="FFFFFF"/>
                <w:sz w:val="14"/>
                <w:szCs w:val="14"/>
                <w:lang w:eastAsia="en-GB"/>
              </w:rPr>
              <w:t>Country</w:t>
            </w:r>
          </w:p>
        </w:tc>
        <w:tc>
          <w:tcPr>
            <w:tcW w:w="2588"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B589F37" w14:textId="77777777" w:rsidR="000C1690" w:rsidRPr="0016756C" w:rsidRDefault="000C1690" w:rsidP="00034EC0">
            <w:pPr>
              <w:rPr>
                <w:rFonts w:eastAsia="Times New Roman" w:cs="Tahoma"/>
                <w:b/>
                <w:bCs/>
                <w:color w:val="FFFFFF"/>
                <w:sz w:val="14"/>
                <w:szCs w:val="14"/>
                <w:lang w:eastAsia="en-GB"/>
              </w:rPr>
            </w:pPr>
            <w:r w:rsidRPr="0016756C">
              <w:rPr>
                <w:rFonts w:eastAsia="Times New Roman" w:cs="Tahoma"/>
                <w:b/>
                <w:bCs/>
                <w:color w:val="FFFFFF"/>
                <w:sz w:val="14"/>
                <w:szCs w:val="14"/>
                <w:lang w:eastAsia="en-GB"/>
              </w:rPr>
              <w:t>Data source</w:t>
            </w:r>
          </w:p>
        </w:tc>
        <w:tc>
          <w:tcPr>
            <w:tcW w:w="571"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71E0D56C" w14:textId="77777777" w:rsidR="000C1690" w:rsidRPr="0016756C" w:rsidRDefault="000C1690" w:rsidP="00034EC0">
            <w:pPr>
              <w:jc w:val="center"/>
              <w:rPr>
                <w:rFonts w:eastAsia="Times New Roman" w:cs="Tahoma"/>
                <w:b/>
                <w:bCs/>
                <w:color w:val="FFFFFF"/>
                <w:sz w:val="14"/>
                <w:szCs w:val="14"/>
                <w:lang w:eastAsia="en-GB"/>
              </w:rPr>
            </w:pPr>
            <w:r w:rsidRPr="0016756C">
              <w:rPr>
                <w:rFonts w:eastAsia="Times New Roman" w:cs="Tahoma"/>
                <w:b/>
                <w:bCs/>
                <w:color w:val="FFFFFF"/>
                <w:sz w:val="14"/>
                <w:szCs w:val="14"/>
                <w:lang w:eastAsia="en-GB"/>
              </w:rPr>
              <w:t>Compulsory (Cp), voluntary (V), other(O)</w:t>
            </w:r>
          </w:p>
        </w:tc>
        <w:tc>
          <w:tcPr>
            <w:tcW w:w="571"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59688545" w14:textId="77777777" w:rsidR="000C1690" w:rsidRPr="0016756C" w:rsidRDefault="000C1690" w:rsidP="00034EC0">
            <w:pPr>
              <w:jc w:val="center"/>
              <w:rPr>
                <w:rFonts w:eastAsia="Times New Roman" w:cs="Tahoma"/>
                <w:b/>
                <w:bCs/>
                <w:color w:val="FFFFFF"/>
                <w:sz w:val="14"/>
                <w:szCs w:val="14"/>
                <w:lang w:eastAsia="en-GB"/>
              </w:rPr>
            </w:pPr>
            <w:r w:rsidRPr="0016756C">
              <w:rPr>
                <w:rFonts w:eastAsia="Times New Roman" w:cs="Tahoma"/>
                <w:b/>
                <w:bCs/>
                <w:color w:val="FFFFFF"/>
                <w:sz w:val="14"/>
                <w:szCs w:val="14"/>
                <w:lang w:eastAsia="en-GB"/>
              </w:rPr>
              <w:t>Comprehensive (Co), sentinel (Se), other(O)</w:t>
            </w:r>
          </w:p>
        </w:tc>
        <w:tc>
          <w:tcPr>
            <w:tcW w:w="571"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9CD9DC8" w14:textId="77777777" w:rsidR="000C1690" w:rsidRPr="0016756C" w:rsidRDefault="000C1690" w:rsidP="00034EC0">
            <w:pPr>
              <w:jc w:val="center"/>
              <w:rPr>
                <w:rFonts w:eastAsia="Times New Roman" w:cs="Tahoma"/>
                <w:b/>
                <w:bCs/>
                <w:color w:val="FFFFFF"/>
                <w:sz w:val="14"/>
                <w:szCs w:val="14"/>
                <w:lang w:eastAsia="en-GB"/>
              </w:rPr>
            </w:pPr>
            <w:r w:rsidRPr="0016756C">
              <w:rPr>
                <w:rFonts w:eastAsia="Times New Roman" w:cs="Tahoma"/>
                <w:b/>
                <w:bCs/>
                <w:color w:val="FFFFFF"/>
                <w:sz w:val="14"/>
                <w:szCs w:val="14"/>
                <w:lang w:eastAsia="en-GB"/>
              </w:rPr>
              <w:t>Active (A), passive (P)</w:t>
            </w:r>
          </w:p>
        </w:tc>
        <w:tc>
          <w:tcPr>
            <w:tcW w:w="571"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002AC2D9" w14:textId="77777777" w:rsidR="000C1690" w:rsidRPr="0016756C" w:rsidRDefault="000C1690" w:rsidP="00034EC0">
            <w:pPr>
              <w:jc w:val="center"/>
              <w:rPr>
                <w:rFonts w:eastAsia="Times New Roman" w:cs="Tahoma"/>
                <w:b/>
                <w:bCs/>
                <w:color w:val="FFFFFF"/>
                <w:sz w:val="14"/>
                <w:szCs w:val="14"/>
                <w:lang w:eastAsia="en-GB"/>
              </w:rPr>
            </w:pPr>
            <w:r w:rsidRPr="0016756C">
              <w:rPr>
                <w:rFonts w:eastAsia="Times New Roman" w:cs="Tahoma"/>
                <w:b/>
                <w:bCs/>
                <w:color w:val="FFFFFF"/>
                <w:sz w:val="14"/>
                <w:szCs w:val="14"/>
                <w:lang w:eastAsia="en-GB"/>
              </w:rPr>
              <w:t>Case-based (C), aggregated (A)</w:t>
            </w:r>
          </w:p>
        </w:tc>
        <w:tc>
          <w:tcPr>
            <w:tcW w:w="2284" w:type="dxa"/>
            <w:gridSpan w:val="4"/>
            <w:tcBorders>
              <w:top w:val="single" w:sz="4" w:space="0" w:color="auto"/>
              <w:left w:val="nil"/>
              <w:bottom w:val="single" w:sz="4" w:space="0" w:color="auto"/>
              <w:right w:val="single" w:sz="4" w:space="0" w:color="auto"/>
            </w:tcBorders>
            <w:shd w:val="clear" w:color="000000" w:fill="69AE23"/>
            <w:noWrap/>
            <w:hideMark/>
          </w:tcPr>
          <w:p w14:paraId="0381B35C" w14:textId="77777777" w:rsidR="000C1690" w:rsidRPr="0016756C" w:rsidRDefault="000C1690" w:rsidP="00034EC0">
            <w:pPr>
              <w:jc w:val="center"/>
              <w:rPr>
                <w:rFonts w:eastAsia="Times New Roman" w:cs="Tahoma"/>
                <w:b/>
                <w:bCs/>
                <w:color w:val="FFFFFF"/>
                <w:sz w:val="14"/>
                <w:szCs w:val="14"/>
                <w:lang w:eastAsia="en-GB"/>
              </w:rPr>
            </w:pPr>
            <w:r w:rsidRPr="0016756C">
              <w:rPr>
                <w:rFonts w:eastAsia="Times New Roman" w:cs="Tahoma"/>
                <w:b/>
                <w:bCs/>
                <w:color w:val="FFFFFF"/>
                <w:sz w:val="14"/>
                <w:szCs w:val="14"/>
                <w:lang w:eastAsia="en-GB"/>
              </w:rPr>
              <w:t>Data reported by</w:t>
            </w:r>
          </w:p>
        </w:tc>
        <w:tc>
          <w:tcPr>
            <w:tcW w:w="137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21CA9090" w14:textId="77777777" w:rsidR="000C1690" w:rsidRPr="0016756C" w:rsidRDefault="000C1690" w:rsidP="00034EC0">
            <w:pPr>
              <w:rPr>
                <w:rFonts w:eastAsia="Times New Roman" w:cs="Tahoma"/>
                <w:b/>
                <w:bCs/>
                <w:color w:val="FFFFFF"/>
                <w:sz w:val="14"/>
                <w:szCs w:val="14"/>
                <w:lang w:eastAsia="en-GB"/>
              </w:rPr>
            </w:pPr>
            <w:r w:rsidRPr="0016756C">
              <w:rPr>
                <w:rFonts w:eastAsia="Times New Roman" w:cs="Tahoma"/>
                <w:b/>
                <w:bCs/>
                <w:color w:val="FFFFFF"/>
                <w:sz w:val="14"/>
                <w:szCs w:val="14"/>
                <w:lang w:eastAsia="en-GB"/>
              </w:rPr>
              <w:t>Case definition used</w:t>
            </w:r>
          </w:p>
        </w:tc>
      </w:tr>
      <w:tr w:rsidR="00034328" w:rsidRPr="0016756C" w14:paraId="68324B27" w14:textId="77777777" w:rsidTr="00362FC8">
        <w:trPr>
          <w:trHeight w:val="2886"/>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16742F2C" w14:textId="77777777" w:rsidR="000C1690" w:rsidRPr="0016756C" w:rsidRDefault="000C1690" w:rsidP="00034EC0">
            <w:pPr>
              <w:rPr>
                <w:rFonts w:eastAsia="Times New Roman" w:cs="Tahoma"/>
                <w:b/>
                <w:bCs/>
                <w:color w:val="FFFFFF"/>
                <w:sz w:val="14"/>
                <w:szCs w:val="14"/>
                <w:lang w:eastAsia="en-GB"/>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14:paraId="02427AA3" w14:textId="77777777" w:rsidR="000C1690" w:rsidRPr="0016756C" w:rsidRDefault="000C1690" w:rsidP="00034EC0">
            <w:pPr>
              <w:rPr>
                <w:rFonts w:eastAsia="Times New Roman" w:cs="Tahoma"/>
                <w:b/>
                <w:bCs/>
                <w:color w:val="FFFFFF"/>
                <w:sz w:val="14"/>
                <w:szCs w:val="14"/>
                <w:lang w:eastAsia="en-GB"/>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B6775EA" w14:textId="77777777" w:rsidR="000C1690" w:rsidRPr="0016756C" w:rsidRDefault="000C1690" w:rsidP="00034EC0">
            <w:pPr>
              <w:rPr>
                <w:rFonts w:eastAsia="Times New Roman" w:cs="Tahoma"/>
                <w:b/>
                <w:bCs/>
                <w:color w:val="FFFFFF"/>
                <w:sz w:val="14"/>
                <w:szCs w:val="14"/>
                <w:lang w:eastAsia="en-GB"/>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B235C6A" w14:textId="77777777" w:rsidR="000C1690" w:rsidRPr="0016756C" w:rsidRDefault="000C1690" w:rsidP="00034EC0">
            <w:pPr>
              <w:rPr>
                <w:rFonts w:eastAsia="Times New Roman" w:cs="Tahoma"/>
                <w:b/>
                <w:bCs/>
                <w:color w:val="FFFFFF"/>
                <w:sz w:val="14"/>
                <w:szCs w:val="14"/>
                <w:lang w:eastAsia="en-GB"/>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69D2725" w14:textId="77777777" w:rsidR="000C1690" w:rsidRPr="0016756C" w:rsidRDefault="000C1690" w:rsidP="00034EC0">
            <w:pPr>
              <w:rPr>
                <w:rFonts w:eastAsia="Times New Roman" w:cs="Tahoma"/>
                <w:b/>
                <w:bCs/>
                <w:color w:val="FFFFFF"/>
                <w:sz w:val="14"/>
                <w:szCs w:val="14"/>
                <w:lang w:eastAsia="en-GB"/>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05F3B214" w14:textId="77777777" w:rsidR="000C1690" w:rsidRPr="0016756C" w:rsidRDefault="000C1690" w:rsidP="00034EC0">
            <w:pPr>
              <w:rPr>
                <w:rFonts w:eastAsia="Times New Roman" w:cs="Tahoma"/>
                <w:b/>
                <w:bCs/>
                <w:color w:val="FFFFFF"/>
                <w:sz w:val="14"/>
                <w:szCs w:val="14"/>
                <w:lang w:eastAsia="en-GB"/>
              </w:rPr>
            </w:pPr>
          </w:p>
        </w:tc>
        <w:tc>
          <w:tcPr>
            <w:tcW w:w="571" w:type="dxa"/>
            <w:tcBorders>
              <w:top w:val="nil"/>
              <w:left w:val="nil"/>
              <w:bottom w:val="nil"/>
              <w:right w:val="single" w:sz="4" w:space="0" w:color="auto"/>
            </w:tcBorders>
            <w:shd w:val="clear" w:color="000000" w:fill="69AE23"/>
            <w:noWrap/>
            <w:textDirection w:val="btLr"/>
            <w:vAlign w:val="bottom"/>
            <w:hideMark/>
          </w:tcPr>
          <w:p w14:paraId="710351A6" w14:textId="77777777" w:rsidR="000C1690" w:rsidRPr="0016756C" w:rsidRDefault="000C1690" w:rsidP="00034EC0">
            <w:pPr>
              <w:jc w:val="center"/>
              <w:rPr>
                <w:rFonts w:eastAsia="Times New Roman" w:cs="Tahoma"/>
                <w:b/>
                <w:bCs/>
                <w:color w:val="FFFFFF"/>
                <w:sz w:val="14"/>
                <w:szCs w:val="14"/>
                <w:lang w:eastAsia="en-GB"/>
              </w:rPr>
            </w:pPr>
            <w:r w:rsidRPr="0016756C">
              <w:rPr>
                <w:rFonts w:eastAsia="Times New Roman" w:cs="Tahoma"/>
                <w:b/>
                <w:bCs/>
                <w:color w:val="FFFFFF"/>
                <w:sz w:val="14"/>
                <w:szCs w:val="14"/>
                <w:lang w:eastAsia="en-GB"/>
              </w:rPr>
              <w:t>Laboratories</w:t>
            </w:r>
          </w:p>
        </w:tc>
        <w:tc>
          <w:tcPr>
            <w:tcW w:w="571" w:type="dxa"/>
            <w:tcBorders>
              <w:top w:val="nil"/>
              <w:left w:val="nil"/>
              <w:bottom w:val="nil"/>
              <w:right w:val="single" w:sz="4" w:space="0" w:color="auto"/>
            </w:tcBorders>
            <w:shd w:val="clear" w:color="000000" w:fill="69AE23"/>
            <w:noWrap/>
            <w:textDirection w:val="btLr"/>
            <w:vAlign w:val="bottom"/>
            <w:hideMark/>
          </w:tcPr>
          <w:p w14:paraId="276049D6" w14:textId="77777777" w:rsidR="000C1690" w:rsidRPr="0016756C" w:rsidRDefault="000C1690" w:rsidP="00034EC0">
            <w:pPr>
              <w:jc w:val="center"/>
              <w:rPr>
                <w:rFonts w:eastAsia="Times New Roman" w:cs="Tahoma"/>
                <w:b/>
                <w:bCs/>
                <w:color w:val="FFFFFF"/>
                <w:sz w:val="14"/>
                <w:szCs w:val="14"/>
                <w:lang w:eastAsia="en-GB"/>
              </w:rPr>
            </w:pPr>
            <w:r w:rsidRPr="0016756C">
              <w:rPr>
                <w:rFonts w:eastAsia="Times New Roman" w:cs="Tahoma"/>
                <w:b/>
                <w:bCs/>
                <w:color w:val="FFFFFF"/>
                <w:sz w:val="14"/>
                <w:szCs w:val="14"/>
                <w:lang w:eastAsia="en-GB"/>
              </w:rPr>
              <w:t>Physicians</w:t>
            </w:r>
          </w:p>
        </w:tc>
        <w:tc>
          <w:tcPr>
            <w:tcW w:w="571" w:type="dxa"/>
            <w:tcBorders>
              <w:top w:val="nil"/>
              <w:left w:val="nil"/>
              <w:bottom w:val="nil"/>
              <w:right w:val="single" w:sz="4" w:space="0" w:color="auto"/>
            </w:tcBorders>
            <w:shd w:val="clear" w:color="000000" w:fill="69AE23"/>
            <w:noWrap/>
            <w:textDirection w:val="btLr"/>
            <w:vAlign w:val="bottom"/>
            <w:hideMark/>
          </w:tcPr>
          <w:p w14:paraId="33FD6C63" w14:textId="77777777" w:rsidR="000C1690" w:rsidRPr="0016756C" w:rsidRDefault="000C1690" w:rsidP="00034EC0">
            <w:pPr>
              <w:jc w:val="center"/>
              <w:rPr>
                <w:rFonts w:eastAsia="Times New Roman" w:cs="Tahoma"/>
                <w:b/>
                <w:bCs/>
                <w:color w:val="FFFFFF"/>
                <w:sz w:val="14"/>
                <w:szCs w:val="14"/>
                <w:lang w:eastAsia="en-GB"/>
              </w:rPr>
            </w:pPr>
            <w:r w:rsidRPr="0016756C">
              <w:rPr>
                <w:rFonts w:eastAsia="Times New Roman" w:cs="Tahoma"/>
                <w:b/>
                <w:bCs/>
                <w:color w:val="FFFFFF"/>
                <w:sz w:val="14"/>
                <w:szCs w:val="14"/>
                <w:lang w:eastAsia="en-GB"/>
              </w:rPr>
              <w:t>Hospitals</w:t>
            </w:r>
          </w:p>
        </w:tc>
        <w:tc>
          <w:tcPr>
            <w:tcW w:w="571" w:type="dxa"/>
            <w:tcBorders>
              <w:top w:val="nil"/>
              <w:left w:val="nil"/>
              <w:bottom w:val="nil"/>
              <w:right w:val="single" w:sz="4" w:space="0" w:color="auto"/>
            </w:tcBorders>
            <w:shd w:val="clear" w:color="000000" w:fill="69AE23"/>
            <w:noWrap/>
            <w:textDirection w:val="btLr"/>
            <w:vAlign w:val="bottom"/>
            <w:hideMark/>
          </w:tcPr>
          <w:p w14:paraId="1C33DD0C" w14:textId="77777777" w:rsidR="000C1690" w:rsidRPr="0016756C" w:rsidRDefault="000C1690" w:rsidP="00034EC0">
            <w:pPr>
              <w:jc w:val="center"/>
              <w:rPr>
                <w:rFonts w:eastAsia="Times New Roman" w:cs="Tahoma"/>
                <w:b/>
                <w:bCs/>
                <w:color w:val="FFFFFF"/>
                <w:sz w:val="14"/>
                <w:szCs w:val="14"/>
                <w:lang w:eastAsia="en-GB"/>
              </w:rPr>
            </w:pPr>
            <w:r w:rsidRPr="0016756C">
              <w:rPr>
                <w:rFonts w:eastAsia="Times New Roman" w:cs="Tahoma"/>
                <w:b/>
                <w:bCs/>
                <w:color w:val="FFFFFF"/>
                <w:sz w:val="14"/>
                <w:szCs w:val="14"/>
                <w:lang w:eastAsia="en-GB"/>
              </w:rPr>
              <w:t>Others</w:t>
            </w: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0CB3C8FD" w14:textId="77777777" w:rsidR="000C1690" w:rsidRPr="0016756C" w:rsidRDefault="000C1690" w:rsidP="00034EC0">
            <w:pPr>
              <w:rPr>
                <w:rFonts w:eastAsia="Times New Roman" w:cs="Tahoma"/>
                <w:b/>
                <w:bCs/>
                <w:color w:val="FFFFFF"/>
                <w:sz w:val="14"/>
                <w:szCs w:val="14"/>
                <w:lang w:eastAsia="en-GB"/>
              </w:rPr>
            </w:pPr>
          </w:p>
        </w:tc>
      </w:tr>
      <w:tr w:rsidR="00362FC8" w:rsidRPr="0016756C" w14:paraId="7EE56B12" w14:textId="77777777" w:rsidTr="00362FC8">
        <w:trPr>
          <w:trHeight w:val="242"/>
        </w:trPr>
        <w:tc>
          <w:tcPr>
            <w:tcW w:w="1016" w:type="dxa"/>
            <w:tcBorders>
              <w:top w:val="single" w:sz="4" w:space="0" w:color="auto"/>
              <w:left w:val="single" w:sz="4" w:space="0" w:color="auto"/>
              <w:right w:val="single" w:sz="4" w:space="0" w:color="auto"/>
            </w:tcBorders>
            <w:shd w:val="clear" w:color="000000" w:fill="D9D9D9"/>
            <w:noWrap/>
            <w:vAlign w:val="bottom"/>
            <w:hideMark/>
          </w:tcPr>
          <w:p w14:paraId="6C7A0EAD" w14:textId="4DB99044" w:rsidR="00362FC8" w:rsidRPr="0016756C" w:rsidRDefault="00362FC8" w:rsidP="00362FC8">
            <w:pPr>
              <w:rPr>
                <w:rFonts w:eastAsia="Times New Roman" w:cs="Tahoma"/>
                <w:sz w:val="14"/>
                <w:szCs w:val="14"/>
                <w:lang w:eastAsia="en-GB"/>
              </w:rPr>
            </w:pPr>
            <w:r>
              <w:rPr>
                <w:rFonts w:cs="Tahoma"/>
                <w:sz w:val="14"/>
                <w:szCs w:val="14"/>
              </w:rPr>
              <w:t>Austria</w:t>
            </w:r>
          </w:p>
        </w:tc>
        <w:tc>
          <w:tcPr>
            <w:tcW w:w="2588" w:type="dxa"/>
            <w:tcBorders>
              <w:top w:val="single" w:sz="4" w:space="0" w:color="auto"/>
              <w:left w:val="single" w:sz="4" w:space="0" w:color="auto"/>
              <w:right w:val="single" w:sz="4" w:space="0" w:color="auto"/>
            </w:tcBorders>
            <w:shd w:val="clear" w:color="000000" w:fill="D9D9D9"/>
            <w:noWrap/>
            <w:vAlign w:val="bottom"/>
            <w:hideMark/>
          </w:tcPr>
          <w:p w14:paraId="2191F830" w14:textId="5409D7A6" w:rsidR="00362FC8" w:rsidRPr="0016756C" w:rsidRDefault="00362FC8" w:rsidP="00362FC8">
            <w:pPr>
              <w:rPr>
                <w:rFonts w:eastAsia="Times New Roman" w:cs="Tahoma"/>
                <w:sz w:val="14"/>
                <w:szCs w:val="14"/>
                <w:lang w:eastAsia="en-GB"/>
              </w:rPr>
            </w:pPr>
            <w:r>
              <w:rPr>
                <w:rFonts w:cs="Tahoma"/>
                <w:sz w:val="14"/>
                <w:szCs w:val="14"/>
              </w:rPr>
              <w:t>AT-</w:t>
            </w:r>
            <w:proofErr w:type="spellStart"/>
            <w:r>
              <w:rPr>
                <w:rFonts w:cs="Tahoma"/>
                <w:sz w:val="14"/>
                <w:szCs w:val="14"/>
              </w:rPr>
              <w:t>Epidemiegesetz</w:t>
            </w:r>
            <w:proofErr w:type="spellEnd"/>
          </w:p>
        </w:tc>
        <w:tc>
          <w:tcPr>
            <w:tcW w:w="571" w:type="dxa"/>
            <w:tcBorders>
              <w:top w:val="single" w:sz="4" w:space="0" w:color="auto"/>
              <w:left w:val="single" w:sz="4" w:space="0" w:color="auto"/>
              <w:right w:val="single" w:sz="4" w:space="0" w:color="auto"/>
            </w:tcBorders>
            <w:shd w:val="clear" w:color="000000" w:fill="D9D9D9"/>
            <w:noWrap/>
            <w:vAlign w:val="bottom"/>
            <w:hideMark/>
          </w:tcPr>
          <w:p w14:paraId="77EB0E4B" w14:textId="3D0DD920" w:rsidR="00362FC8" w:rsidRPr="0016756C" w:rsidRDefault="00362FC8" w:rsidP="00362FC8">
            <w:pPr>
              <w:rPr>
                <w:rFonts w:eastAsia="Times New Roman" w:cs="Tahoma"/>
                <w:sz w:val="14"/>
                <w:szCs w:val="14"/>
                <w:lang w:eastAsia="en-GB"/>
              </w:rPr>
            </w:pPr>
            <w:r>
              <w:rPr>
                <w:rFonts w:cs="Tahoma"/>
                <w:sz w:val="14"/>
                <w:szCs w:val="14"/>
              </w:rPr>
              <w:t>Cp</w:t>
            </w:r>
          </w:p>
        </w:tc>
        <w:tc>
          <w:tcPr>
            <w:tcW w:w="571" w:type="dxa"/>
            <w:tcBorders>
              <w:top w:val="single" w:sz="4" w:space="0" w:color="auto"/>
              <w:left w:val="single" w:sz="4" w:space="0" w:color="auto"/>
              <w:right w:val="single" w:sz="4" w:space="0" w:color="auto"/>
            </w:tcBorders>
            <w:shd w:val="clear" w:color="000000" w:fill="D9D9D9"/>
            <w:noWrap/>
            <w:vAlign w:val="bottom"/>
            <w:hideMark/>
          </w:tcPr>
          <w:p w14:paraId="0F9050AE" w14:textId="20A0E751" w:rsidR="00362FC8" w:rsidRPr="0016756C" w:rsidRDefault="00362FC8" w:rsidP="00362FC8">
            <w:pPr>
              <w:rPr>
                <w:rFonts w:eastAsia="Times New Roman" w:cs="Tahoma"/>
                <w:sz w:val="14"/>
                <w:szCs w:val="14"/>
                <w:lang w:eastAsia="en-GB"/>
              </w:rPr>
            </w:pPr>
            <w:r>
              <w:rPr>
                <w:rFonts w:cs="Tahoma"/>
                <w:sz w:val="14"/>
                <w:szCs w:val="14"/>
              </w:rPr>
              <w:t>Co</w:t>
            </w:r>
          </w:p>
        </w:tc>
        <w:tc>
          <w:tcPr>
            <w:tcW w:w="571" w:type="dxa"/>
            <w:tcBorders>
              <w:top w:val="single" w:sz="4" w:space="0" w:color="auto"/>
              <w:left w:val="single" w:sz="4" w:space="0" w:color="auto"/>
              <w:right w:val="single" w:sz="4" w:space="0" w:color="auto"/>
            </w:tcBorders>
            <w:shd w:val="clear" w:color="000000" w:fill="D9D9D9"/>
            <w:noWrap/>
            <w:vAlign w:val="bottom"/>
            <w:hideMark/>
          </w:tcPr>
          <w:p w14:paraId="2E73D963" w14:textId="67073380" w:rsidR="00362FC8" w:rsidRPr="0016756C" w:rsidRDefault="00362FC8" w:rsidP="00362FC8">
            <w:pPr>
              <w:rPr>
                <w:rFonts w:eastAsia="Times New Roman" w:cs="Tahoma"/>
                <w:sz w:val="14"/>
                <w:szCs w:val="14"/>
                <w:lang w:eastAsia="en-GB"/>
              </w:rPr>
            </w:pPr>
            <w:r>
              <w:rPr>
                <w:rFonts w:cs="Tahoma"/>
                <w:sz w:val="14"/>
                <w:szCs w:val="14"/>
              </w:rPr>
              <w:t>P</w:t>
            </w:r>
          </w:p>
        </w:tc>
        <w:tc>
          <w:tcPr>
            <w:tcW w:w="571" w:type="dxa"/>
            <w:tcBorders>
              <w:top w:val="single" w:sz="4" w:space="0" w:color="auto"/>
              <w:left w:val="single" w:sz="4" w:space="0" w:color="auto"/>
              <w:right w:val="single" w:sz="4" w:space="0" w:color="auto"/>
            </w:tcBorders>
            <w:shd w:val="clear" w:color="000000" w:fill="D9D9D9"/>
            <w:noWrap/>
            <w:vAlign w:val="bottom"/>
            <w:hideMark/>
          </w:tcPr>
          <w:p w14:paraId="2D676AF4" w14:textId="7A154472" w:rsidR="00362FC8" w:rsidRPr="0016756C" w:rsidRDefault="00362FC8" w:rsidP="00362FC8">
            <w:pPr>
              <w:rPr>
                <w:rFonts w:eastAsia="Times New Roman" w:cs="Tahoma"/>
                <w:sz w:val="14"/>
                <w:szCs w:val="14"/>
                <w:lang w:eastAsia="en-GB"/>
              </w:rPr>
            </w:pPr>
            <w:r>
              <w:rPr>
                <w:rFonts w:cs="Tahoma"/>
                <w:sz w:val="14"/>
                <w:szCs w:val="14"/>
              </w:rPr>
              <w:t>C</w:t>
            </w:r>
          </w:p>
        </w:tc>
        <w:tc>
          <w:tcPr>
            <w:tcW w:w="571" w:type="dxa"/>
            <w:tcBorders>
              <w:top w:val="single" w:sz="4" w:space="0" w:color="auto"/>
              <w:left w:val="single" w:sz="4" w:space="0" w:color="auto"/>
              <w:right w:val="single" w:sz="4" w:space="0" w:color="auto"/>
            </w:tcBorders>
            <w:shd w:val="clear" w:color="000000" w:fill="D9D9D9"/>
            <w:noWrap/>
            <w:vAlign w:val="bottom"/>
            <w:hideMark/>
          </w:tcPr>
          <w:p w14:paraId="737EF11F" w14:textId="3513CFC9" w:rsidR="00362FC8" w:rsidRPr="0016756C" w:rsidRDefault="00362FC8" w:rsidP="00362FC8">
            <w:pPr>
              <w:rPr>
                <w:rFonts w:eastAsia="Times New Roman" w:cs="Tahoma"/>
                <w:sz w:val="14"/>
                <w:szCs w:val="14"/>
                <w:lang w:eastAsia="en-GB"/>
              </w:rPr>
            </w:pPr>
            <w:r>
              <w:rPr>
                <w:rFonts w:cs="Tahoma"/>
                <w:sz w:val="14"/>
                <w:szCs w:val="14"/>
              </w:rPr>
              <w:t>Y</w:t>
            </w:r>
          </w:p>
        </w:tc>
        <w:tc>
          <w:tcPr>
            <w:tcW w:w="571" w:type="dxa"/>
            <w:tcBorders>
              <w:top w:val="single" w:sz="4" w:space="0" w:color="auto"/>
              <w:left w:val="single" w:sz="4" w:space="0" w:color="auto"/>
              <w:right w:val="single" w:sz="4" w:space="0" w:color="auto"/>
            </w:tcBorders>
            <w:shd w:val="clear" w:color="000000" w:fill="D9D9D9"/>
            <w:noWrap/>
            <w:vAlign w:val="bottom"/>
            <w:hideMark/>
          </w:tcPr>
          <w:p w14:paraId="67F53456" w14:textId="170BD355" w:rsidR="00362FC8" w:rsidRPr="0016756C" w:rsidRDefault="00362FC8" w:rsidP="00362FC8">
            <w:pPr>
              <w:rPr>
                <w:rFonts w:eastAsia="Times New Roman" w:cs="Tahoma"/>
                <w:sz w:val="14"/>
                <w:szCs w:val="14"/>
                <w:lang w:eastAsia="en-GB"/>
              </w:rPr>
            </w:pPr>
            <w:r>
              <w:rPr>
                <w:rFonts w:cs="Tahoma"/>
                <w:sz w:val="14"/>
                <w:szCs w:val="14"/>
              </w:rPr>
              <w:t>Y</w:t>
            </w:r>
          </w:p>
        </w:tc>
        <w:tc>
          <w:tcPr>
            <w:tcW w:w="571" w:type="dxa"/>
            <w:tcBorders>
              <w:top w:val="single" w:sz="4" w:space="0" w:color="auto"/>
              <w:left w:val="single" w:sz="4" w:space="0" w:color="auto"/>
              <w:right w:val="single" w:sz="4" w:space="0" w:color="auto"/>
            </w:tcBorders>
            <w:shd w:val="clear" w:color="000000" w:fill="D9D9D9"/>
            <w:noWrap/>
            <w:vAlign w:val="bottom"/>
            <w:hideMark/>
          </w:tcPr>
          <w:p w14:paraId="44E5ADAB" w14:textId="797AF610" w:rsidR="00362FC8" w:rsidRPr="0016756C" w:rsidRDefault="00362FC8" w:rsidP="00362FC8">
            <w:pPr>
              <w:rPr>
                <w:rFonts w:eastAsia="Times New Roman" w:cs="Tahoma"/>
                <w:sz w:val="14"/>
                <w:szCs w:val="14"/>
                <w:lang w:eastAsia="en-GB"/>
              </w:rPr>
            </w:pPr>
            <w:r>
              <w:rPr>
                <w:rFonts w:cs="Tahoma"/>
                <w:sz w:val="14"/>
                <w:szCs w:val="14"/>
              </w:rPr>
              <w:t>Y</w:t>
            </w:r>
          </w:p>
        </w:tc>
        <w:tc>
          <w:tcPr>
            <w:tcW w:w="571" w:type="dxa"/>
            <w:tcBorders>
              <w:top w:val="single" w:sz="4" w:space="0" w:color="auto"/>
              <w:left w:val="single" w:sz="4" w:space="0" w:color="auto"/>
              <w:right w:val="single" w:sz="4" w:space="0" w:color="auto"/>
            </w:tcBorders>
            <w:shd w:val="clear" w:color="000000" w:fill="D9D9D9"/>
            <w:noWrap/>
            <w:vAlign w:val="bottom"/>
            <w:hideMark/>
          </w:tcPr>
          <w:p w14:paraId="3A445E93" w14:textId="6D656E71" w:rsidR="00362FC8" w:rsidRPr="0016756C" w:rsidRDefault="00362FC8" w:rsidP="00362FC8">
            <w:pPr>
              <w:rPr>
                <w:rFonts w:eastAsia="Times New Roman" w:cs="Tahoma"/>
                <w:sz w:val="14"/>
                <w:szCs w:val="14"/>
                <w:lang w:eastAsia="en-GB"/>
              </w:rPr>
            </w:pPr>
            <w:r>
              <w:rPr>
                <w:rFonts w:cs="Tahoma"/>
                <w:sz w:val="14"/>
                <w:szCs w:val="14"/>
              </w:rPr>
              <w:t>Y</w:t>
            </w:r>
          </w:p>
        </w:tc>
        <w:tc>
          <w:tcPr>
            <w:tcW w:w="1370" w:type="dxa"/>
            <w:tcBorders>
              <w:top w:val="single" w:sz="4" w:space="0" w:color="auto"/>
              <w:left w:val="nil"/>
              <w:right w:val="single" w:sz="4" w:space="0" w:color="auto"/>
            </w:tcBorders>
            <w:shd w:val="clear" w:color="000000" w:fill="D9D9D9"/>
            <w:noWrap/>
            <w:vAlign w:val="bottom"/>
            <w:hideMark/>
          </w:tcPr>
          <w:p w14:paraId="6BED04FE" w14:textId="3A4D79C8" w:rsidR="00362FC8" w:rsidRPr="0016756C" w:rsidRDefault="00362FC8" w:rsidP="00362FC8">
            <w:pPr>
              <w:rPr>
                <w:rFonts w:eastAsia="Times New Roman" w:cs="Tahoma"/>
                <w:sz w:val="14"/>
                <w:szCs w:val="14"/>
                <w:lang w:eastAsia="en-GB"/>
              </w:rPr>
            </w:pPr>
            <w:r>
              <w:rPr>
                <w:rFonts w:cs="Tahoma"/>
                <w:sz w:val="14"/>
                <w:szCs w:val="14"/>
              </w:rPr>
              <w:t>EU-2008</w:t>
            </w:r>
          </w:p>
        </w:tc>
      </w:tr>
      <w:tr w:rsidR="00362FC8" w:rsidRPr="0016756C" w14:paraId="4F9DA4F4" w14:textId="77777777" w:rsidTr="00362FC8">
        <w:trPr>
          <w:trHeight w:val="242"/>
        </w:trPr>
        <w:tc>
          <w:tcPr>
            <w:tcW w:w="1016" w:type="dxa"/>
            <w:tcBorders>
              <w:left w:val="single" w:sz="4" w:space="0" w:color="auto"/>
              <w:bottom w:val="nil"/>
              <w:right w:val="single" w:sz="4" w:space="0" w:color="auto"/>
            </w:tcBorders>
            <w:shd w:val="clear" w:color="auto" w:fill="auto"/>
            <w:noWrap/>
            <w:vAlign w:val="bottom"/>
          </w:tcPr>
          <w:p w14:paraId="424999D5" w14:textId="143CCDBC" w:rsidR="00362FC8" w:rsidRPr="0016756C" w:rsidRDefault="00362FC8" w:rsidP="00362FC8">
            <w:pPr>
              <w:rPr>
                <w:rFonts w:cs="Tahoma"/>
                <w:sz w:val="14"/>
                <w:szCs w:val="14"/>
              </w:rPr>
            </w:pPr>
            <w:r>
              <w:rPr>
                <w:rFonts w:cs="Tahoma"/>
                <w:sz w:val="14"/>
                <w:szCs w:val="14"/>
              </w:rPr>
              <w:t>Belgium</w:t>
            </w:r>
          </w:p>
        </w:tc>
        <w:tc>
          <w:tcPr>
            <w:tcW w:w="2588" w:type="dxa"/>
            <w:tcBorders>
              <w:left w:val="single" w:sz="4" w:space="0" w:color="auto"/>
              <w:bottom w:val="nil"/>
              <w:right w:val="single" w:sz="4" w:space="0" w:color="auto"/>
            </w:tcBorders>
            <w:shd w:val="clear" w:color="auto" w:fill="auto"/>
            <w:noWrap/>
            <w:vAlign w:val="bottom"/>
          </w:tcPr>
          <w:p w14:paraId="1C9F69CE" w14:textId="4680BB17" w:rsidR="00362FC8" w:rsidRPr="0016756C" w:rsidRDefault="00362FC8" w:rsidP="00362FC8">
            <w:pPr>
              <w:rPr>
                <w:rFonts w:cs="Tahoma"/>
                <w:sz w:val="14"/>
                <w:szCs w:val="14"/>
              </w:rPr>
            </w:pPr>
            <w:r>
              <w:rPr>
                <w:rFonts w:cs="Tahoma"/>
                <w:sz w:val="14"/>
                <w:szCs w:val="14"/>
              </w:rPr>
              <w:t>BE-REFLAB</w:t>
            </w:r>
          </w:p>
        </w:tc>
        <w:tc>
          <w:tcPr>
            <w:tcW w:w="571" w:type="dxa"/>
            <w:tcBorders>
              <w:left w:val="single" w:sz="4" w:space="0" w:color="auto"/>
              <w:bottom w:val="nil"/>
              <w:right w:val="single" w:sz="4" w:space="0" w:color="auto"/>
            </w:tcBorders>
            <w:shd w:val="clear" w:color="auto" w:fill="auto"/>
            <w:noWrap/>
            <w:vAlign w:val="bottom"/>
          </w:tcPr>
          <w:p w14:paraId="2AAACD1E" w14:textId="453BC0E8" w:rsidR="00362FC8" w:rsidRPr="0016756C" w:rsidRDefault="00362FC8" w:rsidP="00362FC8">
            <w:pPr>
              <w:rPr>
                <w:rFonts w:cs="Tahoma"/>
                <w:sz w:val="14"/>
                <w:szCs w:val="14"/>
              </w:rPr>
            </w:pPr>
            <w:r>
              <w:rPr>
                <w:rFonts w:cs="Tahoma"/>
                <w:sz w:val="14"/>
                <w:szCs w:val="14"/>
              </w:rPr>
              <w:t>Cp</w:t>
            </w:r>
          </w:p>
        </w:tc>
        <w:tc>
          <w:tcPr>
            <w:tcW w:w="571" w:type="dxa"/>
            <w:tcBorders>
              <w:left w:val="single" w:sz="4" w:space="0" w:color="auto"/>
              <w:bottom w:val="nil"/>
              <w:right w:val="single" w:sz="4" w:space="0" w:color="auto"/>
            </w:tcBorders>
            <w:shd w:val="clear" w:color="auto" w:fill="auto"/>
            <w:noWrap/>
            <w:vAlign w:val="bottom"/>
          </w:tcPr>
          <w:p w14:paraId="758BC419" w14:textId="43CC7055" w:rsidR="00362FC8" w:rsidRPr="0016756C" w:rsidRDefault="00362FC8" w:rsidP="00362FC8">
            <w:pPr>
              <w:rPr>
                <w:rFonts w:cs="Tahoma"/>
                <w:sz w:val="14"/>
                <w:szCs w:val="14"/>
              </w:rPr>
            </w:pPr>
            <w:r>
              <w:rPr>
                <w:rFonts w:cs="Tahoma"/>
                <w:sz w:val="14"/>
                <w:szCs w:val="14"/>
              </w:rPr>
              <w:t>Co</w:t>
            </w:r>
          </w:p>
        </w:tc>
        <w:tc>
          <w:tcPr>
            <w:tcW w:w="571" w:type="dxa"/>
            <w:tcBorders>
              <w:left w:val="single" w:sz="4" w:space="0" w:color="auto"/>
              <w:bottom w:val="nil"/>
              <w:right w:val="single" w:sz="4" w:space="0" w:color="auto"/>
            </w:tcBorders>
            <w:shd w:val="clear" w:color="auto" w:fill="auto"/>
            <w:noWrap/>
            <w:vAlign w:val="bottom"/>
          </w:tcPr>
          <w:p w14:paraId="0DEEE8DF" w14:textId="7A814BCA" w:rsidR="00362FC8" w:rsidRPr="0016756C" w:rsidRDefault="00362FC8" w:rsidP="00362FC8">
            <w:pPr>
              <w:rPr>
                <w:rFonts w:cs="Tahoma"/>
                <w:sz w:val="14"/>
                <w:szCs w:val="14"/>
              </w:rPr>
            </w:pPr>
            <w:r>
              <w:rPr>
                <w:rFonts w:cs="Tahoma"/>
                <w:sz w:val="14"/>
                <w:szCs w:val="14"/>
              </w:rPr>
              <w:t>P</w:t>
            </w:r>
          </w:p>
        </w:tc>
        <w:tc>
          <w:tcPr>
            <w:tcW w:w="571" w:type="dxa"/>
            <w:tcBorders>
              <w:left w:val="single" w:sz="4" w:space="0" w:color="auto"/>
              <w:bottom w:val="nil"/>
              <w:right w:val="single" w:sz="4" w:space="0" w:color="auto"/>
            </w:tcBorders>
            <w:shd w:val="clear" w:color="auto" w:fill="auto"/>
            <w:noWrap/>
            <w:vAlign w:val="bottom"/>
          </w:tcPr>
          <w:p w14:paraId="21687B2B" w14:textId="7B8CA7CF" w:rsidR="00362FC8" w:rsidRPr="0016756C" w:rsidRDefault="00362FC8" w:rsidP="00362FC8">
            <w:pPr>
              <w:rPr>
                <w:rFonts w:cs="Tahoma"/>
                <w:sz w:val="14"/>
                <w:szCs w:val="14"/>
              </w:rPr>
            </w:pPr>
            <w:r>
              <w:rPr>
                <w:rFonts w:cs="Tahoma"/>
                <w:sz w:val="14"/>
                <w:szCs w:val="14"/>
              </w:rPr>
              <w:t>C</w:t>
            </w:r>
          </w:p>
        </w:tc>
        <w:tc>
          <w:tcPr>
            <w:tcW w:w="571" w:type="dxa"/>
            <w:tcBorders>
              <w:left w:val="single" w:sz="4" w:space="0" w:color="auto"/>
              <w:bottom w:val="nil"/>
              <w:right w:val="single" w:sz="4" w:space="0" w:color="auto"/>
            </w:tcBorders>
            <w:shd w:val="clear" w:color="auto" w:fill="auto"/>
            <w:noWrap/>
            <w:vAlign w:val="bottom"/>
          </w:tcPr>
          <w:p w14:paraId="4049F763" w14:textId="74CE8E5F" w:rsidR="00362FC8" w:rsidRPr="0016756C" w:rsidRDefault="00362FC8" w:rsidP="00362FC8">
            <w:pPr>
              <w:rPr>
                <w:rFonts w:cs="Tahoma"/>
                <w:sz w:val="14"/>
                <w:szCs w:val="14"/>
              </w:rPr>
            </w:pPr>
            <w:r>
              <w:rPr>
                <w:rFonts w:cs="Tahoma"/>
                <w:sz w:val="14"/>
                <w:szCs w:val="14"/>
              </w:rPr>
              <w:t>Y</w:t>
            </w:r>
          </w:p>
        </w:tc>
        <w:tc>
          <w:tcPr>
            <w:tcW w:w="571" w:type="dxa"/>
            <w:tcBorders>
              <w:left w:val="single" w:sz="4" w:space="0" w:color="auto"/>
              <w:bottom w:val="nil"/>
              <w:right w:val="single" w:sz="4" w:space="0" w:color="auto"/>
            </w:tcBorders>
            <w:shd w:val="clear" w:color="auto" w:fill="auto"/>
            <w:noWrap/>
            <w:vAlign w:val="bottom"/>
          </w:tcPr>
          <w:p w14:paraId="70A477D7" w14:textId="246EBA06" w:rsidR="00362FC8" w:rsidRPr="0016756C" w:rsidRDefault="00362FC8" w:rsidP="00362FC8">
            <w:pPr>
              <w:rPr>
                <w:rFonts w:cs="Tahoma"/>
                <w:sz w:val="14"/>
                <w:szCs w:val="14"/>
              </w:rPr>
            </w:pPr>
            <w:r>
              <w:rPr>
                <w:rFonts w:cs="Tahoma"/>
                <w:sz w:val="14"/>
                <w:szCs w:val="14"/>
              </w:rPr>
              <w:t>N</w:t>
            </w:r>
          </w:p>
        </w:tc>
        <w:tc>
          <w:tcPr>
            <w:tcW w:w="571" w:type="dxa"/>
            <w:tcBorders>
              <w:left w:val="single" w:sz="4" w:space="0" w:color="auto"/>
              <w:bottom w:val="nil"/>
              <w:right w:val="single" w:sz="4" w:space="0" w:color="auto"/>
            </w:tcBorders>
            <w:shd w:val="clear" w:color="auto" w:fill="auto"/>
            <w:noWrap/>
            <w:vAlign w:val="bottom"/>
          </w:tcPr>
          <w:p w14:paraId="70965C01" w14:textId="1473392E" w:rsidR="00362FC8" w:rsidRPr="0016756C" w:rsidRDefault="00362FC8" w:rsidP="00362FC8">
            <w:pPr>
              <w:rPr>
                <w:rFonts w:cs="Tahoma"/>
                <w:sz w:val="14"/>
                <w:szCs w:val="14"/>
              </w:rPr>
            </w:pPr>
            <w:r>
              <w:rPr>
                <w:rFonts w:cs="Tahoma"/>
                <w:sz w:val="14"/>
                <w:szCs w:val="14"/>
              </w:rPr>
              <w:t>N</w:t>
            </w:r>
          </w:p>
        </w:tc>
        <w:tc>
          <w:tcPr>
            <w:tcW w:w="571" w:type="dxa"/>
            <w:tcBorders>
              <w:left w:val="single" w:sz="4" w:space="0" w:color="auto"/>
              <w:bottom w:val="nil"/>
              <w:right w:val="single" w:sz="4" w:space="0" w:color="auto"/>
            </w:tcBorders>
            <w:shd w:val="clear" w:color="auto" w:fill="auto"/>
            <w:noWrap/>
            <w:vAlign w:val="bottom"/>
          </w:tcPr>
          <w:p w14:paraId="53547797" w14:textId="019F4CFB" w:rsidR="00362FC8" w:rsidRPr="0016756C" w:rsidRDefault="00362FC8" w:rsidP="00362FC8">
            <w:pPr>
              <w:rPr>
                <w:rFonts w:cs="Tahoma"/>
                <w:sz w:val="14"/>
                <w:szCs w:val="14"/>
              </w:rPr>
            </w:pPr>
            <w:r>
              <w:rPr>
                <w:rFonts w:cs="Tahoma"/>
                <w:sz w:val="14"/>
                <w:szCs w:val="14"/>
              </w:rPr>
              <w:t>N</w:t>
            </w:r>
          </w:p>
        </w:tc>
        <w:tc>
          <w:tcPr>
            <w:tcW w:w="1370" w:type="dxa"/>
            <w:tcBorders>
              <w:left w:val="nil"/>
              <w:bottom w:val="nil"/>
              <w:right w:val="single" w:sz="4" w:space="0" w:color="auto"/>
            </w:tcBorders>
            <w:shd w:val="clear" w:color="auto" w:fill="auto"/>
            <w:noWrap/>
            <w:vAlign w:val="bottom"/>
          </w:tcPr>
          <w:p w14:paraId="6A7CC4FA" w14:textId="0BE5E544" w:rsidR="00362FC8" w:rsidRPr="0016756C" w:rsidRDefault="00362FC8" w:rsidP="00362FC8">
            <w:pPr>
              <w:rPr>
                <w:rFonts w:cs="Tahoma"/>
                <w:sz w:val="14"/>
                <w:szCs w:val="14"/>
              </w:rPr>
            </w:pPr>
            <w:r>
              <w:rPr>
                <w:rFonts w:cs="Tahoma"/>
                <w:sz w:val="14"/>
                <w:szCs w:val="14"/>
              </w:rPr>
              <w:t>EU-2018</w:t>
            </w:r>
          </w:p>
        </w:tc>
      </w:tr>
      <w:tr w:rsidR="00362FC8" w:rsidRPr="0016756C" w14:paraId="5B198542" w14:textId="77777777" w:rsidTr="00362FC8">
        <w:trPr>
          <w:trHeight w:val="242"/>
        </w:trPr>
        <w:tc>
          <w:tcPr>
            <w:tcW w:w="1016" w:type="dxa"/>
            <w:tcBorders>
              <w:left w:val="single" w:sz="4" w:space="0" w:color="auto"/>
              <w:bottom w:val="nil"/>
              <w:right w:val="single" w:sz="4" w:space="0" w:color="auto"/>
            </w:tcBorders>
            <w:shd w:val="clear" w:color="auto" w:fill="D9D9D9" w:themeFill="background1" w:themeFillShade="D9"/>
            <w:noWrap/>
            <w:vAlign w:val="bottom"/>
          </w:tcPr>
          <w:p w14:paraId="274A5269" w14:textId="7039D479" w:rsidR="00362FC8" w:rsidRDefault="00362FC8" w:rsidP="00362FC8">
            <w:pPr>
              <w:rPr>
                <w:rFonts w:cs="Tahoma"/>
                <w:sz w:val="14"/>
                <w:szCs w:val="14"/>
              </w:rPr>
            </w:pPr>
            <w:r>
              <w:rPr>
                <w:rFonts w:cs="Tahoma"/>
                <w:sz w:val="14"/>
                <w:szCs w:val="14"/>
              </w:rPr>
              <w:t>Cyprus</w:t>
            </w:r>
          </w:p>
        </w:tc>
        <w:tc>
          <w:tcPr>
            <w:tcW w:w="2588" w:type="dxa"/>
            <w:tcBorders>
              <w:left w:val="single" w:sz="4" w:space="0" w:color="auto"/>
              <w:bottom w:val="nil"/>
              <w:right w:val="single" w:sz="4" w:space="0" w:color="auto"/>
            </w:tcBorders>
            <w:shd w:val="clear" w:color="auto" w:fill="D9D9D9" w:themeFill="background1" w:themeFillShade="D9"/>
            <w:noWrap/>
            <w:vAlign w:val="bottom"/>
          </w:tcPr>
          <w:p w14:paraId="694849F4" w14:textId="75991EF7" w:rsidR="00362FC8" w:rsidRDefault="00362FC8" w:rsidP="00362FC8">
            <w:pPr>
              <w:rPr>
                <w:rFonts w:cs="Tahoma"/>
                <w:sz w:val="14"/>
                <w:szCs w:val="14"/>
              </w:rPr>
            </w:pPr>
            <w:r>
              <w:rPr>
                <w:rFonts w:cs="Tahoma"/>
                <w:sz w:val="14"/>
                <w:szCs w:val="14"/>
              </w:rPr>
              <w:t>CY-NOTIFIED_DISEASES</w:t>
            </w:r>
          </w:p>
        </w:tc>
        <w:tc>
          <w:tcPr>
            <w:tcW w:w="571" w:type="dxa"/>
            <w:tcBorders>
              <w:left w:val="single" w:sz="4" w:space="0" w:color="auto"/>
              <w:bottom w:val="nil"/>
              <w:right w:val="single" w:sz="4" w:space="0" w:color="auto"/>
            </w:tcBorders>
            <w:shd w:val="clear" w:color="auto" w:fill="D9D9D9" w:themeFill="background1" w:themeFillShade="D9"/>
            <w:noWrap/>
            <w:vAlign w:val="bottom"/>
          </w:tcPr>
          <w:p w14:paraId="1549FE3E" w14:textId="0E45D10F" w:rsidR="00362FC8" w:rsidRDefault="00362FC8" w:rsidP="00362FC8">
            <w:pPr>
              <w:rPr>
                <w:rFonts w:cs="Tahoma"/>
                <w:sz w:val="14"/>
                <w:szCs w:val="14"/>
              </w:rPr>
            </w:pPr>
            <w:r>
              <w:rPr>
                <w:rFonts w:cs="Tahoma"/>
                <w:sz w:val="14"/>
                <w:szCs w:val="14"/>
              </w:rPr>
              <w:t>Cp</w:t>
            </w:r>
          </w:p>
        </w:tc>
        <w:tc>
          <w:tcPr>
            <w:tcW w:w="571" w:type="dxa"/>
            <w:tcBorders>
              <w:left w:val="single" w:sz="4" w:space="0" w:color="auto"/>
              <w:bottom w:val="nil"/>
              <w:right w:val="single" w:sz="4" w:space="0" w:color="auto"/>
            </w:tcBorders>
            <w:shd w:val="clear" w:color="auto" w:fill="D9D9D9" w:themeFill="background1" w:themeFillShade="D9"/>
            <w:noWrap/>
            <w:vAlign w:val="bottom"/>
          </w:tcPr>
          <w:p w14:paraId="52AB59E1" w14:textId="2771F282" w:rsidR="00362FC8" w:rsidRDefault="00362FC8" w:rsidP="00362FC8">
            <w:pPr>
              <w:rPr>
                <w:rFonts w:cs="Tahoma"/>
                <w:sz w:val="14"/>
                <w:szCs w:val="14"/>
              </w:rPr>
            </w:pPr>
            <w:r>
              <w:rPr>
                <w:rFonts w:cs="Tahoma"/>
                <w:sz w:val="14"/>
                <w:szCs w:val="14"/>
              </w:rPr>
              <w:t>Co</w:t>
            </w:r>
          </w:p>
        </w:tc>
        <w:tc>
          <w:tcPr>
            <w:tcW w:w="571" w:type="dxa"/>
            <w:tcBorders>
              <w:left w:val="single" w:sz="4" w:space="0" w:color="auto"/>
              <w:bottom w:val="nil"/>
              <w:right w:val="single" w:sz="4" w:space="0" w:color="auto"/>
            </w:tcBorders>
            <w:shd w:val="clear" w:color="auto" w:fill="D9D9D9" w:themeFill="background1" w:themeFillShade="D9"/>
            <w:noWrap/>
            <w:vAlign w:val="bottom"/>
          </w:tcPr>
          <w:p w14:paraId="12A3DFE9" w14:textId="597138B2" w:rsidR="00362FC8" w:rsidRDefault="00362FC8" w:rsidP="00362FC8">
            <w:pPr>
              <w:rPr>
                <w:rFonts w:cs="Tahoma"/>
                <w:sz w:val="14"/>
                <w:szCs w:val="14"/>
              </w:rPr>
            </w:pPr>
            <w:r>
              <w:rPr>
                <w:rFonts w:cs="Tahoma"/>
                <w:sz w:val="14"/>
                <w:szCs w:val="14"/>
              </w:rPr>
              <w:t>P</w:t>
            </w:r>
          </w:p>
        </w:tc>
        <w:tc>
          <w:tcPr>
            <w:tcW w:w="571" w:type="dxa"/>
            <w:tcBorders>
              <w:left w:val="single" w:sz="4" w:space="0" w:color="auto"/>
              <w:bottom w:val="nil"/>
              <w:right w:val="single" w:sz="4" w:space="0" w:color="auto"/>
            </w:tcBorders>
            <w:shd w:val="clear" w:color="auto" w:fill="D9D9D9" w:themeFill="background1" w:themeFillShade="D9"/>
            <w:noWrap/>
            <w:vAlign w:val="bottom"/>
          </w:tcPr>
          <w:p w14:paraId="33D1B8F3" w14:textId="6798EBD7" w:rsidR="00362FC8" w:rsidRDefault="00362FC8" w:rsidP="00362FC8">
            <w:pPr>
              <w:rPr>
                <w:rFonts w:cs="Tahoma"/>
                <w:sz w:val="14"/>
                <w:szCs w:val="14"/>
              </w:rPr>
            </w:pPr>
            <w:r>
              <w:rPr>
                <w:rFonts w:cs="Tahoma"/>
                <w:sz w:val="14"/>
                <w:szCs w:val="14"/>
              </w:rPr>
              <w:t>C</w:t>
            </w:r>
          </w:p>
        </w:tc>
        <w:tc>
          <w:tcPr>
            <w:tcW w:w="571" w:type="dxa"/>
            <w:tcBorders>
              <w:left w:val="single" w:sz="4" w:space="0" w:color="auto"/>
              <w:bottom w:val="nil"/>
              <w:right w:val="single" w:sz="4" w:space="0" w:color="auto"/>
            </w:tcBorders>
            <w:shd w:val="clear" w:color="auto" w:fill="D9D9D9" w:themeFill="background1" w:themeFillShade="D9"/>
            <w:noWrap/>
            <w:vAlign w:val="bottom"/>
          </w:tcPr>
          <w:p w14:paraId="0FB10AD0" w14:textId="709C7583" w:rsidR="00362FC8" w:rsidRDefault="00362FC8" w:rsidP="00362FC8">
            <w:pPr>
              <w:rPr>
                <w:rFonts w:cs="Tahoma"/>
                <w:sz w:val="14"/>
                <w:szCs w:val="14"/>
              </w:rPr>
            </w:pPr>
            <w:r>
              <w:rPr>
                <w:rFonts w:cs="Tahoma"/>
                <w:sz w:val="14"/>
                <w:szCs w:val="14"/>
              </w:rPr>
              <w:t>N</w:t>
            </w:r>
          </w:p>
        </w:tc>
        <w:tc>
          <w:tcPr>
            <w:tcW w:w="571" w:type="dxa"/>
            <w:tcBorders>
              <w:left w:val="single" w:sz="4" w:space="0" w:color="auto"/>
              <w:bottom w:val="nil"/>
              <w:right w:val="single" w:sz="4" w:space="0" w:color="auto"/>
            </w:tcBorders>
            <w:shd w:val="clear" w:color="auto" w:fill="D9D9D9" w:themeFill="background1" w:themeFillShade="D9"/>
            <w:noWrap/>
            <w:vAlign w:val="bottom"/>
          </w:tcPr>
          <w:p w14:paraId="15F87A73" w14:textId="3D551DB3" w:rsidR="00362FC8" w:rsidRDefault="00362FC8" w:rsidP="00362FC8">
            <w:pPr>
              <w:rPr>
                <w:rFonts w:cs="Tahoma"/>
                <w:sz w:val="14"/>
                <w:szCs w:val="14"/>
              </w:rPr>
            </w:pPr>
            <w:r>
              <w:rPr>
                <w:rFonts w:cs="Tahoma"/>
                <w:sz w:val="14"/>
                <w:szCs w:val="14"/>
              </w:rPr>
              <w:t>Y</w:t>
            </w:r>
          </w:p>
        </w:tc>
        <w:tc>
          <w:tcPr>
            <w:tcW w:w="571" w:type="dxa"/>
            <w:tcBorders>
              <w:left w:val="single" w:sz="4" w:space="0" w:color="auto"/>
              <w:bottom w:val="nil"/>
              <w:right w:val="single" w:sz="4" w:space="0" w:color="auto"/>
            </w:tcBorders>
            <w:shd w:val="clear" w:color="auto" w:fill="D9D9D9" w:themeFill="background1" w:themeFillShade="D9"/>
            <w:noWrap/>
            <w:vAlign w:val="bottom"/>
          </w:tcPr>
          <w:p w14:paraId="787E39AF" w14:textId="0561204A" w:rsidR="00362FC8" w:rsidRDefault="00362FC8" w:rsidP="00362FC8">
            <w:pPr>
              <w:rPr>
                <w:rFonts w:cs="Tahoma"/>
                <w:sz w:val="14"/>
                <w:szCs w:val="14"/>
              </w:rPr>
            </w:pPr>
            <w:r>
              <w:rPr>
                <w:rFonts w:cs="Tahoma"/>
                <w:sz w:val="14"/>
                <w:szCs w:val="14"/>
              </w:rPr>
              <w:t>N</w:t>
            </w:r>
          </w:p>
        </w:tc>
        <w:tc>
          <w:tcPr>
            <w:tcW w:w="571" w:type="dxa"/>
            <w:tcBorders>
              <w:left w:val="single" w:sz="4" w:space="0" w:color="auto"/>
              <w:bottom w:val="nil"/>
              <w:right w:val="single" w:sz="4" w:space="0" w:color="auto"/>
            </w:tcBorders>
            <w:shd w:val="clear" w:color="auto" w:fill="D9D9D9" w:themeFill="background1" w:themeFillShade="D9"/>
            <w:noWrap/>
            <w:vAlign w:val="bottom"/>
          </w:tcPr>
          <w:p w14:paraId="1D77D959" w14:textId="7A207C90" w:rsidR="00362FC8" w:rsidRDefault="00362FC8" w:rsidP="00362FC8">
            <w:pPr>
              <w:rPr>
                <w:rFonts w:cs="Tahoma"/>
                <w:sz w:val="14"/>
                <w:szCs w:val="14"/>
              </w:rPr>
            </w:pPr>
            <w:r>
              <w:rPr>
                <w:rFonts w:cs="Tahoma"/>
                <w:sz w:val="14"/>
                <w:szCs w:val="14"/>
              </w:rPr>
              <w:t>N</w:t>
            </w:r>
          </w:p>
        </w:tc>
        <w:tc>
          <w:tcPr>
            <w:tcW w:w="1370" w:type="dxa"/>
            <w:tcBorders>
              <w:left w:val="nil"/>
              <w:bottom w:val="nil"/>
              <w:right w:val="single" w:sz="4" w:space="0" w:color="auto"/>
            </w:tcBorders>
            <w:shd w:val="clear" w:color="auto" w:fill="D9D9D9" w:themeFill="background1" w:themeFillShade="D9"/>
            <w:noWrap/>
            <w:vAlign w:val="bottom"/>
          </w:tcPr>
          <w:p w14:paraId="19D9FF08" w14:textId="4B579DAB" w:rsidR="00362FC8" w:rsidRDefault="00362FC8" w:rsidP="00362FC8">
            <w:pPr>
              <w:rPr>
                <w:rFonts w:cs="Tahoma"/>
                <w:sz w:val="14"/>
                <w:szCs w:val="14"/>
              </w:rPr>
            </w:pPr>
            <w:r>
              <w:rPr>
                <w:rFonts w:cs="Tahoma"/>
                <w:sz w:val="14"/>
                <w:szCs w:val="14"/>
              </w:rPr>
              <w:t>EU-2008</w:t>
            </w:r>
          </w:p>
        </w:tc>
      </w:tr>
      <w:tr w:rsidR="00362FC8" w:rsidRPr="0016756C" w14:paraId="51825DA8" w14:textId="77777777" w:rsidTr="00362FC8">
        <w:trPr>
          <w:trHeight w:val="242"/>
        </w:trPr>
        <w:tc>
          <w:tcPr>
            <w:tcW w:w="1016" w:type="dxa"/>
            <w:tcBorders>
              <w:top w:val="nil"/>
              <w:left w:val="single" w:sz="4" w:space="0" w:color="auto"/>
              <w:bottom w:val="nil"/>
              <w:right w:val="single" w:sz="4" w:space="0" w:color="auto"/>
            </w:tcBorders>
            <w:shd w:val="clear" w:color="auto" w:fill="auto"/>
            <w:noWrap/>
            <w:vAlign w:val="bottom"/>
            <w:hideMark/>
          </w:tcPr>
          <w:p w14:paraId="1F234D7E" w14:textId="61DB5C41" w:rsidR="00362FC8" w:rsidRPr="0016756C" w:rsidRDefault="00362FC8" w:rsidP="00362FC8">
            <w:pPr>
              <w:rPr>
                <w:rFonts w:eastAsia="Times New Roman" w:cs="Tahoma"/>
                <w:sz w:val="14"/>
                <w:szCs w:val="14"/>
                <w:lang w:eastAsia="en-GB"/>
              </w:rPr>
            </w:pPr>
            <w:r>
              <w:rPr>
                <w:rFonts w:cs="Tahoma"/>
                <w:sz w:val="14"/>
                <w:szCs w:val="14"/>
              </w:rPr>
              <w:t>Estonia</w:t>
            </w:r>
          </w:p>
        </w:tc>
        <w:tc>
          <w:tcPr>
            <w:tcW w:w="2588" w:type="dxa"/>
            <w:tcBorders>
              <w:top w:val="nil"/>
              <w:left w:val="nil"/>
              <w:bottom w:val="nil"/>
              <w:right w:val="single" w:sz="4" w:space="0" w:color="auto"/>
            </w:tcBorders>
            <w:shd w:val="clear" w:color="auto" w:fill="auto"/>
            <w:noWrap/>
            <w:vAlign w:val="bottom"/>
            <w:hideMark/>
          </w:tcPr>
          <w:p w14:paraId="2860A853" w14:textId="3DDDB186" w:rsidR="00362FC8" w:rsidRPr="0016756C" w:rsidRDefault="00362FC8" w:rsidP="00362FC8">
            <w:pPr>
              <w:rPr>
                <w:rFonts w:eastAsia="Times New Roman" w:cs="Tahoma"/>
                <w:sz w:val="14"/>
                <w:szCs w:val="14"/>
                <w:lang w:eastAsia="en-GB"/>
              </w:rPr>
            </w:pPr>
            <w:r>
              <w:rPr>
                <w:rFonts w:cs="Tahoma"/>
                <w:sz w:val="14"/>
                <w:szCs w:val="14"/>
              </w:rPr>
              <w:t>EE-NAKIS</w:t>
            </w:r>
          </w:p>
        </w:tc>
        <w:tc>
          <w:tcPr>
            <w:tcW w:w="571" w:type="dxa"/>
            <w:tcBorders>
              <w:top w:val="nil"/>
              <w:left w:val="nil"/>
              <w:bottom w:val="nil"/>
              <w:right w:val="single" w:sz="4" w:space="0" w:color="auto"/>
            </w:tcBorders>
            <w:shd w:val="clear" w:color="auto" w:fill="auto"/>
            <w:noWrap/>
            <w:vAlign w:val="bottom"/>
            <w:hideMark/>
          </w:tcPr>
          <w:p w14:paraId="1F2651EB" w14:textId="23B5B6B1" w:rsidR="00362FC8" w:rsidRPr="0016756C" w:rsidRDefault="00362FC8" w:rsidP="00362FC8">
            <w:pPr>
              <w:rPr>
                <w:rFonts w:eastAsia="Times New Roman" w:cs="Tahoma"/>
                <w:sz w:val="14"/>
                <w:szCs w:val="14"/>
                <w:lang w:eastAsia="en-GB"/>
              </w:rPr>
            </w:pPr>
            <w:r>
              <w:rPr>
                <w:rFonts w:cs="Tahoma"/>
                <w:sz w:val="14"/>
                <w:szCs w:val="14"/>
              </w:rPr>
              <w:t>Cp</w:t>
            </w:r>
          </w:p>
        </w:tc>
        <w:tc>
          <w:tcPr>
            <w:tcW w:w="571" w:type="dxa"/>
            <w:tcBorders>
              <w:top w:val="nil"/>
              <w:left w:val="nil"/>
              <w:bottom w:val="nil"/>
              <w:right w:val="single" w:sz="4" w:space="0" w:color="auto"/>
            </w:tcBorders>
            <w:shd w:val="clear" w:color="auto" w:fill="auto"/>
            <w:noWrap/>
            <w:vAlign w:val="bottom"/>
            <w:hideMark/>
          </w:tcPr>
          <w:p w14:paraId="1C216F14" w14:textId="4B7BFED2" w:rsidR="00362FC8" w:rsidRPr="0016756C" w:rsidRDefault="00362FC8" w:rsidP="00362FC8">
            <w:pPr>
              <w:rPr>
                <w:rFonts w:eastAsia="Times New Roman" w:cs="Tahoma"/>
                <w:sz w:val="14"/>
                <w:szCs w:val="14"/>
                <w:lang w:eastAsia="en-GB"/>
              </w:rPr>
            </w:pPr>
            <w:r>
              <w:rPr>
                <w:rFonts w:cs="Tahoma"/>
                <w:sz w:val="14"/>
                <w:szCs w:val="14"/>
              </w:rPr>
              <w:t>Co</w:t>
            </w:r>
          </w:p>
        </w:tc>
        <w:tc>
          <w:tcPr>
            <w:tcW w:w="571" w:type="dxa"/>
            <w:tcBorders>
              <w:top w:val="nil"/>
              <w:left w:val="nil"/>
              <w:bottom w:val="nil"/>
              <w:right w:val="single" w:sz="4" w:space="0" w:color="auto"/>
            </w:tcBorders>
            <w:shd w:val="clear" w:color="auto" w:fill="auto"/>
            <w:noWrap/>
            <w:vAlign w:val="bottom"/>
            <w:hideMark/>
          </w:tcPr>
          <w:p w14:paraId="49AF096A" w14:textId="5D88CF0F" w:rsidR="00362FC8" w:rsidRPr="0016756C" w:rsidRDefault="00362FC8" w:rsidP="00362FC8">
            <w:pPr>
              <w:rPr>
                <w:rFonts w:eastAsia="Times New Roman" w:cs="Tahoma"/>
                <w:sz w:val="14"/>
                <w:szCs w:val="14"/>
                <w:lang w:eastAsia="en-GB"/>
              </w:rPr>
            </w:pPr>
            <w:r>
              <w:rPr>
                <w:rFonts w:cs="Tahoma"/>
                <w:sz w:val="14"/>
                <w:szCs w:val="14"/>
              </w:rPr>
              <w:t>P</w:t>
            </w:r>
          </w:p>
        </w:tc>
        <w:tc>
          <w:tcPr>
            <w:tcW w:w="571" w:type="dxa"/>
            <w:tcBorders>
              <w:top w:val="nil"/>
              <w:left w:val="nil"/>
              <w:bottom w:val="nil"/>
              <w:right w:val="single" w:sz="4" w:space="0" w:color="auto"/>
            </w:tcBorders>
            <w:shd w:val="clear" w:color="auto" w:fill="auto"/>
            <w:noWrap/>
            <w:vAlign w:val="bottom"/>
            <w:hideMark/>
          </w:tcPr>
          <w:p w14:paraId="5B08F55B" w14:textId="101CFDD5" w:rsidR="00362FC8" w:rsidRPr="0016756C" w:rsidRDefault="00362FC8" w:rsidP="00362FC8">
            <w:pPr>
              <w:rPr>
                <w:rFonts w:eastAsia="Times New Roman" w:cs="Tahoma"/>
                <w:sz w:val="14"/>
                <w:szCs w:val="14"/>
                <w:lang w:eastAsia="en-GB"/>
              </w:rPr>
            </w:pPr>
            <w:r>
              <w:rPr>
                <w:rFonts w:cs="Tahoma"/>
                <w:sz w:val="14"/>
                <w:szCs w:val="14"/>
              </w:rPr>
              <w:t>C</w:t>
            </w:r>
          </w:p>
        </w:tc>
        <w:tc>
          <w:tcPr>
            <w:tcW w:w="571" w:type="dxa"/>
            <w:tcBorders>
              <w:top w:val="nil"/>
              <w:left w:val="nil"/>
              <w:bottom w:val="nil"/>
              <w:right w:val="single" w:sz="4" w:space="0" w:color="auto"/>
            </w:tcBorders>
            <w:shd w:val="clear" w:color="auto" w:fill="auto"/>
            <w:noWrap/>
            <w:vAlign w:val="bottom"/>
            <w:hideMark/>
          </w:tcPr>
          <w:p w14:paraId="01B999B3" w14:textId="6CB2D396" w:rsidR="00362FC8" w:rsidRPr="0016756C" w:rsidRDefault="00362FC8" w:rsidP="00362FC8">
            <w:pPr>
              <w:rPr>
                <w:rFonts w:eastAsia="Times New Roman" w:cs="Tahoma"/>
                <w:sz w:val="14"/>
                <w:szCs w:val="14"/>
                <w:lang w:eastAsia="en-GB"/>
              </w:rPr>
            </w:pPr>
            <w:r>
              <w:rPr>
                <w:rFonts w:cs="Tahoma"/>
                <w:sz w:val="14"/>
                <w:szCs w:val="14"/>
              </w:rPr>
              <w:t>Y</w:t>
            </w:r>
          </w:p>
        </w:tc>
        <w:tc>
          <w:tcPr>
            <w:tcW w:w="571" w:type="dxa"/>
            <w:tcBorders>
              <w:top w:val="nil"/>
              <w:left w:val="nil"/>
              <w:bottom w:val="nil"/>
              <w:right w:val="single" w:sz="4" w:space="0" w:color="auto"/>
            </w:tcBorders>
            <w:shd w:val="clear" w:color="auto" w:fill="auto"/>
            <w:noWrap/>
            <w:vAlign w:val="bottom"/>
            <w:hideMark/>
          </w:tcPr>
          <w:p w14:paraId="484A223F" w14:textId="058684BA" w:rsidR="00362FC8" w:rsidRPr="0016756C" w:rsidRDefault="00362FC8" w:rsidP="00362FC8">
            <w:pPr>
              <w:rPr>
                <w:rFonts w:eastAsia="Times New Roman" w:cs="Tahoma"/>
                <w:sz w:val="14"/>
                <w:szCs w:val="14"/>
                <w:lang w:eastAsia="en-GB"/>
              </w:rPr>
            </w:pPr>
            <w:r>
              <w:rPr>
                <w:rFonts w:cs="Tahoma"/>
                <w:sz w:val="14"/>
                <w:szCs w:val="14"/>
              </w:rPr>
              <w:t>Y</w:t>
            </w:r>
          </w:p>
        </w:tc>
        <w:tc>
          <w:tcPr>
            <w:tcW w:w="571" w:type="dxa"/>
            <w:tcBorders>
              <w:top w:val="nil"/>
              <w:left w:val="nil"/>
              <w:bottom w:val="nil"/>
              <w:right w:val="single" w:sz="4" w:space="0" w:color="auto"/>
            </w:tcBorders>
            <w:shd w:val="clear" w:color="auto" w:fill="auto"/>
            <w:noWrap/>
            <w:vAlign w:val="bottom"/>
            <w:hideMark/>
          </w:tcPr>
          <w:p w14:paraId="5F10A9E6" w14:textId="2022CF5F" w:rsidR="00362FC8" w:rsidRPr="0016756C" w:rsidRDefault="00362FC8" w:rsidP="00362FC8">
            <w:pPr>
              <w:rPr>
                <w:rFonts w:eastAsia="Times New Roman" w:cs="Tahoma"/>
                <w:sz w:val="14"/>
                <w:szCs w:val="14"/>
                <w:lang w:eastAsia="en-GB"/>
              </w:rPr>
            </w:pPr>
            <w:r>
              <w:rPr>
                <w:rFonts w:cs="Tahoma"/>
                <w:sz w:val="14"/>
                <w:szCs w:val="14"/>
              </w:rPr>
              <w:t>Y</w:t>
            </w:r>
          </w:p>
        </w:tc>
        <w:tc>
          <w:tcPr>
            <w:tcW w:w="571" w:type="dxa"/>
            <w:tcBorders>
              <w:top w:val="nil"/>
              <w:left w:val="nil"/>
              <w:bottom w:val="nil"/>
              <w:right w:val="single" w:sz="4" w:space="0" w:color="auto"/>
            </w:tcBorders>
            <w:shd w:val="clear" w:color="auto" w:fill="auto"/>
            <w:noWrap/>
            <w:vAlign w:val="bottom"/>
            <w:hideMark/>
          </w:tcPr>
          <w:p w14:paraId="1D52B353" w14:textId="540FE4E6" w:rsidR="00362FC8" w:rsidRPr="0016756C" w:rsidRDefault="00362FC8" w:rsidP="00362FC8">
            <w:pPr>
              <w:rPr>
                <w:rFonts w:eastAsia="Times New Roman" w:cs="Tahoma"/>
                <w:sz w:val="14"/>
                <w:szCs w:val="14"/>
                <w:lang w:eastAsia="en-GB"/>
              </w:rPr>
            </w:pPr>
            <w:r>
              <w:rPr>
                <w:rFonts w:cs="Tahoma"/>
                <w:sz w:val="14"/>
                <w:szCs w:val="14"/>
              </w:rPr>
              <w:t>N</w:t>
            </w:r>
          </w:p>
        </w:tc>
        <w:tc>
          <w:tcPr>
            <w:tcW w:w="1370" w:type="dxa"/>
            <w:tcBorders>
              <w:top w:val="nil"/>
              <w:left w:val="nil"/>
              <w:bottom w:val="nil"/>
              <w:right w:val="single" w:sz="4" w:space="0" w:color="auto"/>
            </w:tcBorders>
            <w:shd w:val="clear" w:color="auto" w:fill="auto"/>
            <w:noWrap/>
            <w:vAlign w:val="bottom"/>
            <w:hideMark/>
          </w:tcPr>
          <w:p w14:paraId="08B637AB" w14:textId="59E3DC91" w:rsidR="00362FC8" w:rsidRPr="0016756C" w:rsidRDefault="00362FC8" w:rsidP="00362FC8">
            <w:pPr>
              <w:rPr>
                <w:rFonts w:eastAsia="Times New Roman" w:cs="Tahoma"/>
                <w:sz w:val="14"/>
                <w:szCs w:val="14"/>
                <w:lang w:eastAsia="en-GB"/>
              </w:rPr>
            </w:pPr>
            <w:r>
              <w:rPr>
                <w:rFonts w:cs="Tahoma"/>
                <w:sz w:val="14"/>
                <w:szCs w:val="14"/>
              </w:rPr>
              <w:t>EU-2018</w:t>
            </w:r>
          </w:p>
        </w:tc>
      </w:tr>
      <w:tr w:rsidR="00362FC8" w:rsidRPr="0016756C" w14:paraId="67C00F64" w14:textId="77777777" w:rsidTr="00362FC8">
        <w:trPr>
          <w:trHeight w:val="242"/>
        </w:trPr>
        <w:tc>
          <w:tcPr>
            <w:tcW w:w="1016" w:type="dxa"/>
            <w:tcBorders>
              <w:top w:val="nil"/>
              <w:left w:val="single" w:sz="4" w:space="0" w:color="auto"/>
              <w:right w:val="single" w:sz="4" w:space="0" w:color="auto"/>
            </w:tcBorders>
            <w:shd w:val="clear" w:color="auto" w:fill="D9D9D9" w:themeFill="background1" w:themeFillShade="D9"/>
            <w:noWrap/>
            <w:vAlign w:val="bottom"/>
            <w:hideMark/>
          </w:tcPr>
          <w:p w14:paraId="55D79BF6" w14:textId="5B8AAA4B" w:rsidR="00362FC8" w:rsidRPr="0016756C" w:rsidRDefault="00362FC8" w:rsidP="00362FC8">
            <w:pPr>
              <w:rPr>
                <w:rFonts w:eastAsia="Times New Roman" w:cs="Tahoma"/>
                <w:sz w:val="14"/>
                <w:szCs w:val="14"/>
                <w:lang w:eastAsia="en-GB"/>
              </w:rPr>
            </w:pPr>
            <w:r>
              <w:rPr>
                <w:rFonts w:cs="Tahoma"/>
                <w:sz w:val="14"/>
                <w:szCs w:val="14"/>
              </w:rPr>
              <w:t>France</w:t>
            </w:r>
          </w:p>
        </w:tc>
        <w:tc>
          <w:tcPr>
            <w:tcW w:w="2588" w:type="dxa"/>
            <w:tcBorders>
              <w:top w:val="nil"/>
              <w:left w:val="nil"/>
              <w:right w:val="single" w:sz="4" w:space="0" w:color="auto"/>
            </w:tcBorders>
            <w:shd w:val="clear" w:color="auto" w:fill="D9D9D9" w:themeFill="background1" w:themeFillShade="D9"/>
            <w:noWrap/>
            <w:vAlign w:val="bottom"/>
            <w:hideMark/>
          </w:tcPr>
          <w:p w14:paraId="4B871C62" w14:textId="1D8A5C6C" w:rsidR="00362FC8" w:rsidRPr="0016756C" w:rsidRDefault="00362FC8" w:rsidP="00362FC8">
            <w:pPr>
              <w:rPr>
                <w:rFonts w:eastAsia="Times New Roman" w:cs="Tahoma"/>
                <w:sz w:val="14"/>
                <w:szCs w:val="14"/>
                <w:lang w:eastAsia="en-GB"/>
              </w:rPr>
            </w:pPr>
            <w:r>
              <w:rPr>
                <w:rFonts w:cs="Tahoma"/>
                <w:sz w:val="14"/>
                <w:szCs w:val="14"/>
              </w:rPr>
              <w:t>FR-MANDATORY_INFECTIOUS_DISEASES</w:t>
            </w:r>
          </w:p>
        </w:tc>
        <w:tc>
          <w:tcPr>
            <w:tcW w:w="571" w:type="dxa"/>
            <w:tcBorders>
              <w:top w:val="nil"/>
              <w:left w:val="nil"/>
              <w:right w:val="single" w:sz="4" w:space="0" w:color="auto"/>
            </w:tcBorders>
            <w:shd w:val="clear" w:color="auto" w:fill="D9D9D9" w:themeFill="background1" w:themeFillShade="D9"/>
            <w:noWrap/>
            <w:vAlign w:val="bottom"/>
            <w:hideMark/>
          </w:tcPr>
          <w:p w14:paraId="1958CAA6" w14:textId="3CB74BA6" w:rsidR="00362FC8" w:rsidRPr="0016756C" w:rsidRDefault="00362FC8" w:rsidP="00362FC8">
            <w:pPr>
              <w:rPr>
                <w:rFonts w:eastAsia="Times New Roman" w:cs="Tahoma"/>
                <w:sz w:val="14"/>
                <w:szCs w:val="14"/>
                <w:lang w:eastAsia="en-GB"/>
              </w:rPr>
            </w:pPr>
            <w:r>
              <w:rPr>
                <w:rFonts w:cs="Tahoma"/>
                <w:sz w:val="14"/>
                <w:szCs w:val="14"/>
              </w:rPr>
              <w:t>Cp</w:t>
            </w:r>
          </w:p>
        </w:tc>
        <w:tc>
          <w:tcPr>
            <w:tcW w:w="571" w:type="dxa"/>
            <w:tcBorders>
              <w:top w:val="nil"/>
              <w:left w:val="nil"/>
              <w:right w:val="single" w:sz="4" w:space="0" w:color="auto"/>
            </w:tcBorders>
            <w:shd w:val="clear" w:color="auto" w:fill="D9D9D9" w:themeFill="background1" w:themeFillShade="D9"/>
            <w:noWrap/>
            <w:vAlign w:val="bottom"/>
            <w:hideMark/>
          </w:tcPr>
          <w:p w14:paraId="7E62FD1F" w14:textId="0289AAB0" w:rsidR="00362FC8" w:rsidRPr="0016756C" w:rsidRDefault="00362FC8" w:rsidP="00362FC8">
            <w:pPr>
              <w:rPr>
                <w:rFonts w:eastAsia="Times New Roman" w:cs="Tahoma"/>
                <w:sz w:val="14"/>
                <w:szCs w:val="14"/>
                <w:lang w:eastAsia="en-GB"/>
              </w:rPr>
            </w:pPr>
            <w:r>
              <w:rPr>
                <w:rFonts w:cs="Tahoma"/>
                <w:sz w:val="14"/>
                <w:szCs w:val="14"/>
              </w:rPr>
              <w:t>Co</w:t>
            </w:r>
          </w:p>
        </w:tc>
        <w:tc>
          <w:tcPr>
            <w:tcW w:w="571" w:type="dxa"/>
            <w:tcBorders>
              <w:top w:val="nil"/>
              <w:left w:val="nil"/>
              <w:right w:val="single" w:sz="4" w:space="0" w:color="auto"/>
            </w:tcBorders>
            <w:shd w:val="clear" w:color="auto" w:fill="D9D9D9" w:themeFill="background1" w:themeFillShade="D9"/>
            <w:noWrap/>
            <w:vAlign w:val="bottom"/>
            <w:hideMark/>
          </w:tcPr>
          <w:p w14:paraId="36957EA8" w14:textId="3E037ACD" w:rsidR="00362FC8" w:rsidRPr="0016756C" w:rsidRDefault="00362FC8" w:rsidP="00362FC8">
            <w:pPr>
              <w:rPr>
                <w:rFonts w:eastAsia="Times New Roman" w:cs="Tahoma"/>
                <w:sz w:val="14"/>
                <w:szCs w:val="14"/>
                <w:lang w:eastAsia="en-GB"/>
              </w:rPr>
            </w:pPr>
            <w:r>
              <w:rPr>
                <w:rFonts w:cs="Tahoma"/>
                <w:sz w:val="14"/>
                <w:szCs w:val="14"/>
              </w:rPr>
              <w:t>P</w:t>
            </w:r>
          </w:p>
        </w:tc>
        <w:tc>
          <w:tcPr>
            <w:tcW w:w="571" w:type="dxa"/>
            <w:tcBorders>
              <w:top w:val="nil"/>
              <w:left w:val="nil"/>
              <w:right w:val="single" w:sz="4" w:space="0" w:color="auto"/>
            </w:tcBorders>
            <w:shd w:val="clear" w:color="auto" w:fill="D9D9D9" w:themeFill="background1" w:themeFillShade="D9"/>
            <w:noWrap/>
            <w:vAlign w:val="bottom"/>
            <w:hideMark/>
          </w:tcPr>
          <w:p w14:paraId="2028B831" w14:textId="37887834" w:rsidR="00362FC8" w:rsidRPr="0016756C" w:rsidRDefault="00362FC8" w:rsidP="00362FC8">
            <w:pPr>
              <w:rPr>
                <w:rFonts w:eastAsia="Times New Roman" w:cs="Tahoma"/>
                <w:sz w:val="14"/>
                <w:szCs w:val="14"/>
                <w:lang w:eastAsia="en-GB"/>
              </w:rPr>
            </w:pPr>
            <w:r>
              <w:rPr>
                <w:rFonts w:cs="Tahoma"/>
                <w:sz w:val="14"/>
                <w:szCs w:val="14"/>
              </w:rPr>
              <w:t>C</w:t>
            </w:r>
          </w:p>
        </w:tc>
        <w:tc>
          <w:tcPr>
            <w:tcW w:w="571" w:type="dxa"/>
            <w:tcBorders>
              <w:top w:val="nil"/>
              <w:left w:val="nil"/>
              <w:right w:val="single" w:sz="4" w:space="0" w:color="auto"/>
            </w:tcBorders>
            <w:shd w:val="clear" w:color="auto" w:fill="D9D9D9" w:themeFill="background1" w:themeFillShade="D9"/>
            <w:noWrap/>
            <w:vAlign w:val="bottom"/>
            <w:hideMark/>
          </w:tcPr>
          <w:p w14:paraId="552EFC60" w14:textId="63B62F80" w:rsidR="00362FC8" w:rsidRPr="0016756C" w:rsidRDefault="00362FC8" w:rsidP="00362FC8">
            <w:pPr>
              <w:rPr>
                <w:rFonts w:eastAsia="Times New Roman" w:cs="Tahoma"/>
                <w:sz w:val="14"/>
                <w:szCs w:val="14"/>
                <w:lang w:eastAsia="en-GB"/>
              </w:rPr>
            </w:pPr>
            <w:r>
              <w:rPr>
                <w:rFonts w:cs="Tahoma"/>
                <w:sz w:val="14"/>
                <w:szCs w:val="14"/>
              </w:rPr>
              <w:t>Y</w:t>
            </w:r>
          </w:p>
        </w:tc>
        <w:tc>
          <w:tcPr>
            <w:tcW w:w="571" w:type="dxa"/>
            <w:tcBorders>
              <w:top w:val="nil"/>
              <w:left w:val="nil"/>
              <w:right w:val="single" w:sz="4" w:space="0" w:color="auto"/>
            </w:tcBorders>
            <w:shd w:val="clear" w:color="auto" w:fill="D9D9D9" w:themeFill="background1" w:themeFillShade="D9"/>
            <w:noWrap/>
            <w:vAlign w:val="bottom"/>
            <w:hideMark/>
          </w:tcPr>
          <w:p w14:paraId="0694E125" w14:textId="17ACB09A" w:rsidR="00362FC8" w:rsidRPr="0016756C" w:rsidRDefault="00362FC8" w:rsidP="00362FC8">
            <w:pPr>
              <w:rPr>
                <w:rFonts w:eastAsia="Times New Roman" w:cs="Tahoma"/>
                <w:sz w:val="14"/>
                <w:szCs w:val="14"/>
                <w:lang w:eastAsia="en-GB"/>
              </w:rPr>
            </w:pPr>
            <w:r>
              <w:rPr>
                <w:rFonts w:cs="Tahoma"/>
                <w:sz w:val="14"/>
                <w:szCs w:val="14"/>
              </w:rPr>
              <w:t>Y</w:t>
            </w:r>
          </w:p>
        </w:tc>
        <w:tc>
          <w:tcPr>
            <w:tcW w:w="571" w:type="dxa"/>
            <w:tcBorders>
              <w:top w:val="nil"/>
              <w:left w:val="nil"/>
              <w:right w:val="single" w:sz="4" w:space="0" w:color="auto"/>
            </w:tcBorders>
            <w:shd w:val="clear" w:color="auto" w:fill="D9D9D9" w:themeFill="background1" w:themeFillShade="D9"/>
            <w:noWrap/>
            <w:vAlign w:val="bottom"/>
            <w:hideMark/>
          </w:tcPr>
          <w:p w14:paraId="188DFBFF" w14:textId="2B9F76BC" w:rsidR="00362FC8" w:rsidRPr="0016756C" w:rsidRDefault="00362FC8" w:rsidP="00362FC8">
            <w:pPr>
              <w:rPr>
                <w:rFonts w:eastAsia="Times New Roman" w:cs="Tahoma"/>
                <w:sz w:val="14"/>
                <w:szCs w:val="14"/>
                <w:lang w:eastAsia="en-GB"/>
              </w:rPr>
            </w:pPr>
            <w:r>
              <w:rPr>
                <w:rFonts w:cs="Tahoma"/>
                <w:sz w:val="14"/>
                <w:szCs w:val="14"/>
              </w:rPr>
              <w:t>Y</w:t>
            </w:r>
          </w:p>
        </w:tc>
        <w:tc>
          <w:tcPr>
            <w:tcW w:w="571" w:type="dxa"/>
            <w:tcBorders>
              <w:top w:val="nil"/>
              <w:left w:val="nil"/>
              <w:right w:val="single" w:sz="4" w:space="0" w:color="auto"/>
            </w:tcBorders>
            <w:shd w:val="clear" w:color="auto" w:fill="D9D9D9" w:themeFill="background1" w:themeFillShade="D9"/>
            <w:noWrap/>
            <w:vAlign w:val="bottom"/>
            <w:hideMark/>
          </w:tcPr>
          <w:p w14:paraId="1A0917EB" w14:textId="1268B8D3" w:rsidR="00362FC8" w:rsidRPr="0016756C" w:rsidRDefault="00362FC8" w:rsidP="00362FC8">
            <w:pPr>
              <w:rPr>
                <w:rFonts w:eastAsia="Times New Roman" w:cs="Tahoma"/>
                <w:sz w:val="14"/>
                <w:szCs w:val="14"/>
                <w:lang w:eastAsia="en-GB"/>
              </w:rPr>
            </w:pPr>
            <w:r>
              <w:rPr>
                <w:rFonts w:cs="Tahoma"/>
                <w:sz w:val="14"/>
                <w:szCs w:val="14"/>
              </w:rPr>
              <w:t>Y</w:t>
            </w:r>
          </w:p>
        </w:tc>
        <w:tc>
          <w:tcPr>
            <w:tcW w:w="1370" w:type="dxa"/>
            <w:tcBorders>
              <w:top w:val="nil"/>
              <w:left w:val="nil"/>
              <w:right w:val="single" w:sz="4" w:space="0" w:color="auto"/>
            </w:tcBorders>
            <w:shd w:val="clear" w:color="auto" w:fill="D9D9D9" w:themeFill="background1" w:themeFillShade="D9"/>
            <w:noWrap/>
            <w:vAlign w:val="bottom"/>
            <w:hideMark/>
          </w:tcPr>
          <w:p w14:paraId="69E74146" w14:textId="1A2E8840" w:rsidR="00362FC8" w:rsidRPr="0016756C" w:rsidRDefault="00362FC8" w:rsidP="00362FC8">
            <w:pPr>
              <w:rPr>
                <w:rFonts w:eastAsia="Times New Roman" w:cs="Tahoma"/>
                <w:sz w:val="14"/>
                <w:szCs w:val="14"/>
                <w:lang w:eastAsia="en-GB"/>
              </w:rPr>
            </w:pPr>
            <w:r>
              <w:rPr>
                <w:rFonts w:cs="Tahoma"/>
                <w:sz w:val="14"/>
                <w:szCs w:val="14"/>
              </w:rPr>
              <w:t>Not specified/unknown</w:t>
            </w:r>
          </w:p>
        </w:tc>
      </w:tr>
      <w:tr w:rsidR="00362FC8" w:rsidRPr="0016756C" w14:paraId="39EF1673" w14:textId="77777777" w:rsidTr="00362FC8">
        <w:trPr>
          <w:trHeight w:val="242"/>
        </w:trPr>
        <w:tc>
          <w:tcPr>
            <w:tcW w:w="1016" w:type="dxa"/>
            <w:tcBorders>
              <w:top w:val="nil"/>
              <w:left w:val="single" w:sz="4" w:space="0" w:color="auto"/>
              <w:right w:val="single" w:sz="4" w:space="0" w:color="auto"/>
            </w:tcBorders>
            <w:shd w:val="clear" w:color="auto" w:fill="auto"/>
            <w:noWrap/>
            <w:vAlign w:val="bottom"/>
          </w:tcPr>
          <w:p w14:paraId="6FFD805D" w14:textId="473BF7E6" w:rsidR="00362FC8" w:rsidRPr="0016756C" w:rsidRDefault="00362FC8" w:rsidP="00362FC8">
            <w:pPr>
              <w:rPr>
                <w:rFonts w:cs="Tahoma"/>
                <w:sz w:val="14"/>
                <w:szCs w:val="14"/>
              </w:rPr>
            </w:pPr>
            <w:r>
              <w:rPr>
                <w:rFonts w:cs="Tahoma"/>
                <w:sz w:val="14"/>
                <w:szCs w:val="14"/>
              </w:rPr>
              <w:t>Italy</w:t>
            </w:r>
          </w:p>
        </w:tc>
        <w:tc>
          <w:tcPr>
            <w:tcW w:w="2588" w:type="dxa"/>
            <w:tcBorders>
              <w:top w:val="nil"/>
              <w:left w:val="nil"/>
              <w:right w:val="single" w:sz="4" w:space="0" w:color="auto"/>
            </w:tcBorders>
            <w:shd w:val="clear" w:color="auto" w:fill="auto"/>
            <w:noWrap/>
            <w:vAlign w:val="bottom"/>
          </w:tcPr>
          <w:p w14:paraId="6B32711C" w14:textId="7D18B7FD" w:rsidR="00362FC8" w:rsidRPr="0016756C" w:rsidRDefault="00362FC8" w:rsidP="00362FC8">
            <w:pPr>
              <w:rPr>
                <w:rFonts w:cs="Tahoma"/>
                <w:sz w:val="14"/>
                <w:szCs w:val="14"/>
              </w:rPr>
            </w:pPr>
            <w:r>
              <w:rPr>
                <w:rFonts w:cs="Tahoma"/>
                <w:sz w:val="14"/>
                <w:szCs w:val="14"/>
              </w:rPr>
              <w:t>IT-NRS</w:t>
            </w:r>
          </w:p>
        </w:tc>
        <w:tc>
          <w:tcPr>
            <w:tcW w:w="571" w:type="dxa"/>
            <w:tcBorders>
              <w:top w:val="nil"/>
              <w:left w:val="nil"/>
              <w:right w:val="single" w:sz="4" w:space="0" w:color="auto"/>
            </w:tcBorders>
            <w:shd w:val="clear" w:color="auto" w:fill="auto"/>
            <w:noWrap/>
            <w:vAlign w:val="bottom"/>
          </w:tcPr>
          <w:p w14:paraId="092A2CCC" w14:textId="0DAEE5C3" w:rsidR="00362FC8" w:rsidRPr="0016756C" w:rsidRDefault="00362FC8" w:rsidP="00362FC8">
            <w:pPr>
              <w:rPr>
                <w:rFonts w:cs="Tahoma"/>
                <w:sz w:val="14"/>
                <w:szCs w:val="14"/>
              </w:rPr>
            </w:pPr>
            <w:r>
              <w:rPr>
                <w:rFonts w:cs="Tahoma"/>
                <w:sz w:val="14"/>
                <w:szCs w:val="14"/>
              </w:rPr>
              <w:t>Cp</w:t>
            </w:r>
          </w:p>
        </w:tc>
        <w:tc>
          <w:tcPr>
            <w:tcW w:w="571" w:type="dxa"/>
            <w:tcBorders>
              <w:top w:val="nil"/>
              <w:left w:val="nil"/>
              <w:right w:val="single" w:sz="4" w:space="0" w:color="auto"/>
            </w:tcBorders>
            <w:shd w:val="clear" w:color="auto" w:fill="auto"/>
            <w:noWrap/>
            <w:vAlign w:val="bottom"/>
          </w:tcPr>
          <w:p w14:paraId="320537B2" w14:textId="6D1D02CF" w:rsidR="00362FC8" w:rsidRPr="0016756C" w:rsidRDefault="00362FC8" w:rsidP="00362FC8">
            <w:pPr>
              <w:rPr>
                <w:rFonts w:cs="Tahoma"/>
                <w:sz w:val="14"/>
                <w:szCs w:val="14"/>
              </w:rPr>
            </w:pPr>
            <w:r>
              <w:rPr>
                <w:rFonts w:cs="Tahoma"/>
                <w:sz w:val="14"/>
                <w:szCs w:val="14"/>
              </w:rPr>
              <w:t>Co</w:t>
            </w:r>
          </w:p>
        </w:tc>
        <w:tc>
          <w:tcPr>
            <w:tcW w:w="571" w:type="dxa"/>
            <w:tcBorders>
              <w:top w:val="nil"/>
              <w:left w:val="nil"/>
              <w:right w:val="single" w:sz="4" w:space="0" w:color="auto"/>
            </w:tcBorders>
            <w:shd w:val="clear" w:color="auto" w:fill="auto"/>
            <w:noWrap/>
            <w:vAlign w:val="bottom"/>
          </w:tcPr>
          <w:p w14:paraId="0D367A3D" w14:textId="133330F8" w:rsidR="00362FC8" w:rsidRPr="0016756C" w:rsidRDefault="00362FC8" w:rsidP="00362FC8">
            <w:pPr>
              <w:rPr>
                <w:rFonts w:cs="Tahoma"/>
                <w:sz w:val="14"/>
                <w:szCs w:val="14"/>
              </w:rPr>
            </w:pPr>
            <w:r>
              <w:rPr>
                <w:rFonts w:cs="Tahoma"/>
                <w:sz w:val="14"/>
                <w:szCs w:val="14"/>
              </w:rPr>
              <w:t>P</w:t>
            </w:r>
          </w:p>
        </w:tc>
        <w:tc>
          <w:tcPr>
            <w:tcW w:w="571" w:type="dxa"/>
            <w:tcBorders>
              <w:top w:val="nil"/>
              <w:left w:val="nil"/>
              <w:right w:val="single" w:sz="4" w:space="0" w:color="auto"/>
            </w:tcBorders>
            <w:shd w:val="clear" w:color="auto" w:fill="auto"/>
            <w:noWrap/>
            <w:vAlign w:val="bottom"/>
          </w:tcPr>
          <w:p w14:paraId="7DFC3014" w14:textId="1232BA41" w:rsidR="00362FC8" w:rsidRPr="0016756C" w:rsidRDefault="00362FC8" w:rsidP="00362FC8">
            <w:pPr>
              <w:rPr>
                <w:rFonts w:cs="Tahoma"/>
                <w:sz w:val="14"/>
                <w:szCs w:val="14"/>
              </w:rPr>
            </w:pPr>
            <w:r>
              <w:rPr>
                <w:rFonts w:cs="Tahoma"/>
                <w:sz w:val="14"/>
                <w:szCs w:val="14"/>
              </w:rPr>
              <w:t>C</w:t>
            </w:r>
          </w:p>
        </w:tc>
        <w:tc>
          <w:tcPr>
            <w:tcW w:w="571" w:type="dxa"/>
            <w:tcBorders>
              <w:top w:val="nil"/>
              <w:left w:val="nil"/>
              <w:right w:val="single" w:sz="4" w:space="0" w:color="auto"/>
            </w:tcBorders>
            <w:shd w:val="clear" w:color="auto" w:fill="auto"/>
            <w:noWrap/>
            <w:vAlign w:val="bottom"/>
          </w:tcPr>
          <w:p w14:paraId="4ECD58C4" w14:textId="4CEF1AD3" w:rsidR="00362FC8" w:rsidRPr="0016756C" w:rsidRDefault="00362FC8" w:rsidP="00362FC8">
            <w:pPr>
              <w:rPr>
                <w:rFonts w:cs="Tahoma"/>
                <w:sz w:val="14"/>
                <w:szCs w:val="14"/>
              </w:rPr>
            </w:pPr>
            <w:r>
              <w:rPr>
                <w:rFonts w:cs="Tahoma"/>
                <w:sz w:val="14"/>
                <w:szCs w:val="14"/>
              </w:rPr>
              <w:t>N</w:t>
            </w:r>
          </w:p>
        </w:tc>
        <w:tc>
          <w:tcPr>
            <w:tcW w:w="571" w:type="dxa"/>
            <w:tcBorders>
              <w:top w:val="nil"/>
              <w:left w:val="nil"/>
              <w:right w:val="single" w:sz="4" w:space="0" w:color="auto"/>
            </w:tcBorders>
            <w:shd w:val="clear" w:color="auto" w:fill="auto"/>
            <w:noWrap/>
            <w:vAlign w:val="bottom"/>
          </w:tcPr>
          <w:p w14:paraId="36D32774" w14:textId="69664589" w:rsidR="00362FC8" w:rsidRPr="0016756C" w:rsidRDefault="00362FC8" w:rsidP="00362FC8">
            <w:pPr>
              <w:rPr>
                <w:rFonts w:cs="Tahoma"/>
                <w:sz w:val="14"/>
                <w:szCs w:val="14"/>
              </w:rPr>
            </w:pPr>
            <w:r>
              <w:rPr>
                <w:rFonts w:cs="Tahoma"/>
                <w:sz w:val="14"/>
                <w:szCs w:val="14"/>
              </w:rPr>
              <w:t>Y</w:t>
            </w:r>
          </w:p>
        </w:tc>
        <w:tc>
          <w:tcPr>
            <w:tcW w:w="571" w:type="dxa"/>
            <w:tcBorders>
              <w:top w:val="nil"/>
              <w:left w:val="nil"/>
              <w:right w:val="single" w:sz="4" w:space="0" w:color="auto"/>
            </w:tcBorders>
            <w:shd w:val="clear" w:color="auto" w:fill="auto"/>
            <w:noWrap/>
            <w:vAlign w:val="bottom"/>
          </w:tcPr>
          <w:p w14:paraId="5D9D5538" w14:textId="2C5CC901" w:rsidR="00362FC8" w:rsidRPr="0016756C" w:rsidRDefault="00362FC8" w:rsidP="00362FC8">
            <w:pPr>
              <w:rPr>
                <w:rFonts w:cs="Tahoma"/>
                <w:sz w:val="14"/>
                <w:szCs w:val="14"/>
              </w:rPr>
            </w:pPr>
            <w:r>
              <w:rPr>
                <w:rFonts w:cs="Tahoma"/>
                <w:sz w:val="14"/>
                <w:szCs w:val="14"/>
              </w:rPr>
              <w:t>Y</w:t>
            </w:r>
          </w:p>
        </w:tc>
        <w:tc>
          <w:tcPr>
            <w:tcW w:w="571" w:type="dxa"/>
            <w:tcBorders>
              <w:top w:val="nil"/>
              <w:left w:val="nil"/>
              <w:right w:val="single" w:sz="4" w:space="0" w:color="auto"/>
            </w:tcBorders>
            <w:shd w:val="clear" w:color="auto" w:fill="auto"/>
            <w:noWrap/>
            <w:vAlign w:val="bottom"/>
          </w:tcPr>
          <w:p w14:paraId="77DB3B81" w14:textId="2543B926" w:rsidR="00362FC8" w:rsidRPr="0016756C" w:rsidRDefault="00362FC8" w:rsidP="00362FC8">
            <w:pPr>
              <w:rPr>
                <w:rFonts w:cs="Tahoma"/>
                <w:sz w:val="14"/>
                <w:szCs w:val="14"/>
              </w:rPr>
            </w:pPr>
            <w:r>
              <w:rPr>
                <w:rFonts w:cs="Tahoma"/>
                <w:sz w:val="14"/>
                <w:szCs w:val="14"/>
              </w:rPr>
              <w:t>N</w:t>
            </w:r>
          </w:p>
        </w:tc>
        <w:tc>
          <w:tcPr>
            <w:tcW w:w="1370" w:type="dxa"/>
            <w:tcBorders>
              <w:top w:val="nil"/>
              <w:left w:val="nil"/>
              <w:right w:val="single" w:sz="4" w:space="0" w:color="auto"/>
            </w:tcBorders>
            <w:shd w:val="clear" w:color="auto" w:fill="auto"/>
            <w:noWrap/>
            <w:vAlign w:val="bottom"/>
          </w:tcPr>
          <w:p w14:paraId="3086AEDD" w14:textId="759F4127" w:rsidR="00362FC8" w:rsidRPr="0016756C" w:rsidRDefault="00362FC8" w:rsidP="00362FC8">
            <w:pPr>
              <w:rPr>
                <w:rFonts w:cs="Tahoma"/>
                <w:sz w:val="14"/>
                <w:szCs w:val="14"/>
              </w:rPr>
            </w:pPr>
            <w:r>
              <w:rPr>
                <w:rFonts w:cs="Tahoma"/>
                <w:sz w:val="14"/>
                <w:szCs w:val="14"/>
              </w:rPr>
              <w:t>Other</w:t>
            </w:r>
          </w:p>
        </w:tc>
      </w:tr>
      <w:tr w:rsidR="00362FC8" w:rsidRPr="0016756C" w14:paraId="04D19D9E" w14:textId="77777777" w:rsidTr="00362FC8">
        <w:trPr>
          <w:trHeight w:val="242"/>
        </w:trPr>
        <w:tc>
          <w:tcPr>
            <w:tcW w:w="101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C3F026A" w14:textId="34DE4000" w:rsidR="00362FC8" w:rsidRPr="0016756C" w:rsidRDefault="00362FC8" w:rsidP="00362FC8">
            <w:pPr>
              <w:rPr>
                <w:rFonts w:cs="Tahoma"/>
                <w:sz w:val="14"/>
                <w:szCs w:val="14"/>
              </w:rPr>
            </w:pPr>
            <w:r>
              <w:rPr>
                <w:rFonts w:cs="Tahoma"/>
                <w:sz w:val="14"/>
                <w:szCs w:val="14"/>
              </w:rPr>
              <w:t>Lithuania</w:t>
            </w:r>
          </w:p>
        </w:tc>
        <w:tc>
          <w:tcPr>
            <w:tcW w:w="2588" w:type="dxa"/>
            <w:tcBorders>
              <w:top w:val="nil"/>
              <w:left w:val="nil"/>
              <w:bottom w:val="single" w:sz="4" w:space="0" w:color="auto"/>
              <w:right w:val="single" w:sz="4" w:space="0" w:color="auto"/>
            </w:tcBorders>
            <w:shd w:val="clear" w:color="auto" w:fill="D9D9D9" w:themeFill="background1" w:themeFillShade="D9"/>
            <w:noWrap/>
            <w:vAlign w:val="bottom"/>
          </w:tcPr>
          <w:p w14:paraId="584C614A" w14:textId="2FEAB1FA" w:rsidR="00362FC8" w:rsidRPr="0016756C" w:rsidRDefault="00362FC8" w:rsidP="00362FC8">
            <w:pPr>
              <w:rPr>
                <w:rFonts w:cs="Tahoma"/>
                <w:sz w:val="14"/>
                <w:szCs w:val="14"/>
              </w:rPr>
            </w:pPr>
            <w:r>
              <w:rPr>
                <w:rFonts w:cs="Tahoma"/>
                <w:sz w:val="14"/>
                <w:szCs w:val="14"/>
              </w:rPr>
              <w:t>LT-COMMUNICABLE_DISEASES</w:t>
            </w:r>
          </w:p>
        </w:tc>
        <w:tc>
          <w:tcPr>
            <w:tcW w:w="571" w:type="dxa"/>
            <w:tcBorders>
              <w:top w:val="nil"/>
              <w:left w:val="nil"/>
              <w:bottom w:val="single" w:sz="4" w:space="0" w:color="auto"/>
              <w:right w:val="single" w:sz="4" w:space="0" w:color="auto"/>
            </w:tcBorders>
            <w:shd w:val="clear" w:color="auto" w:fill="D9D9D9" w:themeFill="background1" w:themeFillShade="D9"/>
            <w:noWrap/>
            <w:vAlign w:val="bottom"/>
          </w:tcPr>
          <w:p w14:paraId="053D4A59" w14:textId="6387B8DF" w:rsidR="00362FC8" w:rsidRPr="0016756C" w:rsidRDefault="00362FC8" w:rsidP="00362FC8">
            <w:pPr>
              <w:rPr>
                <w:rFonts w:cs="Tahoma"/>
                <w:sz w:val="14"/>
                <w:szCs w:val="14"/>
              </w:rPr>
            </w:pPr>
            <w:r>
              <w:rPr>
                <w:rFonts w:cs="Tahoma"/>
                <w:sz w:val="14"/>
                <w:szCs w:val="14"/>
              </w:rPr>
              <w:t>Cp</w:t>
            </w:r>
          </w:p>
        </w:tc>
        <w:tc>
          <w:tcPr>
            <w:tcW w:w="571" w:type="dxa"/>
            <w:tcBorders>
              <w:top w:val="nil"/>
              <w:left w:val="nil"/>
              <w:bottom w:val="single" w:sz="4" w:space="0" w:color="auto"/>
              <w:right w:val="single" w:sz="4" w:space="0" w:color="auto"/>
            </w:tcBorders>
            <w:shd w:val="clear" w:color="auto" w:fill="D9D9D9" w:themeFill="background1" w:themeFillShade="D9"/>
            <w:noWrap/>
            <w:vAlign w:val="bottom"/>
          </w:tcPr>
          <w:p w14:paraId="1B59F27B" w14:textId="7C9DA4C8" w:rsidR="00362FC8" w:rsidRPr="0016756C" w:rsidRDefault="00362FC8" w:rsidP="00362FC8">
            <w:pPr>
              <w:rPr>
                <w:rFonts w:cs="Tahoma"/>
                <w:sz w:val="14"/>
                <w:szCs w:val="14"/>
              </w:rPr>
            </w:pPr>
            <w:r>
              <w:rPr>
                <w:rFonts w:cs="Tahoma"/>
                <w:sz w:val="14"/>
                <w:szCs w:val="14"/>
              </w:rPr>
              <w:t>Co</w:t>
            </w:r>
          </w:p>
        </w:tc>
        <w:tc>
          <w:tcPr>
            <w:tcW w:w="571" w:type="dxa"/>
            <w:tcBorders>
              <w:top w:val="nil"/>
              <w:left w:val="nil"/>
              <w:bottom w:val="single" w:sz="4" w:space="0" w:color="auto"/>
              <w:right w:val="single" w:sz="4" w:space="0" w:color="auto"/>
            </w:tcBorders>
            <w:shd w:val="clear" w:color="auto" w:fill="D9D9D9" w:themeFill="background1" w:themeFillShade="D9"/>
            <w:noWrap/>
            <w:vAlign w:val="bottom"/>
          </w:tcPr>
          <w:p w14:paraId="64B80A5C" w14:textId="708D846D" w:rsidR="00362FC8" w:rsidRPr="0016756C" w:rsidRDefault="00362FC8" w:rsidP="00362FC8">
            <w:pPr>
              <w:rPr>
                <w:rFonts w:cs="Tahoma"/>
                <w:sz w:val="14"/>
                <w:szCs w:val="14"/>
              </w:rPr>
            </w:pPr>
            <w:r>
              <w:rPr>
                <w:rFonts w:cs="Tahoma"/>
                <w:sz w:val="14"/>
                <w:szCs w:val="14"/>
              </w:rPr>
              <w:t>P</w:t>
            </w:r>
          </w:p>
        </w:tc>
        <w:tc>
          <w:tcPr>
            <w:tcW w:w="571" w:type="dxa"/>
            <w:tcBorders>
              <w:top w:val="nil"/>
              <w:left w:val="nil"/>
              <w:bottom w:val="single" w:sz="4" w:space="0" w:color="auto"/>
              <w:right w:val="single" w:sz="4" w:space="0" w:color="auto"/>
            </w:tcBorders>
            <w:shd w:val="clear" w:color="auto" w:fill="D9D9D9" w:themeFill="background1" w:themeFillShade="D9"/>
            <w:noWrap/>
            <w:vAlign w:val="bottom"/>
          </w:tcPr>
          <w:p w14:paraId="037255AD" w14:textId="2521ADE0" w:rsidR="00362FC8" w:rsidRPr="0016756C" w:rsidRDefault="00362FC8" w:rsidP="00362FC8">
            <w:pPr>
              <w:rPr>
                <w:rFonts w:cs="Tahoma"/>
                <w:sz w:val="14"/>
                <w:szCs w:val="14"/>
              </w:rPr>
            </w:pPr>
            <w:r>
              <w:rPr>
                <w:rFonts w:cs="Tahoma"/>
                <w:sz w:val="14"/>
                <w:szCs w:val="14"/>
              </w:rPr>
              <w:t>C</w:t>
            </w:r>
          </w:p>
        </w:tc>
        <w:tc>
          <w:tcPr>
            <w:tcW w:w="571" w:type="dxa"/>
            <w:tcBorders>
              <w:top w:val="nil"/>
              <w:left w:val="nil"/>
              <w:bottom w:val="single" w:sz="4" w:space="0" w:color="auto"/>
              <w:right w:val="single" w:sz="4" w:space="0" w:color="auto"/>
            </w:tcBorders>
            <w:shd w:val="clear" w:color="auto" w:fill="D9D9D9" w:themeFill="background1" w:themeFillShade="D9"/>
            <w:noWrap/>
            <w:vAlign w:val="bottom"/>
          </w:tcPr>
          <w:p w14:paraId="544D70B0" w14:textId="71382900" w:rsidR="00362FC8" w:rsidRPr="0016756C" w:rsidRDefault="00362FC8" w:rsidP="00362FC8">
            <w:pPr>
              <w:rPr>
                <w:rFonts w:cs="Tahoma"/>
                <w:sz w:val="14"/>
                <w:szCs w:val="14"/>
              </w:rPr>
            </w:pPr>
            <w:r>
              <w:rPr>
                <w:rFonts w:cs="Tahoma"/>
                <w:sz w:val="14"/>
                <w:szCs w:val="14"/>
              </w:rPr>
              <w:t>Y</w:t>
            </w:r>
          </w:p>
        </w:tc>
        <w:tc>
          <w:tcPr>
            <w:tcW w:w="571" w:type="dxa"/>
            <w:tcBorders>
              <w:top w:val="nil"/>
              <w:left w:val="nil"/>
              <w:bottom w:val="single" w:sz="4" w:space="0" w:color="auto"/>
              <w:right w:val="single" w:sz="4" w:space="0" w:color="auto"/>
            </w:tcBorders>
            <w:shd w:val="clear" w:color="auto" w:fill="D9D9D9" w:themeFill="background1" w:themeFillShade="D9"/>
            <w:noWrap/>
            <w:vAlign w:val="bottom"/>
          </w:tcPr>
          <w:p w14:paraId="39E8FB89" w14:textId="4C64CD81" w:rsidR="00362FC8" w:rsidRPr="0016756C" w:rsidRDefault="00362FC8" w:rsidP="00362FC8">
            <w:pPr>
              <w:rPr>
                <w:rFonts w:cs="Tahoma"/>
                <w:sz w:val="14"/>
                <w:szCs w:val="14"/>
              </w:rPr>
            </w:pPr>
            <w:r>
              <w:rPr>
                <w:rFonts w:cs="Tahoma"/>
                <w:sz w:val="14"/>
                <w:szCs w:val="14"/>
              </w:rPr>
              <w:t>Y</w:t>
            </w:r>
          </w:p>
        </w:tc>
        <w:tc>
          <w:tcPr>
            <w:tcW w:w="571" w:type="dxa"/>
            <w:tcBorders>
              <w:top w:val="nil"/>
              <w:left w:val="nil"/>
              <w:bottom w:val="single" w:sz="4" w:space="0" w:color="auto"/>
              <w:right w:val="single" w:sz="4" w:space="0" w:color="auto"/>
            </w:tcBorders>
            <w:shd w:val="clear" w:color="auto" w:fill="D9D9D9" w:themeFill="background1" w:themeFillShade="D9"/>
            <w:noWrap/>
            <w:vAlign w:val="bottom"/>
          </w:tcPr>
          <w:p w14:paraId="3A068A51" w14:textId="1929F389" w:rsidR="00362FC8" w:rsidRPr="0016756C" w:rsidRDefault="00362FC8" w:rsidP="00362FC8">
            <w:pPr>
              <w:rPr>
                <w:rFonts w:cs="Tahoma"/>
                <w:sz w:val="14"/>
                <w:szCs w:val="14"/>
              </w:rPr>
            </w:pPr>
            <w:r>
              <w:rPr>
                <w:rFonts w:cs="Tahoma"/>
                <w:sz w:val="14"/>
                <w:szCs w:val="14"/>
              </w:rPr>
              <w:t>N</w:t>
            </w:r>
          </w:p>
        </w:tc>
        <w:tc>
          <w:tcPr>
            <w:tcW w:w="571" w:type="dxa"/>
            <w:tcBorders>
              <w:top w:val="nil"/>
              <w:left w:val="nil"/>
              <w:bottom w:val="single" w:sz="4" w:space="0" w:color="auto"/>
              <w:right w:val="single" w:sz="4" w:space="0" w:color="auto"/>
            </w:tcBorders>
            <w:shd w:val="clear" w:color="auto" w:fill="D9D9D9" w:themeFill="background1" w:themeFillShade="D9"/>
            <w:noWrap/>
            <w:vAlign w:val="bottom"/>
          </w:tcPr>
          <w:p w14:paraId="27F50D35" w14:textId="6E04C840" w:rsidR="00362FC8" w:rsidRPr="0016756C" w:rsidRDefault="00362FC8" w:rsidP="00362FC8">
            <w:pPr>
              <w:rPr>
                <w:rFonts w:cs="Tahoma"/>
                <w:sz w:val="14"/>
                <w:szCs w:val="14"/>
              </w:rPr>
            </w:pPr>
            <w:r>
              <w:rPr>
                <w:rFonts w:cs="Tahoma"/>
                <w:sz w:val="14"/>
                <w:szCs w:val="14"/>
              </w:rPr>
              <w:t>N</w:t>
            </w:r>
          </w:p>
        </w:tc>
        <w:tc>
          <w:tcPr>
            <w:tcW w:w="1370" w:type="dxa"/>
            <w:tcBorders>
              <w:top w:val="nil"/>
              <w:left w:val="nil"/>
              <w:bottom w:val="single" w:sz="4" w:space="0" w:color="auto"/>
              <w:right w:val="single" w:sz="4" w:space="0" w:color="auto"/>
            </w:tcBorders>
            <w:shd w:val="clear" w:color="auto" w:fill="D9D9D9" w:themeFill="background1" w:themeFillShade="D9"/>
            <w:noWrap/>
            <w:vAlign w:val="bottom"/>
          </w:tcPr>
          <w:p w14:paraId="7F08848A" w14:textId="6EDE0E9C" w:rsidR="00362FC8" w:rsidRPr="0016756C" w:rsidRDefault="00362FC8" w:rsidP="00362FC8">
            <w:pPr>
              <w:rPr>
                <w:rFonts w:cs="Tahoma"/>
                <w:sz w:val="14"/>
                <w:szCs w:val="14"/>
              </w:rPr>
            </w:pPr>
            <w:r>
              <w:rPr>
                <w:rFonts w:cs="Tahoma"/>
                <w:sz w:val="14"/>
                <w:szCs w:val="14"/>
              </w:rPr>
              <w:t>EU-2018</w:t>
            </w:r>
          </w:p>
        </w:tc>
      </w:tr>
    </w:tbl>
    <w:p w14:paraId="58834921" w14:textId="780B8D0D" w:rsidR="002A03D7" w:rsidRDefault="002A03D7" w:rsidP="000C1690">
      <w:pPr>
        <w:pStyle w:val="EC-Title-4"/>
        <w:rPr>
          <w:b w:val="0"/>
          <w:bCs w:val="0"/>
          <w:sz w:val="30"/>
          <w:szCs w:val="30"/>
        </w:rPr>
      </w:pPr>
      <w:r>
        <w:br w:type="page"/>
      </w:r>
    </w:p>
    <w:p w14:paraId="689C409B" w14:textId="777EDA22" w:rsidR="005D0F09" w:rsidRDefault="005D0F09" w:rsidP="005D0F09">
      <w:pPr>
        <w:pStyle w:val="EC-Title-5"/>
        <w:outlineLvl w:val="0"/>
      </w:pPr>
      <w:bookmarkStart w:id="80" w:name="_Toc127531831"/>
      <w:r w:rsidRPr="006E1C43">
        <w:lastRenderedPageBreak/>
        <w:t>STEC/VTEC infection</w:t>
      </w:r>
      <w:bookmarkEnd w:id="80"/>
    </w:p>
    <w:p w14:paraId="6A482116" w14:textId="1E7B6C2A" w:rsidR="00EE1F3C" w:rsidRPr="00A32FE1" w:rsidRDefault="00CB3144" w:rsidP="00EE1F3C">
      <w:pPr>
        <w:pStyle w:val="EC-Para"/>
        <w:jc w:val="right"/>
        <w:rPr>
          <w:b/>
          <w:lang w:eastAsia="en-US"/>
        </w:rPr>
      </w:pPr>
      <w:r>
        <w:rPr>
          <w:b/>
          <w:lang w:eastAsia="en-US"/>
        </w:rPr>
        <w:t>Last updated: 13 August 2024</w:t>
      </w:r>
    </w:p>
    <w:p w14:paraId="18E0EF0E" w14:textId="6962C237" w:rsidR="005D1339" w:rsidRDefault="0045529D" w:rsidP="005D0F09">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23AF8887" w14:textId="58992F83" w:rsidR="005D0F09" w:rsidRPr="00CB1A9C" w:rsidDel="00211802" w:rsidRDefault="005D0F09" w:rsidP="005D0F09">
      <w:pPr>
        <w:autoSpaceDE w:val="0"/>
        <w:autoSpaceDN w:val="0"/>
        <w:adjustRightInd w:val="0"/>
        <w:spacing w:after="120"/>
        <w:jc w:val="both"/>
        <w:rPr>
          <w:rFonts w:cs="Tahoma"/>
          <w:color w:val="333333"/>
          <w:szCs w:val="18"/>
          <w:shd w:val="clear" w:color="auto" w:fill="FFFFFF"/>
        </w:rPr>
      </w:pPr>
      <w:r w:rsidRPr="00CB1A9C" w:rsidDel="00211802">
        <w:rPr>
          <w:rFonts w:cs="Tahoma"/>
          <w:szCs w:val="18"/>
          <w:shd w:val="clear" w:color="auto" w:fill="FFFFFF"/>
        </w:rPr>
        <w:t xml:space="preserve">STEC/VTEC infection is caused by </w:t>
      </w:r>
      <w:r w:rsidR="00705DAE" w:rsidDel="00211802">
        <w:rPr>
          <w:rFonts w:cs="Tahoma"/>
          <w:szCs w:val="18"/>
          <w:shd w:val="clear" w:color="auto" w:fill="FFFFFF"/>
        </w:rPr>
        <w:t xml:space="preserve">bacteria from </w:t>
      </w:r>
      <w:r w:rsidRPr="00CB1A9C" w:rsidDel="00211802">
        <w:rPr>
          <w:rFonts w:cs="Tahoma"/>
          <w:szCs w:val="18"/>
          <w:shd w:val="clear" w:color="auto" w:fill="FFFFFF"/>
        </w:rPr>
        <w:t xml:space="preserve">a group of pathogenic </w:t>
      </w:r>
      <w:r w:rsidRPr="00CB1A9C" w:rsidDel="00211802">
        <w:rPr>
          <w:rFonts w:cs="Tahoma"/>
          <w:i/>
          <w:szCs w:val="18"/>
          <w:shd w:val="clear" w:color="auto" w:fill="FFFFFF"/>
        </w:rPr>
        <w:t>Escherichia coli</w:t>
      </w:r>
      <w:r w:rsidRPr="00CB1A9C" w:rsidDel="00211802">
        <w:rPr>
          <w:rFonts w:cs="Tahoma"/>
          <w:szCs w:val="18"/>
          <w:shd w:val="clear" w:color="auto" w:fill="FFFFFF"/>
        </w:rPr>
        <w:t xml:space="preserve"> capable of producing Shiga toxins </w:t>
      </w:r>
      <w:r w:rsidR="003D660F" w:rsidRPr="00CB1A9C" w:rsidDel="00211802">
        <w:rPr>
          <w:rFonts w:cs="Tahoma"/>
          <w:szCs w:val="18"/>
          <w:shd w:val="clear" w:color="auto" w:fill="FFFFFF"/>
        </w:rPr>
        <w:t xml:space="preserve">or </w:t>
      </w:r>
      <w:r w:rsidRPr="00CB1A9C" w:rsidDel="00211802">
        <w:rPr>
          <w:rFonts w:cs="Tahoma"/>
          <w:szCs w:val="18"/>
          <w:shd w:val="clear" w:color="auto" w:fill="FFFFFF"/>
        </w:rPr>
        <w:t>verocytotoxins.</w:t>
      </w:r>
      <w:r w:rsidRPr="00CB1A9C" w:rsidDel="00211802">
        <w:rPr>
          <w:rStyle w:val="apple-converted-space"/>
          <w:rFonts w:cs="Tahoma"/>
          <w:szCs w:val="18"/>
          <w:shd w:val="clear" w:color="auto" w:fill="FFFFFF"/>
        </w:rPr>
        <w:t xml:space="preserve"> Some STEC/VTEC strains have been </w:t>
      </w:r>
      <w:r w:rsidRPr="00CB1A9C" w:rsidDel="00211802">
        <w:rPr>
          <w:rFonts w:cs="Tahoma"/>
          <w:szCs w:val="18"/>
          <w:lang w:val="en"/>
        </w:rPr>
        <w:t>linked with</w:t>
      </w:r>
      <w:r w:rsidRPr="00CB1A9C" w:rsidDel="00211802">
        <w:rPr>
          <w:rFonts w:cs="Tahoma"/>
          <w:szCs w:val="18"/>
          <w:shd w:val="clear" w:color="auto" w:fill="FFFFFF"/>
        </w:rPr>
        <w:t xml:space="preserve"> a potentially fatal haemolytic-uraemic syndrome</w:t>
      </w:r>
      <w:r w:rsidRPr="00CB1A9C" w:rsidDel="00211802">
        <w:rPr>
          <w:rFonts w:cs="Tahoma"/>
          <w:i/>
          <w:szCs w:val="18"/>
          <w:shd w:val="clear" w:color="auto" w:fill="FFFFFF"/>
        </w:rPr>
        <w:t xml:space="preserve"> </w:t>
      </w:r>
      <w:r w:rsidRPr="00CB1A9C" w:rsidDel="00211802">
        <w:rPr>
          <w:rFonts w:cs="Tahoma"/>
          <w:szCs w:val="18"/>
          <w:shd w:val="clear" w:color="auto" w:fill="FFFFFF"/>
        </w:rPr>
        <w:t>(HUS), affecting renal function and requiring hospital care.</w:t>
      </w:r>
      <w:r w:rsidRPr="00CB1A9C" w:rsidDel="00211802">
        <w:rPr>
          <w:rFonts w:eastAsiaTheme="minorHAnsi" w:cs="Tahoma"/>
          <w:szCs w:val="18"/>
        </w:rPr>
        <w:t xml:space="preserve"> For a more detailed description of the disease and its epidemiology, please click</w:t>
      </w:r>
      <w:r w:rsidRPr="00CB1A9C" w:rsidDel="00211802">
        <w:rPr>
          <w:rFonts w:cs="Tahoma"/>
        </w:rPr>
        <w:t xml:space="preserve"> </w:t>
      </w:r>
      <w:hyperlink r:id="rId83" w:tgtFrame="_blank" w:history="1">
        <w:r w:rsidRPr="00247988" w:rsidDel="00211802">
          <w:rPr>
            <w:rStyle w:val="Hyperlink"/>
            <w:i/>
            <w:sz w:val="18"/>
            <w:szCs w:val="18"/>
          </w:rPr>
          <w:t>here</w:t>
        </w:r>
      </w:hyperlink>
      <w:r w:rsidRPr="00247988" w:rsidDel="00211802">
        <w:rPr>
          <w:rStyle w:val="Hyperlink"/>
          <w:i/>
          <w:sz w:val="18"/>
          <w:szCs w:val="18"/>
        </w:rPr>
        <w:t>.</w:t>
      </w:r>
    </w:p>
    <w:p w14:paraId="20155D6A" w14:textId="77777777" w:rsidR="005D0F09" w:rsidRPr="00CB1A9C" w:rsidRDefault="005D0F09" w:rsidP="005D0F09">
      <w:pPr>
        <w:pStyle w:val="EC-Title-6"/>
        <w:outlineLvl w:val="1"/>
        <w:rPr>
          <w:rFonts w:cs="Tahoma"/>
        </w:rPr>
      </w:pPr>
      <w:r w:rsidRPr="00CB1A9C">
        <w:rPr>
          <w:rFonts w:cs="Tahoma"/>
        </w:rPr>
        <w:t>Data</w:t>
      </w:r>
    </w:p>
    <w:p w14:paraId="5D3BA6ED" w14:textId="2D318CDA" w:rsidR="005D0F09" w:rsidRPr="00E67064" w:rsidRDefault="005D0F09" w:rsidP="00E116C7">
      <w:pPr>
        <w:pStyle w:val="EC-Para"/>
        <w:jc w:val="both"/>
        <w:rPr>
          <w:rFonts w:eastAsiaTheme="minorHAnsi" w:cs="Tahoma"/>
        </w:rPr>
      </w:pPr>
      <w:r w:rsidRPr="00CB1A9C">
        <w:rPr>
          <w:rFonts w:cs="Tahoma"/>
        </w:rPr>
        <w:t xml:space="preserve">The Surveillance Atlas of Infectious Diseases displays data on </w:t>
      </w:r>
      <w:r w:rsidRPr="00CB1A9C">
        <w:rPr>
          <w:rFonts w:cs="Tahoma"/>
          <w:shd w:val="clear" w:color="auto" w:fill="FFFFFF"/>
        </w:rPr>
        <w:t xml:space="preserve">human infection with STEC/VTEC </w:t>
      </w:r>
      <w:r w:rsidRPr="00CB1A9C">
        <w:rPr>
          <w:rFonts w:cs="Tahoma"/>
        </w:rPr>
        <w:t xml:space="preserve">reported to </w:t>
      </w:r>
      <w:proofErr w:type="spellStart"/>
      <w:r w:rsidRPr="00CB1A9C">
        <w:rPr>
          <w:rFonts w:cs="Tahoma"/>
        </w:rPr>
        <w:t>TESSy</w:t>
      </w:r>
      <w:proofErr w:type="spellEnd"/>
      <w:r w:rsidRPr="00CB1A9C">
        <w:rPr>
          <w:rFonts w:cs="Tahoma"/>
        </w:rPr>
        <w:t xml:space="preserve"> </w:t>
      </w:r>
      <w:r w:rsidRPr="00E67064">
        <w:rPr>
          <w:rFonts w:cs="Tahoma"/>
        </w:rPr>
        <w:t>by EU/EEA countries since 2007.</w:t>
      </w:r>
      <w:r w:rsidR="00E116C7">
        <w:rPr>
          <w:rFonts w:cs="Tahoma"/>
        </w:rPr>
        <w:t xml:space="preserve"> </w:t>
      </w:r>
      <w:r w:rsidR="00CB1A9C" w:rsidRPr="00E67064">
        <w:rPr>
          <w:rFonts w:cs="Tahoma"/>
        </w:rPr>
        <w:t>C</w:t>
      </w:r>
      <w:r w:rsidRPr="00E67064">
        <w:rPr>
          <w:rFonts w:cs="Tahoma"/>
        </w:rPr>
        <w:t xml:space="preserve">ases are to be reported according to the </w:t>
      </w:r>
      <w:r w:rsidR="00F53BCA" w:rsidRPr="00E67064">
        <w:rPr>
          <w:rFonts w:cs="Tahoma"/>
        </w:rPr>
        <w:t>2018</w:t>
      </w:r>
      <w:r w:rsidRPr="00E67064">
        <w:rPr>
          <w:rFonts w:cs="Tahoma"/>
        </w:rPr>
        <w:t xml:space="preserve"> EU case definition for </w:t>
      </w:r>
      <w:r w:rsidRPr="00E67064">
        <w:rPr>
          <w:shd w:val="clear" w:color="auto" w:fill="FFFFFF"/>
        </w:rPr>
        <w:t>S</w:t>
      </w:r>
      <w:r w:rsidR="00CB1A9C" w:rsidRPr="00E67064">
        <w:rPr>
          <w:shd w:val="clear" w:color="auto" w:fill="FFFFFF"/>
        </w:rPr>
        <w:t xml:space="preserve">higa toxin/verocytotoxin-producing </w:t>
      </w:r>
      <w:r w:rsidR="00CB1A9C" w:rsidRPr="00E67064">
        <w:rPr>
          <w:i/>
          <w:shd w:val="clear" w:color="auto" w:fill="FFFFFF"/>
        </w:rPr>
        <w:t>E. coli</w:t>
      </w:r>
      <w:r w:rsidR="00CB1A9C" w:rsidRPr="00E67064">
        <w:rPr>
          <w:shd w:val="clear" w:color="auto" w:fill="FFFFFF"/>
        </w:rPr>
        <w:t xml:space="preserve"> infection (S</w:t>
      </w:r>
      <w:r w:rsidRPr="00E67064">
        <w:rPr>
          <w:shd w:val="clear" w:color="auto" w:fill="FFFFFF"/>
        </w:rPr>
        <w:t>TEC/VTEC</w:t>
      </w:r>
      <w:r w:rsidR="00CB1A9C" w:rsidRPr="00E67064">
        <w:rPr>
          <w:shd w:val="clear" w:color="auto" w:fill="FFFFFF"/>
        </w:rPr>
        <w:t>), including haemolytic-uraemic syndrome (HUS)</w:t>
      </w:r>
      <w:r w:rsidRPr="00E67064">
        <w:rPr>
          <w:rStyle w:val="FootnoteReference"/>
          <w:rFonts w:eastAsiaTheme="minorHAnsi" w:cs="Tahoma"/>
          <w:sz w:val="20"/>
          <w:szCs w:val="20"/>
        </w:rPr>
        <w:footnoteReference w:id="34"/>
      </w:r>
      <w:r w:rsidRPr="00E67064">
        <w:rPr>
          <w:rFonts w:cs="Tahoma"/>
        </w:rPr>
        <w:t xml:space="preserve">: </w:t>
      </w:r>
    </w:p>
    <w:p w14:paraId="547FBA19" w14:textId="77777777" w:rsidR="005D0F09" w:rsidRPr="00E67064" w:rsidRDefault="005D0F09" w:rsidP="005D0F09">
      <w:pPr>
        <w:autoSpaceDE w:val="0"/>
        <w:autoSpaceDN w:val="0"/>
        <w:adjustRightInd w:val="0"/>
        <w:spacing w:before="120" w:after="120"/>
        <w:rPr>
          <w:rFonts w:eastAsiaTheme="minorHAnsi" w:cs="Tahoma"/>
          <w:color w:val="000000"/>
          <w:szCs w:val="18"/>
        </w:rPr>
      </w:pPr>
      <w:r w:rsidRPr="00E67064">
        <w:rPr>
          <w:rFonts w:eastAsiaTheme="minorHAnsi" w:cs="Tahoma"/>
          <w:b/>
          <w:bCs/>
          <w:color w:val="000000"/>
          <w:szCs w:val="18"/>
        </w:rPr>
        <w:t xml:space="preserve">Clinical criteria </w:t>
      </w:r>
    </w:p>
    <w:p w14:paraId="43132F6B" w14:textId="77777777" w:rsidR="005D0F09" w:rsidRPr="00E67064" w:rsidRDefault="005D0F09" w:rsidP="005D0F09">
      <w:pPr>
        <w:autoSpaceDE w:val="0"/>
        <w:autoSpaceDN w:val="0"/>
        <w:adjustRightInd w:val="0"/>
        <w:spacing w:after="60"/>
        <w:rPr>
          <w:rFonts w:eastAsiaTheme="minorHAnsi" w:cs="Tahoma"/>
          <w:i/>
          <w:color w:val="000000"/>
          <w:szCs w:val="18"/>
        </w:rPr>
      </w:pPr>
      <w:r w:rsidRPr="00E67064">
        <w:rPr>
          <w:rFonts w:eastAsiaTheme="minorHAnsi" w:cs="Tahoma"/>
          <w:i/>
          <w:color w:val="000000"/>
          <w:szCs w:val="18"/>
        </w:rPr>
        <w:t xml:space="preserve">STEC/VTEC diarrhoea </w:t>
      </w:r>
    </w:p>
    <w:p w14:paraId="520EE9A5" w14:textId="77777777"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szCs w:val="18"/>
        </w:rPr>
        <w:t>Any person with at least one of the following two:</w:t>
      </w:r>
    </w:p>
    <w:p w14:paraId="21264D9D" w14:textId="77777777"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color w:val="000000"/>
          <w:szCs w:val="18"/>
        </w:rPr>
        <w:t xml:space="preserve">— </w:t>
      </w:r>
      <w:proofErr w:type="gramStart"/>
      <w:r w:rsidRPr="00E67064">
        <w:rPr>
          <w:rFonts w:eastAsiaTheme="minorHAnsi" w:cs="Tahoma"/>
          <w:szCs w:val="18"/>
        </w:rPr>
        <w:t>Diarrhoea;</w:t>
      </w:r>
      <w:proofErr w:type="gramEnd"/>
      <w:r w:rsidRPr="00E67064">
        <w:rPr>
          <w:rFonts w:eastAsiaTheme="minorHAnsi" w:cs="Tahoma"/>
          <w:color w:val="000000"/>
          <w:szCs w:val="18"/>
        </w:rPr>
        <w:t xml:space="preserve"> </w:t>
      </w:r>
    </w:p>
    <w:p w14:paraId="557C3E60" w14:textId="77777777"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color w:val="000000"/>
          <w:szCs w:val="18"/>
        </w:rPr>
        <w:t xml:space="preserve">— Abdominal pain. </w:t>
      </w:r>
    </w:p>
    <w:p w14:paraId="1A71C783" w14:textId="77777777" w:rsidR="005D0F09" w:rsidRPr="00E67064" w:rsidRDefault="005D0F09" w:rsidP="005D0F09">
      <w:pPr>
        <w:autoSpaceDE w:val="0"/>
        <w:autoSpaceDN w:val="0"/>
        <w:adjustRightInd w:val="0"/>
        <w:spacing w:after="60"/>
        <w:rPr>
          <w:rFonts w:eastAsiaTheme="minorHAnsi" w:cs="Tahoma"/>
          <w:i/>
          <w:color w:val="000000"/>
          <w:szCs w:val="18"/>
        </w:rPr>
      </w:pPr>
      <w:r w:rsidRPr="00E67064">
        <w:rPr>
          <w:rFonts w:eastAsiaTheme="minorHAnsi" w:cs="Tahoma"/>
          <w:i/>
          <w:color w:val="000000"/>
          <w:szCs w:val="18"/>
        </w:rPr>
        <w:t>HUS</w:t>
      </w:r>
    </w:p>
    <w:p w14:paraId="19FFAFE1" w14:textId="77777777" w:rsidR="005D0F09" w:rsidRPr="00E67064" w:rsidRDefault="005D0F09" w:rsidP="005D0F09">
      <w:pPr>
        <w:autoSpaceDE w:val="0"/>
        <w:autoSpaceDN w:val="0"/>
        <w:adjustRightInd w:val="0"/>
        <w:spacing w:after="60"/>
        <w:rPr>
          <w:rFonts w:eastAsiaTheme="minorHAnsi" w:cs="Tahoma"/>
          <w:szCs w:val="18"/>
        </w:rPr>
      </w:pPr>
      <w:r w:rsidRPr="00E67064">
        <w:rPr>
          <w:rFonts w:eastAsiaTheme="minorHAnsi" w:cs="Tahoma"/>
          <w:szCs w:val="18"/>
        </w:rPr>
        <w:t>Any person with acute renal failure and at least one of the following two:</w:t>
      </w:r>
    </w:p>
    <w:p w14:paraId="010B0290" w14:textId="41200C6D" w:rsidR="005D0F09" w:rsidRPr="00E67064" w:rsidRDefault="005D0F09" w:rsidP="005D0F09">
      <w:pPr>
        <w:autoSpaceDE w:val="0"/>
        <w:autoSpaceDN w:val="0"/>
        <w:adjustRightInd w:val="0"/>
        <w:spacing w:after="60"/>
        <w:rPr>
          <w:rFonts w:eastAsiaTheme="minorHAnsi" w:cs="Tahoma"/>
          <w:szCs w:val="18"/>
        </w:rPr>
      </w:pPr>
      <w:r w:rsidRPr="00E67064">
        <w:rPr>
          <w:rFonts w:eastAsiaTheme="minorHAnsi" w:cs="Tahoma"/>
          <w:color w:val="000000"/>
          <w:szCs w:val="18"/>
        </w:rPr>
        <w:t xml:space="preserve">— </w:t>
      </w:r>
      <w:proofErr w:type="spellStart"/>
      <w:r w:rsidRPr="00E67064">
        <w:rPr>
          <w:rFonts w:eastAsiaTheme="minorHAnsi" w:cs="Tahoma"/>
          <w:szCs w:val="18"/>
        </w:rPr>
        <w:t>Microangiopatic</w:t>
      </w:r>
      <w:proofErr w:type="spellEnd"/>
      <w:r w:rsidRPr="00E67064">
        <w:rPr>
          <w:rFonts w:eastAsiaTheme="minorHAnsi" w:cs="Tahoma"/>
          <w:szCs w:val="18"/>
        </w:rPr>
        <w:t xml:space="preserve"> haemolytic </w:t>
      </w:r>
      <w:proofErr w:type="gramStart"/>
      <w:r w:rsidRPr="00E67064">
        <w:rPr>
          <w:rFonts w:eastAsiaTheme="minorHAnsi" w:cs="Tahoma"/>
          <w:szCs w:val="18"/>
        </w:rPr>
        <w:t>anaemia;</w:t>
      </w:r>
      <w:proofErr w:type="gramEnd"/>
    </w:p>
    <w:p w14:paraId="12C6F40C" w14:textId="77777777" w:rsidR="00B9235D" w:rsidRDefault="005D0F09" w:rsidP="00B9235D">
      <w:pPr>
        <w:autoSpaceDE w:val="0"/>
        <w:autoSpaceDN w:val="0"/>
        <w:adjustRightInd w:val="0"/>
        <w:spacing w:after="60"/>
        <w:rPr>
          <w:rFonts w:eastAsiaTheme="minorHAnsi" w:cs="Tahoma"/>
          <w:szCs w:val="18"/>
        </w:rPr>
      </w:pPr>
      <w:r w:rsidRPr="00E67064">
        <w:rPr>
          <w:rFonts w:eastAsiaTheme="minorHAnsi" w:cs="Tahoma"/>
          <w:color w:val="000000"/>
          <w:szCs w:val="18"/>
        </w:rPr>
        <w:t xml:space="preserve">— </w:t>
      </w:r>
      <w:r w:rsidRPr="00E67064">
        <w:rPr>
          <w:rFonts w:eastAsiaTheme="minorHAnsi" w:cs="Tahoma"/>
          <w:szCs w:val="18"/>
        </w:rPr>
        <w:t>Thrombocytopenia.</w:t>
      </w:r>
    </w:p>
    <w:p w14:paraId="7F21BEB7" w14:textId="5AA54EA5" w:rsidR="005D0F09" w:rsidRPr="00E67064" w:rsidDel="008B2C15" w:rsidRDefault="005D0F09" w:rsidP="00B9235D">
      <w:pPr>
        <w:autoSpaceDE w:val="0"/>
        <w:autoSpaceDN w:val="0"/>
        <w:adjustRightInd w:val="0"/>
        <w:spacing w:after="60"/>
        <w:rPr>
          <w:rFonts w:eastAsiaTheme="minorHAnsi"/>
          <w:color w:val="000000"/>
        </w:rPr>
      </w:pPr>
      <w:r w:rsidRPr="00E67064">
        <w:rPr>
          <w:rFonts w:eastAsiaTheme="minorHAnsi" w:cs="Tahoma"/>
          <w:b/>
          <w:bCs/>
          <w:color w:val="000000"/>
          <w:szCs w:val="18"/>
        </w:rPr>
        <w:t xml:space="preserve">Laboratory criteria </w:t>
      </w:r>
    </w:p>
    <w:p w14:paraId="4C9E61F0" w14:textId="22CAF905"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color w:val="000000"/>
          <w:szCs w:val="18"/>
        </w:rPr>
        <w:t xml:space="preserve">At least one of the following four: </w:t>
      </w:r>
    </w:p>
    <w:p w14:paraId="299FE556" w14:textId="77777777" w:rsidR="00B9235D" w:rsidRPr="000E5152" w:rsidRDefault="00FA3A9F" w:rsidP="005D0F09">
      <w:pPr>
        <w:autoSpaceDE w:val="0"/>
        <w:autoSpaceDN w:val="0"/>
        <w:adjustRightInd w:val="0"/>
        <w:spacing w:after="60"/>
        <w:rPr>
          <w:szCs w:val="18"/>
        </w:rPr>
      </w:pPr>
      <w:r w:rsidRPr="00E67064">
        <w:rPr>
          <w:szCs w:val="18"/>
        </w:rPr>
        <w:t xml:space="preserve">— Isolation/cultivation of </w:t>
      </w:r>
      <w:r w:rsidRPr="00E67064">
        <w:rPr>
          <w:i/>
          <w:szCs w:val="18"/>
        </w:rPr>
        <w:t>Escherichia coli</w:t>
      </w:r>
      <w:r w:rsidRPr="00E67064">
        <w:rPr>
          <w:szCs w:val="18"/>
        </w:rPr>
        <w:t xml:space="preserve"> that produces Shiga toxin/verocytotoxin or harbours stx1/vtx1 or stx2/vtx2 gene(s)</w:t>
      </w:r>
    </w:p>
    <w:p w14:paraId="3151B6C1" w14:textId="77777777" w:rsidR="00B9235D" w:rsidRDefault="00FA3A9F" w:rsidP="005D0F09">
      <w:pPr>
        <w:autoSpaceDE w:val="0"/>
        <w:autoSpaceDN w:val="0"/>
        <w:adjustRightInd w:val="0"/>
        <w:spacing w:after="60"/>
        <w:rPr>
          <w:szCs w:val="18"/>
        </w:rPr>
      </w:pPr>
      <w:r w:rsidRPr="00E67064">
        <w:rPr>
          <w:szCs w:val="18"/>
        </w:rPr>
        <w:t xml:space="preserve">— Isolation of non-sorbitol-fermenting (NSF) </w:t>
      </w:r>
      <w:r w:rsidRPr="00E67064">
        <w:rPr>
          <w:i/>
          <w:szCs w:val="18"/>
        </w:rPr>
        <w:t>Escherichia coli</w:t>
      </w:r>
      <w:r w:rsidRPr="00E67064">
        <w:rPr>
          <w:szCs w:val="18"/>
        </w:rPr>
        <w:t xml:space="preserve"> O157 (without testing for the toxin or toxin-producing genes)</w:t>
      </w:r>
    </w:p>
    <w:p w14:paraId="01810C12" w14:textId="77777777" w:rsidR="00B9235D" w:rsidRDefault="00FA3A9F" w:rsidP="005D0F09">
      <w:pPr>
        <w:autoSpaceDE w:val="0"/>
        <w:autoSpaceDN w:val="0"/>
        <w:adjustRightInd w:val="0"/>
        <w:spacing w:after="60"/>
        <w:rPr>
          <w:szCs w:val="18"/>
        </w:rPr>
      </w:pPr>
      <w:r w:rsidRPr="00E67064">
        <w:rPr>
          <w:szCs w:val="18"/>
        </w:rPr>
        <w:t>— Direct detection of stx1/vtx1 or stx2/vtx2 gene(s) nucleic acid</w:t>
      </w:r>
    </w:p>
    <w:p w14:paraId="6E62F86F" w14:textId="77777777" w:rsidR="00B9235D" w:rsidRDefault="00FA3A9F" w:rsidP="005D0F09">
      <w:pPr>
        <w:autoSpaceDE w:val="0"/>
        <w:autoSpaceDN w:val="0"/>
        <w:adjustRightInd w:val="0"/>
        <w:spacing w:after="60"/>
        <w:rPr>
          <w:szCs w:val="18"/>
        </w:rPr>
      </w:pPr>
      <w:r w:rsidRPr="00E67064">
        <w:rPr>
          <w:szCs w:val="18"/>
        </w:rPr>
        <w:t xml:space="preserve">— Direct detection of free Shiga toxin/verocytotoxin in faeces </w:t>
      </w:r>
    </w:p>
    <w:p w14:paraId="58D39215" w14:textId="77777777" w:rsidR="00B9235D" w:rsidRDefault="00FA3A9F" w:rsidP="005D0F09">
      <w:pPr>
        <w:autoSpaceDE w:val="0"/>
        <w:autoSpaceDN w:val="0"/>
        <w:adjustRightInd w:val="0"/>
        <w:spacing w:after="60"/>
        <w:rPr>
          <w:szCs w:val="18"/>
        </w:rPr>
      </w:pPr>
      <w:r w:rsidRPr="00E67064">
        <w:rPr>
          <w:szCs w:val="18"/>
        </w:rPr>
        <w:t>Only for HUS the following can be used as a laboratory criterion to confirm STEC/VTEC:</w:t>
      </w:r>
    </w:p>
    <w:p w14:paraId="5FBFED63" w14:textId="47981FCC" w:rsidR="00FA3A9F" w:rsidRPr="00E67064" w:rsidRDefault="00FA3A9F" w:rsidP="005D0F09">
      <w:pPr>
        <w:autoSpaceDE w:val="0"/>
        <w:autoSpaceDN w:val="0"/>
        <w:adjustRightInd w:val="0"/>
        <w:spacing w:after="60"/>
        <w:rPr>
          <w:szCs w:val="18"/>
        </w:rPr>
      </w:pPr>
      <w:r w:rsidRPr="00E67064">
        <w:rPr>
          <w:szCs w:val="18"/>
        </w:rPr>
        <w:t xml:space="preserve">— </w:t>
      </w:r>
      <w:r w:rsidRPr="00E67064">
        <w:rPr>
          <w:i/>
          <w:szCs w:val="18"/>
        </w:rPr>
        <w:t>Escherichia coli</w:t>
      </w:r>
      <w:r w:rsidRPr="00E67064">
        <w:rPr>
          <w:szCs w:val="18"/>
        </w:rPr>
        <w:t xml:space="preserve"> serogroup-specific (LPS) antibody response</w:t>
      </w:r>
    </w:p>
    <w:p w14:paraId="7397CD6C" w14:textId="77777777" w:rsidR="005D0F09" w:rsidRPr="00E67064" w:rsidRDefault="005D0F09" w:rsidP="005D0F09">
      <w:pPr>
        <w:autoSpaceDE w:val="0"/>
        <w:autoSpaceDN w:val="0"/>
        <w:adjustRightInd w:val="0"/>
        <w:spacing w:before="120" w:after="120"/>
        <w:rPr>
          <w:rFonts w:eastAsiaTheme="minorHAnsi" w:cs="Tahoma"/>
          <w:color w:val="000000"/>
          <w:szCs w:val="18"/>
        </w:rPr>
      </w:pPr>
      <w:r w:rsidRPr="00E67064">
        <w:rPr>
          <w:rFonts w:eastAsiaTheme="minorHAnsi" w:cs="Tahoma"/>
          <w:b/>
          <w:bCs/>
          <w:color w:val="000000"/>
          <w:szCs w:val="18"/>
        </w:rPr>
        <w:t xml:space="preserve">Epidemiological criteria </w:t>
      </w:r>
    </w:p>
    <w:p w14:paraId="21B0A9B6" w14:textId="77777777"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color w:val="000000"/>
          <w:szCs w:val="18"/>
        </w:rPr>
        <w:t xml:space="preserve">At least one of the following five epidemiological links: </w:t>
      </w:r>
    </w:p>
    <w:p w14:paraId="116B802A" w14:textId="77777777"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color w:val="000000"/>
          <w:szCs w:val="18"/>
        </w:rPr>
        <w:t xml:space="preserve">— Human to human </w:t>
      </w:r>
      <w:proofErr w:type="gramStart"/>
      <w:r w:rsidRPr="00E67064">
        <w:rPr>
          <w:rFonts w:eastAsiaTheme="minorHAnsi" w:cs="Tahoma"/>
          <w:color w:val="000000"/>
          <w:szCs w:val="18"/>
        </w:rPr>
        <w:t>transmission;</w:t>
      </w:r>
      <w:proofErr w:type="gramEnd"/>
      <w:r w:rsidRPr="00E67064">
        <w:rPr>
          <w:rFonts w:eastAsiaTheme="minorHAnsi" w:cs="Tahoma"/>
          <w:color w:val="000000"/>
          <w:szCs w:val="18"/>
        </w:rPr>
        <w:t xml:space="preserve"> </w:t>
      </w:r>
    </w:p>
    <w:p w14:paraId="642084F3" w14:textId="77777777"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color w:val="000000"/>
          <w:szCs w:val="18"/>
        </w:rPr>
        <w:t xml:space="preserve">— Exposure to a common </w:t>
      </w:r>
      <w:proofErr w:type="gramStart"/>
      <w:r w:rsidRPr="00E67064">
        <w:rPr>
          <w:rFonts w:eastAsiaTheme="minorHAnsi" w:cs="Tahoma"/>
          <w:color w:val="000000"/>
          <w:szCs w:val="18"/>
        </w:rPr>
        <w:t>source;</w:t>
      </w:r>
      <w:proofErr w:type="gramEnd"/>
      <w:r w:rsidRPr="00E67064">
        <w:rPr>
          <w:rFonts w:eastAsiaTheme="minorHAnsi" w:cs="Tahoma"/>
          <w:color w:val="000000"/>
          <w:szCs w:val="18"/>
        </w:rPr>
        <w:t xml:space="preserve"> </w:t>
      </w:r>
    </w:p>
    <w:p w14:paraId="4E99593C" w14:textId="77777777"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color w:val="000000"/>
          <w:szCs w:val="18"/>
        </w:rPr>
        <w:t xml:space="preserve">— Animal to human </w:t>
      </w:r>
      <w:proofErr w:type="gramStart"/>
      <w:r w:rsidRPr="00E67064">
        <w:rPr>
          <w:rFonts w:eastAsiaTheme="minorHAnsi" w:cs="Tahoma"/>
          <w:color w:val="000000"/>
          <w:szCs w:val="18"/>
        </w:rPr>
        <w:t>transmission;</w:t>
      </w:r>
      <w:proofErr w:type="gramEnd"/>
      <w:r w:rsidRPr="00E67064">
        <w:rPr>
          <w:rFonts w:eastAsiaTheme="minorHAnsi" w:cs="Tahoma"/>
          <w:color w:val="000000"/>
          <w:szCs w:val="18"/>
        </w:rPr>
        <w:t xml:space="preserve"> </w:t>
      </w:r>
    </w:p>
    <w:p w14:paraId="6C012F68" w14:textId="77777777"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color w:val="000000"/>
          <w:szCs w:val="18"/>
        </w:rPr>
        <w:t xml:space="preserve">— Exposure to contaminated food/drinking </w:t>
      </w:r>
      <w:proofErr w:type="gramStart"/>
      <w:r w:rsidRPr="00E67064">
        <w:rPr>
          <w:rFonts w:eastAsiaTheme="minorHAnsi" w:cs="Tahoma"/>
          <w:color w:val="000000"/>
          <w:szCs w:val="18"/>
        </w:rPr>
        <w:t>water;</w:t>
      </w:r>
      <w:proofErr w:type="gramEnd"/>
      <w:r w:rsidRPr="00E67064">
        <w:rPr>
          <w:rFonts w:eastAsiaTheme="minorHAnsi" w:cs="Tahoma"/>
          <w:color w:val="000000"/>
          <w:szCs w:val="18"/>
        </w:rPr>
        <w:t xml:space="preserve"> </w:t>
      </w:r>
    </w:p>
    <w:p w14:paraId="0484961B" w14:textId="77777777" w:rsidR="005D0F09" w:rsidRPr="00E67064" w:rsidRDefault="005D0F09" w:rsidP="005D0F09">
      <w:pPr>
        <w:autoSpaceDE w:val="0"/>
        <w:autoSpaceDN w:val="0"/>
        <w:adjustRightInd w:val="0"/>
        <w:spacing w:after="60"/>
        <w:rPr>
          <w:rFonts w:eastAsiaTheme="minorHAnsi" w:cs="Tahoma"/>
          <w:color w:val="000000"/>
          <w:szCs w:val="18"/>
        </w:rPr>
      </w:pPr>
      <w:r w:rsidRPr="00E67064">
        <w:rPr>
          <w:rFonts w:eastAsiaTheme="minorHAnsi" w:cs="Tahoma"/>
          <w:color w:val="000000"/>
          <w:szCs w:val="18"/>
        </w:rPr>
        <w:t>— Environmental exposure.</w:t>
      </w:r>
    </w:p>
    <w:p w14:paraId="6D7F3DE2" w14:textId="77777777" w:rsidR="005D0F09" w:rsidRPr="00E67064" w:rsidDel="008B2C15" w:rsidRDefault="005D0F09" w:rsidP="005D0F09">
      <w:pPr>
        <w:pStyle w:val="CM4"/>
        <w:spacing w:before="240"/>
        <w:rPr>
          <w:rFonts w:ascii="Tahoma" w:hAnsi="Tahoma" w:cs="Tahoma"/>
          <w:b/>
          <w:sz w:val="18"/>
          <w:szCs w:val="18"/>
        </w:rPr>
      </w:pPr>
      <w:r w:rsidRPr="00E67064">
        <w:rPr>
          <w:rFonts w:ascii="Tahoma" w:hAnsi="Tahoma" w:cs="Tahoma"/>
          <w:b/>
          <w:sz w:val="18"/>
          <w:szCs w:val="18"/>
        </w:rPr>
        <w:t>Case classification</w:t>
      </w:r>
      <w:r w:rsidRPr="00E67064" w:rsidDel="008D3A72">
        <w:rPr>
          <w:rFonts w:ascii="Tahoma" w:hAnsi="Tahoma" w:cs="Tahoma"/>
          <w:b/>
          <w:sz w:val="18"/>
          <w:szCs w:val="18"/>
        </w:rPr>
        <w:t>:</w:t>
      </w:r>
    </w:p>
    <w:p w14:paraId="4575EA28" w14:textId="77777777" w:rsidR="005D0F09" w:rsidRPr="00E67064" w:rsidRDefault="005D0F09" w:rsidP="005D0F09">
      <w:pPr>
        <w:pStyle w:val="CM4"/>
        <w:spacing w:before="120"/>
        <w:rPr>
          <w:rFonts w:ascii="Tahoma" w:hAnsi="Tahoma" w:cs="Tahoma"/>
          <w:color w:val="000000"/>
          <w:sz w:val="18"/>
          <w:szCs w:val="18"/>
        </w:rPr>
      </w:pPr>
      <w:r w:rsidRPr="00E67064">
        <w:rPr>
          <w:rFonts w:ascii="Tahoma" w:hAnsi="Tahoma" w:cs="Tahoma"/>
          <w:color w:val="000000"/>
          <w:sz w:val="18"/>
          <w:szCs w:val="18"/>
        </w:rPr>
        <w:t xml:space="preserve">A. </w:t>
      </w:r>
      <w:r w:rsidRPr="00E67064">
        <w:rPr>
          <w:rFonts w:ascii="Tahoma" w:hAnsi="Tahoma" w:cs="Tahoma"/>
          <w:bCs/>
          <w:color w:val="000000"/>
          <w:sz w:val="18"/>
          <w:szCs w:val="18"/>
        </w:rPr>
        <w:t xml:space="preserve">Possible case of STEC-associated HUS: </w:t>
      </w:r>
      <w:r w:rsidRPr="00E67064">
        <w:rPr>
          <w:rFonts w:ascii="Tahoma" w:hAnsi="Tahoma" w:cs="Tahoma"/>
          <w:color w:val="000000"/>
          <w:sz w:val="18"/>
          <w:szCs w:val="18"/>
        </w:rPr>
        <w:t xml:space="preserve">Any person meeting the clinical criteria for HUS </w:t>
      </w:r>
    </w:p>
    <w:p w14:paraId="57A4DF77" w14:textId="77777777" w:rsidR="005D0F09" w:rsidRPr="00E67064" w:rsidRDefault="005D0F09" w:rsidP="005D0F09">
      <w:pPr>
        <w:autoSpaceDE w:val="0"/>
        <w:autoSpaceDN w:val="0"/>
        <w:adjustRightInd w:val="0"/>
        <w:spacing w:before="60" w:after="60"/>
        <w:rPr>
          <w:rFonts w:eastAsiaTheme="minorHAnsi" w:cs="Tahoma"/>
          <w:color w:val="000000"/>
          <w:szCs w:val="18"/>
        </w:rPr>
      </w:pPr>
      <w:r w:rsidRPr="00E67064">
        <w:rPr>
          <w:rFonts w:eastAsiaTheme="minorHAnsi" w:cs="Tahoma"/>
          <w:color w:val="000000"/>
          <w:szCs w:val="18"/>
        </w:rPr>
        <w:t xml:space="preserve">B. </w:t>
      </w:r>
      <w:r w:rsidRPr="00E67064">
        <w:rPr>
          <w:rFonts w:eastAsiaTheme="minorHAnsi" w:cs="Tahoma"/>
          <w:bCs/>
          <w:color w:val="000000"/>
          <w:szCs w:val="18"/>
        </w:rPr>
        <w:t xml:space="preserve">Probable case of STEC/VTEC: </w:t>
      </w:r>
      <w:r w:rsidRPr="00E67064">
        <w:rPr>
          <w:rFonts w:eastAsiaTheme="minorHAnsi" w:cs="Tahoma"/>
          <w:color w:val="000000"/>
          <w:szCs w:val="18"/>
        </w:rPr>
        <w:t xml:space="preserve">Any person meeting the clinical criteria and with an epidemiological link </w:t>
      </w:r>
    </w:p>
    <w:p w14:paraId="6B1DB763" w14:textId="519FEBEC" w:rsidR="005D0F09" w:rsidRPr="00E67064" w:rsidRDefault="005D0F09" w:rsidP="005D0F09">
      <w:pPr>
        <w:autoSpaceDE w:val="0"/>
        <w:autoSpaceDN w:val="0"/>
        <w:adjustRightInd w:val="0"/>
        <w:spacing w:before="60" w:after="60"/>
        <w:rPr>
          <w:rFonts w:eastAsiaTheme="minorHAnsi" w:cs="Tahoma"/>
          <w:color w:val="000000"/>
          <w:szCs w:val="18"/>
        </w:rPr>
      </w:pPr>
      <w:r w:rsidRPr="00E67064">
        <w:rPr>
          <w:rFonts w:eastAsiaTheme="minorHAnsi" w:cs="Tahoma"/>
          <w:color w:val="000000"/>
          <w:szCs w:val="18"/>
        </w:rPr>
        <w:t xml:space="preserve">C. </w:t>
      </w:r>
      <w:r w:rsidRPr="00E67064">
        <w:rPr>
          <w:rFonts w:eastAsiaTheme="minorHAnsi" w:cs="Tahoma"/>
          <w:bCs/>
          <w:color w:val="000000"/>
          <w:szCs w:val="18"/>
        </w:rPr>
        <w:t xml:space="preserve">Confirmed case of STEC/VTEC: </w:t>
      </w:r>
      <w:r w:rsidRPr="00E67064">
        <w:rPr>
          <w:rFonts w:eastAsiaTheme="minorHAnsi" w:cs="Tahoma"/>
          <w:color w:val="000000"/>
          <w:szCs w:val="18"/>
        </w:rPr>
        <w:t>Any person meeting the clinical and the laboratory criteria</w:t>
      </w:r>
    </w:p>
    <w:p w14:paraId="5346DFCE" w14:textId="77777777" w:rsidR="00B9235D" w:rsidRDefault="00B9235D" w:rsidP="005D0F09">
      <w:pPr>
        <w:autoSpaceDE w:val="0"/>
        <w:autoSpaceDN w:val="0"/>
        <w:adjustRightInd w:val="0"/>
        <w:spacing w:before="60" w:after="60"/>
        <w:rPr>
          <w:szCs w:val="18"/>
        </w:rPr>
      </w:pPr>
    </w:p>
    <w:p w14:paraId="4FE50085" w14:textId="1AC35955" w:rsidR="005C5379" w:rsidRPr="00E67064" w:rsidRDefault="005C5379" w:rsidP="005D0F09">
      <w:pPr>
        <w:autoSpaceDE w:val="0"/>
        <w:autoSpaceDN w:val="0"/>
        <w:adjustRightInd w:val="0"/>
        <w:spacing w:before="60" w:after="60"/>
        <w:rPr>
          <w:szCs w:val="18"/>
        </w:rPr>
      </w:pPr>
      <w:r w:rsidRPr="00E67064">
        <w:rPr>
          <w:szCs w:val="18"/>
        </w:rPr>
        <w:lastRenderedPageBreak/>
        <w:t>Note: If the national surveillance system is not capturing clinical symptoms, all laboratory-confirmed individuals should be reported as confirmed cases</w:t>
      </w:r>
    </w:p>
    <w:p w14:paraId="7B9411A4" w14:textId="44A3C6D6" w:rsidR="00E67064" w:rsidRDefault="00E67064" w:rsidP="005D0F09">
      <w:pPr>
        <w:autoSpaceDE w:val="0"/>
        <w:autoSpaceDN w:val="0"/>
        <w:adjustRightInd w:val="0"/>
        <w:spacing w:before="60" w:after="60"/>
        <w:rPr>
          <w:szCs w:val="18"/>
          <w:highlight w:val="yellow"/>
        </w:rPr>
      </w:pPr>
    </w:p>
    <w:p w14:paraId="1097B93D" w14:textId="77777777" w:rsidR="00E67064" w:rsidRDefault="00E67064" w:rsidP="00E67064">
      <w:pPr>
        <w:pStyle w:val="EC-Para"/>
        <w:spacing w:after="0" w:line="240" w:lineRule="auto"/>
        <w:jc w:val="both"/>
        <w:rPr>
          <w:rFonts w:cs="Tahoma"/>
        </w:rPr>
      </w:pPr>
      <w:r>
        <w:rPr>
          <w:rFonts w:cs="Tahoma"/>
        </w:rPr>
        <w:t>------------------------</w:t>
      </w:r>
    </w:p>
    <w:p w14:paraId="27AA1B40" w14:textId="07D8EA54" w:rsidR="00E67064" w:rsidRPr="00B960F7" w:rsidRDefault="00E67064" w:rsidP="00E67064">
      <w:pPr>
        <w:pStyle w:val="EC-Para"/>
        <w:spacing w:after="0" w:line="240" w:lineRule="auto"/>
        <w:jc w:val="both"/>
        <w:rPr>
          <w:lang w:eastAsia="en-US"/>
        </w:rPr>
      </w:pPr>
      <w:r>
        <w:rPr>
          <w:lang w:eastAsia="en-US"/>
        </w:rPr>
        <w:t>(T</w:t>
      </w:r>
      <w:r w:rsidRPr="00B960F7">
        <w:rPr>
          <w:lang w:eastAsia="en-US"/>
        </w:rPr>
        <w:t xml:space="preserve">he </w:t>
      </w:r>
      <w:r>
        <w:rPr>
          <w:lang w:eastAsia="en-US"/>
        </w:rPr>
        <w:t>note is the only difference between the 2018</w:t>
      </w:r>
      <w:r w:rsidRPr="00B960F7">
        <w:rPr>
          <w:lang w:eastAsia="en-US"/>
        </w:rPr>
        <w:t xml:space="preserve"> EU cas</w:t>
      </w:r>
      <w:r>
        <w:rPr>
          <w:lang w:eastAsia="en-US"/>
        </w:rPr>
        <w:t>e definition and the</w:t>
      </w:r>
      <w:r w:rsidRPr="00B960F7">
        <w:rPr>
          <w:lang w:eastAsia="en-US"/>
        </w:rPr>
        <w:t xml:space="preserve"> </w:t>
      </w:r>
      <w:r>
        <w:rPr>
          <w:lang w:eastAsia="en-US"/>
        </w:rPr>
        <w:t>2012 EU case definition.)</w:t>
      </w:r>
    </w:p>
    <w:p w14:paraId="5A0FCBCB" w14:textId="77777777" w:rsidR="00E67064" w:rsidRPr="005C5379" w:rsidRDefault="00E67064" w:rsidP="005D0F09">
      <w:pPr>
        <w:autoSpaceDE w:val="0"/>
        <w:autoSpaceDN w:val="0"/>
        <w:adjustRightInd w:val="0"/>
        <w:spacing w:before="60" w:after="60"/>
        <w:rPr>
          <w:rFonts w:eastAsiaTheme="minorHAnsi" w:cs="Tahoma"/>
          <w:color w:val="000000"/>
          <w:szCs w:val="18"/>
        </w:rPr>
      </w:pPr>
    </w:p>
    <w:p w14:paraId="27E2E44C" w14:textId="77777777" w:rsidR="005D0F09" w:rsidRPr="00C779AF" w:rsidRDefault="005D0F09" w:rsidP="00E116C7">
      <w:pPr>
        <w:pStyle w:val="EC-Title-6"/>
      </w:pPr>
      <w:r>
        <w:t xml:space="preserve">Data collection and analysis </w:t>
      </w:r>
    </w:p>
    <w:p w14:paraId="465CF25A" w14:textId="77777777" w:rsidR="005D0F09" w:rsidRDefault="005D0F09" w:rsidP="005D0F09">
      <w:pPr>
        <w:pStyle w:val="EC-Para"/>
        <w:spacing w:line="240" w:lineRule="auto"/>
        <w:jc w:val="both"/>
        <w:rPr>
          <w:rFonts w:cs="Tahoma"/>
        </w:rPr>
      </w:pPr>
      <w:r w:rsidRPr="00DA6ADE">
        <w:rPr>
          <w:rFonts w:cs="Tahoma"/>
        </w:rPr>
        <w:t xml:space="preserve">Data </w:t>
      </w:r>
      <w:r>
        <w:rPr>
          <w:rFonts w:cs="Tahoma"/>
        </w:rPr>
        <w:t xml:space="preserve">for STEC/VTEC infections </w:t>
      </w:r>
      <w:r w:rsidRPr="00DA6ADE">
        <w:rPr>
          <w:rFonts w:cs="Tahoma"/>
        </w:rPr>
        <w:t xml:space="preserve">are collected on </w:t>
      </w:r>
      <w:r>
        <w:rPr>
          <w:rFonts w:cs="Tahoma"/>
        </w:rPr>
        <w:t xml:space="preserve">an </w:t>
      </w:r>
      <w:r w:rsidRPr="00DA6ADE">
        <w:rPr>
          <w:rFonts w:cs="Tahoma"/>
        </w:rPr>
        <w:t>annual basis</w:t>
      </w:r>
      <w:r>
        <w:rPr>
          <w:rFonts w:cs="Tahoma"/>
        </w:rPr>
        <w:t xml:space="preserve"> for the previous year</w:t>
      </w:r>
      <w:r w:rsidRPr="00DA6ADE">
        <w:rPr>
          <w:rFonts w:cs="Tahoma"/>
        </w:rPr>
        <w:t>.</w:t>
      </w:r>
      <w:r>
        <w:rPr>
          <w:rFonts w:cs="Tahoma"/>
        </w:rPr>
        <w:t xml:space="preserve"> C</w:t>
      </w:r>
      <w:r w:rsidRPr="007B34B1">
        <w:rPr>
          <w:rFonts w:cs="Tahoma"/>
        </w:rPr>
        <w:t>ountries can also update their data</w:t>
      </w:r>
      <w:r>
        <w:rPr>
          <w:rFonts w:cs="Tahoma"/>
        </w:rPr>
        <w:t xml:space="preserve"> at any time. </w:t>
      </w:r>
      <w:r w:rsidRPr="00DA6ADE">
        <w:rPr>
          <w:rFonts w:cs="Tahoma"/>
        </w:rPr>
        <w:t>Before analysis, data are validated with nominated data providers in</w:t>
      </w:r>
      <w:r w:rsidRPr="00DA6ADE" w:rsidDel="00BD0355">
        <w:rPr>
          <w:rFonts w:cs="Tahoma"/>
        </w:rPr>
        <w:t xml:space="preserve"> </w:t>
      </w:r>
      <w:r>
        <w:rPr>
          <w:rFonts w:cs="Tahoma"/>
        </w:rPr>
        <w:t>each EU/EEA country</w:t>
      </w:r>
      <w:r w:rsidRPr="00DA6ADE">
        <w:rPr>
          <w:rFonts w:cs="Tahoma"/>
        </w:rPr>
        <w:t xml:space="preserve">. </w:t>
      </w:r>
      <w:r w:rsidRPr="00DA6ADE">
        <w:t xml:space="preserve">For the calculation of notification rates, country </w:t>
      </w:r>
      <w:r>
        <w:t>population denominators by age group were obtained from Eurostat</w:t>
      </w:r>
      <w:r>
        <w:rPr>
          <w:rStyle w:val="FootnoteReference"/>
        </w:rPr>
        <w:footnoteReference w:id="35"/>
      </w:r>
      <w:r>
        <w:t>.</w:t>
      </w:r>
      <w:r w:rsidRPr="00AE76D2">
        <w:rPr>
          <w:rFonts w:cstheme="minorHAnsi"/>
        </w:rPr>
        <w:t xml:space="preserve"> </w:t>
      </w:r>
      <w:r>
        <w:rPr>
          <w:rFonts w:cstheme="minorHAnsi"/>
        </w:rPr>
        <w:t>Note that the data published in the Surveillance Atlas might differ from figures in national reports and in official reports published by ECDC and EFSA due to different times of data extraction, inclusion of cases by different case definitions and use of different denominators.</w:t>
      </w:r>
    </w:p>
    <w:p w14:paraId="76CA501E" w14:textId="77777777" w:rsidR="005D0F09" w:rsidRDefault="005D0F09" w:rsidP="005D0F09">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4A707E8B" w14:textId="77777777" w:rsidR="005D0F09" w:rsidRDefault="005D0F09" w:rsidP="005D0F09">
      <w:pPr>
        <w:pStyle w:val="EC-Para"/>
        <w:jc w:val="both"/>
        <w:rPr>
          <w:rFonts w:cs="Tahoma"/>
        </w:rPr>
      </w:pPr>
      <w:r>
        <w:rPr>
          <w:rFonts w:cs="Tahoma"/>
        </w:rPr>
        <w:t>Surveillance systems across the EU/EEA countries are heterogeneous. An overview is displayed in Annex 1.</w:t>
      </w:r>
    </w:p>
    <w:p w14:paraId="3D94B2B1" w14:textId="77777777" w:rsidR="00E116C7" w:rsidRDefault="00E116C7" w:rsidP="005D0F09">
      <w:pPr>
        <w:pStyle w:val="EC-Para"/>
        <w:jc w:val="both"/>
        <w:rPr>
          <w:rFonts w:cs="Tahoma"/>
        </w:rPr>
      </w:pPr>
    </w:p>
    <w:p w14:paraId="58B366D9" w14:textId="77777777" w:rsidR="005D0F09" w:rsidRPr="00AE16E5" w:rsidRDefault="005D0F09" w:rsidP="00E116C7">
      <w:pPr>
        <w:pStyle w:val="EC-Title-6"/>
      </w:pPr>
      <w:r w:rsidRPr="00AE16E5">
        <w:t>Surveillance Atlas indicators</w:t>
      </w:r>
    </w:p>
    <w:p w14:paraId="757D7031" w14:textId="663865CB" w:rsidR="005D0F09" w:rsidRDefault="005D0F09" w:rsidP="00E116C7">
      <w:pPr>
        <w:pStyle w:val="EC-Para"/>
        <w:spacing w:before="60" w:after="60" w:line="259" w:lineRule="auto"/>
        <w:jc w:val="both"/>
        <w:rPr>
          <w:rFonts w:cs="Tahoma"/>
        </w:rPr>
      </w:pPr>
      <w:r>
        <w:rPr>
          <w:rFonts w:cs="Tahoma"/>
        </w:rPr>
        <w:t>The Surveillance Atlas</w:t>
      </w:r>
      <w:r w:rsidRPr="00415E4E">
        <w:rPr>
          <w:rFonts w:cs="Tahoma"/>
        </w:rPr>
        <w:t xml:space="preserve"> </w:t>
      </w:r>
      <w:r>
        <w:rPr>
          <w:rFonts w:cs="Tahoma"/>
        </w:rPr>
        <w:t xml:space="preserve">indicators for </w:t>
      </w:r>
      <w:r w:rsidR="00E116C7">
        <w:rPr>
          <w:rFonts w:cs="Tahoma"/>
        </w:rPr>
        <w:t xml:space="preserve">confirmed </w:t>
      </w:r>
      <w:r w:rsidR="006B2CB2">
        <w:rPr>
          <w:rFonts w:cs="Tahoma"/>
        </w:rPr>
        <w:t xml:space="preserve">cases of </w:t>
      </w:r>
      <w:r>
        <w:rPr>
          <w:rFonts w:cs="Tahoma"/>
        </w:rPr>
        <w:t>STEC/VTEC</w:t>
      </w:r>
      <w:r w:rsidRPr="00415E4E">
        <w:rPr>
          <w:rFonts w:cs="Tahoma"/>
        </w:rPr>
        <w:t xml:space="preserve"> </w:t>
      </w:r>
      <w:r>
        <w:rPr>
          <w:rFonts w:cs="Tahoma"/>
        </w:rPr>
        <w:t xml:space="preserve">infection </w:t>
      </w:r>
      <w:r w:rsidRPr="00415E4E">
        <w:rPr>
          <w:rFonts w:cs="Tahoma"/>
        </w:rPr>
        <w:t>are:</w:t>
      </w:r>
    </w:p>
    <w:p w14:paraId="5DCB4CDB" w14:textId="77777777" w:rsidR="005D0F09" w:rsidRDefault="005D0F09" w:rsidP="000617B1">
      <w:pPr>
        <w:pStyle w:val="EC-Para"/>
        <w:numPr>
          <w:ilvl w:val="0"/>
          <w:numId w:val="44"/>
        </w:numPr>
        <w:spacing w:before="60" w:after="60" w:line="259" w:lineRule="auto"/>
        <w:rPr>
          <w:rFonts w:cs="Tahoma"/>
        </w:rPr>
      </w:pPr>
      <w:r>
        <w:rPr>
          <w:rFonts w:cs="Tahoma"/>
        </w:rPr>
        <w:t xml:space="preserve">Number of reported </w:t>
      </w:r>
      <w:proofErr w:type="gramStart"/>
      <w:r>
        <w:rPr>
          <w:rFonts w:cs="Tahoma"/>
        </w:rPr>
        <w:t>cases;</w:t>
      </w:r>
      <w:proofErr w:type="gramEnd"/>
    </w:p>
    <w:p w14:paraId="5B50545C" w14:textId="77777777" w:rsidR="005D0F09" w:rsidRDefault="005D0F09" w:rsidP="000617B1">
      <w:pPr>
        <w:pStyle w:val="EC-Para"/>
        <w:numPr>
          <w:ilvl w:val="0"/>
          <w:numId w:val="44"/>
        </w:numPr>
        <w:spacing w:before="60" w:after="60" w:line="259" w:lineRule="auto"/>
        <w:rPr>
          <w:rFonts w:cs="Tahoma"/>
        </w:rPr>
      </w:pPr>
      <w:r>
        <w:rPr>
          <w:rFonts w:cs="Tahoma"/>
        </w:rPr>
        <w:t xml:space="preserve">Notification rate per 100 000 </w:t>
      </w:r>
      <w:proofErr w:type="gramStart"/>
      <w:r>
        <w:rPr>
          <w:rFonts w:cs="Tahoma"/>
        </w:rPr>
        <w:t>population;</w:t>
      </w:r>
      <w:proofErr w:type="gramEnd"/>
    </w:p>
    <w:p w14:paraId="33C12F5B" w14:textId="77777777" w:rsidR="005D0F09" w:rsidRDefault="005D0F09" w:rsidP="000617B1">
      <w:pPr>
        <w:pStyle w:val="EC-Para"/>
        <w:numPr>
          <w:ilvl w:val="0"/>
          <w:numId w:val="44"/>
        </w:numPr>
        <w:spacing w:before="60" w:after="60" w:line="259" w:lineRule="auto"/>
        <w:rPr>
          <w:rFonts w:cs="Tahoma"/>
        </w:rPr>
      </w:pPr>
      <w:r>
        <w:rPr>
          <w:rFonts w:cs="Tahoma"/>
        </w:rPr>
        <w:t xml:space="preserve">Age-standardised rate per 100 000 </w:t>
      </w:r>
      <w:proofErr w:type="gramStart"/>
      <w:r>
        <w:rPr>
          <w:rFonts w:cs="Tahoma"/>
        </w:rPr>
        <w:t>population;</w:t>
      </w:r>
      <w:proofErr w:type="gramEnd"/>
    </w:p>
    <w:p w14:paraId="1542790C" w14:textId="77777777" w:rsidR="005D0F09" w:rsidRDefault="005D0F09" w:rsidP="000617B1">
      <w:pPr>
        <w:pStyle w:val="EC-Para"/>
        <w:numPr>
          <w:ilvl w:val="0"/>
          <w:numId w:val="44"/>
        </w:numPr>
        <w:spacing w:before="60" w:after="60" w:line="259" w:lineRule="auto"/>
        <w:rPr>
          <w:rFonts w:cs="Tahoma"/>
        </w:rPr>
      </w:pPr>
      <w:r>
        <w:rPr>
          <w:rFonts w:cs="Tahoma"/>
        </w:rPr>
        <w:t xml:space="preserve">Number of hospitalised </w:t>
      </w:r>
      <w:proofErr w:type="gramStart"/>
      <w:r>
        <w:rPr>
          <w:rFonts w:cs="Tahoma"/>
        </w:rPr>
        <w:t>cases;</w:t>
      </w:r>
      <w:proofErr w:type="gramEnd"/>
      <w:r>
        <w:rPr>
          <w:rFonts w:cs="Tahoma"/>
        </w:rPr>
        <w:t xml:space="preserve"> </w:t>
      </w:r>
    </w:p>
    <w:p w14:paraId="322A83AC" w14:textId="77777777" w:rsidR="005D0F09" w:rsidRDefault="005D0F09" w:rsidP="000617B1">
      <w:pPr>
        <w:pStyle w:val="EC-Para"/>
        <w:numPr>
          <w:ilvl w:val="0"/>
          <w:numId w:val="44"/>
        </w:numPr>
        <w:spacing w:before="60" w:after="60" w:line="259" w:lineRule="auto"/>
        <w:rPr>
          <w:rFonts w:cs="Tahoma"/>
        </w:rPr>
      </w:pPr>
      <w:r>
        <w:rPr>
          <w:rFonts w:cs="Tahoma"/>
        </w:rPr>
        <w:t>Proportion of hospitalised cases among confirmed cases (%</w:t>
      </w:r>
      <w:proofErr w:type="gramStart"/>
      <w:r>
        <w:rPr>
          <w:rFonts w:cs="Tahoma"/>
        </w:rPr>
        <w:t>);</w:t>
      </w:r>
      <w:proofErr w:type="gramEnd"/>
    </w:p>
    <w:p w14:paraId="240A2DCF" w14:textId="77777777" w:rsidR="005D0F09" w:rsidRDefault="005D0F09" w:rsidP="000617B1">
      <w:pPr>
        <w:pStyle w:val="EC-Para"/>
        <w:numPr>
          <w:ilvl w:val="0"/>
          <w:numId w:val="44"/>
        </w:numPr>
        <w:spacing w:before="60" w:after="60" w:line="259" w:lineRule="auto"/>
        <w:rPr>
          <w:rFonts w:cs="Tahoma"/>
        </w:rPr>
      </w:pPr>
      <w:r>
        <w:rPr>
          <w:rFonts w:cs="Tahoma"/>
        </w:rPr>
        <w:t>Number of deaths derived from the reported outcome of the disease.</w:t>
      </w:r>
    </w:p>
    <w:p w14:paraId="358C2D40" w14:textId="77777777" w:rsidR="005D0F09" w:rsidRDefault="005D0F09" w:rsidP="000617B1">
      <w:pPr>
        <w:pStyle w:val="EC-Para"/>
        <w:numPr>
          <w:ilvl w:val="0"/>
          <w:numId w:val="44"/>
        </w:numPr>
        <w:spacing w:before="60" w:after="60" w:line="259" w:lineRule="auto"/>
        <w:rPr>
          <w:rFonts w:cs="Tahoma"/>
        </w:rPr>
      </w:pPr>
      <w:r>
        <w:rPr>
          <w:rFonts w:cs="Tahoma"/>
        </w:rPr>
        <w:t xml:space="preserve">Case fatality calculated as proportion of deaths among cases with known information on outcome of the disease </w:t>
      </w:r>
      <w:r w:rsidRPr="007B34B1">
        <w:rPr>
          <w:rFonts w:cs="Tahoma"/>
        </w:rPr>
        <w:t>(%</w:t>
      </w:r>
      <w:proofErr w:type="gramStart"/>
      <w:r w:rsidRPr="007B34B1">
        <w:rPr>
          <w:rFonts w:cs="Tahoma"/>
        </w:rPr>
        <w:t>)</w:t>
      </w:r>
      <w:r>
        <w:rPr>
          <w:rFonts w:cs="Tahoma"/>
        </w:rPr>
        <w:t>;</w:t>
      </w:r>
      <w:proofErr w:type="gramEnd"/>
    </w:p>
    <w:p w14:paraId="5DB0BBED" w14:textId="77777777" w:rsidR="005D0F09" w:rsidRDefault="005D0F09" w:rsidP="000617B1">
      <w:pPr>
        <w:pStyle w:val="EC-Para"/>
        <w:numPr>
          <w:ilvl w:val="0"/>
          <w:numId w:val="44"/>
        </w:numPr>
        <w:spacing w:before="60" w:after="60" w:line="259" w:lineRule="auto"/>
        <w:rPr>
          <w:rFonts w:cs="Tahoma"/>
        </w:rPr>
      </w:pPr>
      <w:r>
        <w:rPr>
          <w:rFonts w:cs="Tahoma"/>
        </w:rPr>
        <w:t xml:space="preserve">Notification rate for domestic cases per 100 000 </w:t>
      </w:r>
      <w:proofErr w:type="gramStart"/>
      <w:r>
        <w:rPr>
          <w:rFonts w:cs="Tahoma"/>
        </w:rPr>
        <w:t>population;</w:t>
      </w:r>
      <w:proofErr w:type="gramEnd"/>
    </w:p>
    <w:p w14:paraId="60265E78" w14:textId="77777777" w:rsidR="005D0F09" w:rsidRDefault="005D0F09" w:rsidP="000617B1">
      <w:pPr>
        <w:pStyle w:val="EC-Para"/>
        <w:numPr>
          <w:ilvl w:val="0"/>
          <w:numId w:val="44"/>
        </w:numPr>
        <w:spacing w:before="60" w:after="60" w:line="259" w:lineRule="auto"/>
        <w:rPr>
          <w:rFonts w:cs="Tahoma"/>
        </w:rPr>
      </w:pPr>
      <w:r>
        <w:rPr>
          <w:rFonts w:cs="Tahoma"/>
        </w:rPr>
        <w:t xml:space="preserve">Proportion of travel associated cases among confirmed cases (%). </w:t>
      </w:r>
    </w:p>
    <w:p w14:paraId="3B030699" w14:textId="77777777" w:rsidR="005D0F09" w:rsidRDefault="005D0F09" w:rsidP="00E116C7">
      <w:pPr>
        <w:pStyle w:val="EC-Para"/>
        <w:spacing w:before="60" w:after="60" w:line="259" w:lineRule="auto"/>
        <w:ind w:left="714"/>
        <w:rPr>
          <w:rFonts w:cs="Tahoma"/>
        </w:rPr>
      </w:pPr>
    </w:p>
    <w:p w14:paraId="7E20EFB9" w14:textId="7B1E473A" w:rsidR="005D0F09" w:rsidRPr="00E116C7" w:rsidRDefault="00E116C7" w:rsidP="000617B1">
      <w:pPr>
        <w:pStyle w:val="EC-Para"/>
        <w:numPr>
          <w:ilvl w:val="0"/>
          <w:numId w:val="28"/>
        </w:numPr>
        <w:spacing w:before="60" w:after="60" w:line="259" w:lineRule="auto"/>
        <w:ind w:left="714" w:hanging="357"/>
        <w:rPr>
          <w:rFonts w:cs="Tahoma"/>
        </w:rPr>
      </w:pPr>
      <w:r w:rsidRPr="006B2CB2">
        <w:rPr>
          <w:rFonts w:cs="Tahoma"/>
          <w:u w:val="single"/>
        </w:rPr>
        <w:t xml:space="preserve">Indicators for </w:t>
      </w:r>
      <w:proofErr w:type="spellStart"/>
      <w:r w:rsidR="005D0F09" w:rsidRPr="006B2CB2">
        <w:rPr>
          <w:rFonts w:cs="Tahoma"/>
          <w:u w:val="single"/>
        </w:rPr>
        <w:t>for</w:t>
      </w:r>
      <w:proofErr w:type="spellEnd"/>
      <w:r w:rsidR="005D0F09" w:rsidRPr="006B2CB2">
        <w:rPr>
          <w:rFonts w:cs="Tahoma"/>
          <w:u w:val="single"/>
        </w:rPr>
        <w:t xml:space="preserve"> HUS cases</w:t>
      </w:r>
      <w:r w:rsidRPr="006B2CB2">
        <w:rPr>
          <w:rFonts w:cs="Tahoma"/>
          <w:u w:val="single"/>
        </w:rPr>
        <w:t xml:space="preserve"> are</w:t>
      </w:r>
      <w:r w:rsidR="005D0F09" w:rsidRPr="00E116C7">
        <w:rPr>
          <w:rFonts w:cs="Tahoma"/>
        </w:rPr>
        <w:t>:</w:t>
      </w:r>
    </w:p>
    <w:p w14:paraId="50998BBC" w14:textId="77777777" w:rsidR="005D0F09" w:rsidRDefault="005D0F09" w:rsidP="000617B1">
      <w:pPr>
        <w:pStyle w:val="EC-Para"/>
        <w:numPr>
          <w:ilvl w:val="0"/>
          <w:numId w:val="29"/>
        </w:numPr>
        <w:spacing w:before="60" w:after="60" w:line="259" w:lineRule="auto"/>
        <w:rPr>
          <w:rFonts w:cs="Tahoma"/>
        </w:rPr>
      </w:pPr>
      <w:r w:rsidRPr="003C7028">
        <w:rPr>
          <w:rFonts w:cs="Tahoma"/>
        </w:rPr>
        <w:t>Number</w:t>
      </w:r>
      <w:r>
        <w:rPr>
          <w:rFonts w:cs="Tahoma"/>
        </w:rPr>
        <w:t xml:space="preserve"> of reported </w:t>
      </w:r>
      <w:proofErr w:type="gramStart"/>
      <w:r>
        <w:rPr>
          <w:rFonts w:cs="Tahoma"/>
        </w:rPr>
        <w:t>cases;</w:t>
      </w:r>
      <w:proofErr w:type="gramEnd"/>
    </w:p>
    <w:p w14:paraId="2D928B22" w14:textId="77777777" w:rsidR="005D0F09" w:rsidRDefault="005D0F09" w:rsidP="000617B1">
      <w:pPr>
        <w:pStyle w:val="EC-Para"/>
        <w:numPr>
          <w:ilvl w:val="0"/>
          <w:numId w:val="29"/>
        </w:numPr>
        <w:spacing w:before="60" w:after="60" w:line="259" w:lineRule="auto"/>
        <w:rPr>
          <w:rFonts w:cs="Tahoma"/>
        </w:rPr>
      </w:pPr>
      <w:r>
        <w:rPr>
          <w:rFonts w:cs="Tahoma"/>
        </w:rPr>
        <w:t xml:space="preserve">Notification rate per 100 000 </w:t>
      </w:r>
      <w:proofErr w:type="gramStart"/>
      <w:r>
        <w:rPr>
          <w:rFonts w:cs="Tahoma"/>
        </w:rPr>
        <w:t>population;</w:t>
      </w:r>
      <w:proofErr w:type="gramEnd"/>
      <w:r>
        <w:rPr>
          <w:rFonts w:cs="Tahoma"/>
        </w:rPr>
        <w:t xml:space="preserve"> </w:t>
      </w:r>
    </w:p>
    <w:p w14:paraId="69F0570A" w14:textId="77777777" w:rsidR="005D0F09" w:rsidRDefault="005D0F09" w:rsidP="000617B1">
      <w:pPr>
        <w:pStyle w:val="EC-Para"/>
        <w:numPr>
          <w:ilvl w:val="0"/>
          <w:numId w:val="29"/>
        </w:numPr>
        <w:spacing w:before="60" w:after="60" w:line="259" w:lineRule="auto"/>
        <w:rPr>
          <w:rFonts w:cs="Tahoma"/>
        </w:rPr>
      </w:pPr>
      <w:r>
        <w:rPr>
          <w:rFonts w:cs="Tahoma"/>
        </w:rPr>
        <w:t>Number of deaths.</w:t>
      </w:r>
    </w:p>
    <w:p w14:paraId="4448039B" w14:textId="77777777" w:rsidR="005D0F09" w:rsidRDefault="005D0F09" w:rsidP="000617B1">
      <w:pPr>
        <w:pStyle w:val="EC-Para"/>
        <w:numPr>
          <w:ilvl w:val="0"/>
          <w:numId w:val="29"/>
        </w:numPr>
        <w:spacing w:before="60" w:after="60" w:line="259" w:lineRule="auto"/>
        <w:rPr>
          <w:rFonts w:cs="Tahoma"/>
        </w:rPr>
      </w:pPr>
      <w:r>
        <w:rPr>
          <w:rFonts w:cs="Tahoma"/>
        </w:rPr>
        <w:t>Case fatality (%</w:t>
      </w:r>
      <w:proofErr w:type="gramStart"/>
      <w:r>
        <w:rPr>
          <w:rFonts w:cs="Tahoma"/>
        </w:rPr>
        <w:t>);</w:t>
      </w:r>
      <w:proofErr w:type="gramEnd"/>
    </w:p>
    <w:p w14:paraId="19BF3D82" w14:textId="77777777" w:rsidR="005D0F09" w:rsidRDefault="005D0F09" w:rsidP="00E116C7">
      <w:pPr>
        <w:pStyle w:val="EC-Para"/>
        <w:spacing w:before="60" w:after="60" w:line="259" w:lineRule="auto"/>
        <w:rPr>
          <w:rFonts w:cs="Tahoma"/>
        </w:rPr>
      </w:pPr>
    </w:p>
    <w:p w14:paraId="58A762CA" w14:textId="0224AE74" w:rsidR="005D0F09" w:rsidRPr="006B2CB2" w:rsidRDefault="00E116C7" w:rsidP="000617B1">
      <w:pPr>
        <w:pStyle w:val="EC-Para"/>
        <w:numPr>
          <w:ilvl w:val="0"/>
          <w:numId w:val="28"/>
        </w:numPr>
        <w:spacing w:before="60" w:after="60" w:line="259" w:lineRule="auto"/>
        <w:rPr>
          <w:rFonts w:cs="Tahoma"/>
          <w:u w:val="single"/>
        </w:rPr>
      </w:pPr>
      <w:r w:rsidRPr="006B2CB2">
        <w:rPr>
          <w:rFonts w:cs="Tahoma"/>
          <w:u w:val="single"/>
        </w:rPr>
        <w:t>Indicators f</w:t>
      </w:r>
      <w:r w:rsidR="005D0F09" w:rsidRPr="006B2CB2">
        <w:rPr>
          <w:rFonts w:cs="Tahoma"/>
          <w:u w:val="single"/>
        </w:rPr>
        <w:t>or cases of a selected serogroup/antigen O</w:t>
      </w:r>
      <w:r w:rsidRPr="006B2CB2">
        <w:rPr>
          <w:rFonts w:cs="Tahoma"/>
          <w:u w:val="single"/>
        </w:rPr>
        <w:t xml:space="preserve"> are</w:t>
      </w:r>
      <w:r w:rsidR="005D0F09" w:rsidRPr="006B2CB2">
        <w:rPr>
          <w:rFonts w:cs="Tahoma"/>
          <w:u w:val="single"/>
        </w:rPr>
        <w:t>:</w:t>
      </w:r>
    </w:p>
    <w:p w14:paraId="2885D2ED" w14:textId="77777777" w:rsidR="005D0F09" w:rsidRDefault="005D0F09" w:rsidP="000617B1">
      <w:pPr>
        <w:pStyle w:val="EC-Para"/>
        <w:numPr>
          <w:ilvl w:val="0"/>
          <w:numId w:val="30"/>
        </w:numPr>
        <w:spacing w:before="60" w:after="60" w:line="259" w:lineRule="auto"/>
        <w:rPr>
          <w:rFonts w:cs="Tahoma"/>
        </w:rPr>
      </w:pPr>
      <w:r>
        <w:rPr>
          <w:rFonts w:cs="Tahoma"/>
        </w:rPr>
        <w:t xml:space="preserve">Number of reported </w:t>
      </w:r>
      <w:proofErr w:type="gramStart"/>
      <w:r>
        <w:rPr>
          <w:rFonts w:cs="Tahoma"/>
        </w:rPr>
        <w:t>cases;</w:t>
      </w:r>
      <w:proofErr w:type="gramEnd"/>
    </w:p>
    <w:p w14:paraId="30F98505" w14:textId="77777777" w:rsidR="005D0F09" w:rsidRDefault="005D0F09" w:rsidP="000617B1">
      <w:pPr>
        <w:pStyle w:val="EC-Para"/>
        <w:numPr>
          <w:ilvl w:val="0"/>
          <w:numId w:val="30"/>
        </w:numPr>
        <w:spacing w:before="60" w:after="60" w:line="259" w:lineRule="auto"/>
        <w:rPr>
          <w:rFonts w:cs="Tahoma"/>
        </w:rPr>
      </w:pPr>
      <w:r>
        <w:rPr>
          <w:rFonts w:cs="Tahoma"/>
        </w:rPr>
        <w:t xml:space="preserve">Notification rate per 100 000 </w:t>
      </w:r>
      <w:proofErr w:type="gramStart"/>
      <w:r>
        <w:rPr>
          <w:rFonts w:cs="Tahoma"/>
        </w:rPr>
        <w:t>population;</w:t>
      </w:r>
      <w:proofErr w:type="gramEnd"/>
    </w:p>
    <w:p w14:paraId="6F70F01F" w14:textId="77777777" w:rsidR="005D0F09" w:rsidRDefault="005D0F09" w:rsidP="000617B1">
      <w:pPr>
        <w:pStyle w:val="EC-Para"/>
        <w:numPr>
          <w:ilvl w:val="0"/>
          <w:numId w:val="30"/>
        </w:numPr>
        <w:spacing w:before="60" w:after="60" w:line="259" w:lineRule="auto"/>
        <w:rPr>
          <w:rFonts w:cs="Tahoma"/>
        </w:rPr>
      </w:pPr>
      <w:r>
        <w:rPr>
          <w:rFonts w:cs="Tahoma"/>
        </w:rPr>
        <w:t xml:space="preserve">Number of reported HUS </w:t>
      </w:r>
      <w:proofErr w:type="gramStart"/>
      <w:r>
        <w:rPr>
          <w:rFonts w:cs="Tahoma"/>
        </w:rPr>
        <w:t>cases;</w:t>
      </w:r>
      <w:proofErr w:type="gramEnd"/>
    </w:p>
    <w:p w14:paraId="5AB8D743" w14:textId="77777777" w:rsidR="005D0F09" w:rsidRDefault="005D0F09" w:rsidP="000617B1">
      <w:pPr>
        <w:pStyle w:val="EC-Para"/>
        <w:numPr>
          <w:ilvl w:val="0"/>
          <w:numId w:val="30"/>
        </w:numPr>
        <w:spacing w:before="60" w:after="60" w:line="259" w:lineRule="auto"/>
        <w:rPr>
          <w:rFonts w:cs="Tahoma"/>
        </w:rPr>
      </w:pPr>
      <w:r>
        <w:rPr>
          <w:rFonts w:cs="Tahoma"/>
        </w:rPr>
        <w:t xml:space="preserve">Number of </w:t>
      </w:r>
      <w:proofErr w:type="gramStart"/>
      <w:r>
        <w:rPr>
          <w:rFonts w:cs="Tahoma"/>
        </w:rPr>
        <w:t>deaths;</w:t>
      </w:r>
      <w:proofErr w:type="gramEnd"/>
    </w:p>
    <w:p w14:paraId="002704E1" w14:textId="77777777" w:rsidR="005D0F09" w:rsidRDefault="005D0F09" w:rsidP="005D0F09">
      <w:pPr>
        <w:pStyle w:val="EC-Para"/>
        <w:spacing w:after="0"/>
        <w:rPr>
          <w:rFonts w:cs="Tahoma"/>
        </w:rPr>
      </w:pPr>
    </w:p>
    <w:p w14:paraId="73F2CF8D" w14:textId="77777777" w:rsidR="005D0F09" w:rsidRPr="007B34B1" w:rsidRDefault="005D0F09" w:rsidP="005D0F09">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45114DAF" w14:textId="77777777" w:rsidR="005D0F09" w:rsidRDefault="005D0F09" w:rsidP="005D0F09">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43DE055F" w14:textId="77777777" w:rsidR="005D0F09" w:rsidRPr="00F200E6" w:rsidRDefault="005D0F09" w:rsidP="005D0F09">
      <w:pPr>
        <w:numPr>
          <w:ilvl w:val="0"/>
          <w:numId w:val="1"/>
        </w:numPr>
        <w:kinsoku w:val="0"/>
        <w:autoSpaceDE w:val="0"/>
        <w:autoSpaceDN w:val="0"/>
        <w:adjustRightInd w:val="0"/>
        <w:spacing w:line="200" w:lineRule="atLeast"/>
        <w:rPr>
          <w:rFonts w:eastAsia="Arial Unicode MS" w:cs="Tahoma"/>
          <w:kern w:val="22"/>
          <w:szCs w:val="18"/>
        </w:rPr>
      </w:pPr>
      <w:r w:rsidRPr="00F200E6">
        <w:rPr>
          <w:rFonts w:eastAsia="Arial Unicode MS" w:cs="Tahoma"/>
          <w:kern w:val="22"/>
          <w:szCs w:val="18"/>
        </w:rPr>
        <w:lastRenderedPageBreak/>
        <w:t xml:space="preserve">Gender-specific notification </w:t>
      </w:r>
      <w:proofErr w:type="gramStart"/>
      <w:r w:rsidRPr="00F200E6">
        <w:rPr>
          <w:rFonts w:eastAsia="Arial Unicode MS" w:cs="Tahoma"/>
          <w:kern w:val="22"/>
          <w:szCs w:val="18"/>
        </w:rPr>
        <w:t>rate;</w:t>
      </w:r>
      <w:proofErr w:type="gramEnd"/>
    </w:p>
    <w:p w14:paraId="3780DC56" w14:textId="77777777" w:rsidR="005D0F09" w:rsidRDefault="005D0F09" w:rsidP="005D0F09">
      <w:pPr>
        <w:kinsoku w:val="0"/>
        <w:autoSpaceDE w:val="0"/>
        <w:autoSpaceDN w:val="0"/>
        <w:adjustRightInd w:val="0"/>
        <w:spacing w:line="200" w:lineRule="atLeast"/>
        <w:rPr>
          <w:rFonts w:eastAsia="Arial Unicode MS" w:cs="Tahoma"/>
          <w:kern w:val="22"/>
          <w:szCs w:val="18"/>
        </w:rPr>
      </w:pPr>
    </w:p>
    <w:p w14:paraId="6591AC60" w14:textId="77777777" w:rsidR="005D0F09" w:rsidRPr="007B34B1" w:rsidRDefault="005D0F09" w:rsidP="005D0F09">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208ED69D" w14:textId="77777777" w:rsidR="005D0F09" w:rsidRPr="007B34B1" w:rsidRDefault="005D0F09" w:rsidP="005D0F09">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22CC028E" w14:textId="77777777" w:rsidR="005D0F09" w:rsidRDefault="005D0F09" w:rsidP="005D0F09">
      <w:pPr>
        <w:pStyle w:val="EC-Para"/>
        <w:numPr>
          <w:ilvl w:val="0"/>
          <w:numId w:val="1"/>
        </w:numPr>
        <w:spacing w:after="0"/>
        <w:rPr>
          <w:rFonts w:cs="Tahoma"/>
        </w:rPr>
      </w:pPr>
      <w:proofErr w:type="gramStart"/>
      <w:r>
        <w:rPr>
          <w:rFonts w:cs="Tahoma"/>
        </w:rPr>
        <w:t>G</w:t>
      </w:r>
      <w:r w:rsidRPr="00057753">
        <w:rPr>
          <w:rFonts w:cs="Tahoma"/>
        </w:rPr>
        <w:t>ender;</w:t>
      </w:r>
      <w:proofErr w:type="gramEnd"/>
    </w:p>
    <w:p w14:paraId="078AB9F0" w14:textId="77777777" w:rsidR="005D0F09" w:rsidRPr="00AE1E64" w:rsidRDefault="005D0F09" w:rsidP="005D0F09">
      <w:pPr>
        <w:pStyle w:val="EC-Para"/>
        <w:spacing w:after="0"/>
        <w:ind w:left="720"/>
        <w:rPr>
          <w:rFonts w:cs="Tahoma"/>
        </w:rPr>
      </w:pPr>
    </w:p>
    <w:p w14:paraId="700BD013" w14:textId="77777777" w:rsidR="005D0F09" w:rsidRDefault="005D0F09" w:rsidP="005D0F09">
      <w:p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In addition, the data may be displayed in the bar or pie chart as follows: </w:t>
      </w:r>
    </w:p>
    <w:p w14:paraId="103A6955" w14:textId="77777777" w:rsidR="005D0F09" w:rsidRDefault="005D0F09" w:rsidP="000617B1">
      <w:pPr>
        <w:pStyle w:val="EC-Para"/>
        <w:numPr>
          <w:ilvl w:val="0"/>
          <w:numId w:val="31"/>
        </w:numPr>
        <w:spacing w:after="0"/>
        <w:ind w:left="709"/>
        <w:rPr>
          <w:rFonts w:cs="Tahoma"/>
        </w:rPr>
      </w:pPr>
      <w:r>
        <w:rPr>
          <w:rFonts w:cs="Tahoma"/>
        </w:rPr>
        <w:t>f</w:t>
      </w:r>
      <w:r w:rsidRPr="00060A03">
        <w:rPr>
          <w:rFonts w:cs="Tahoma"/>
        </w:rPr>
        <w:t xml:space="preserve">or </w:t>
      </w:r>
      <w:r w:rsidRPr="00060A03">
        <w:rPr>
          <w:rFonts w:cs="Tahoma"/>
          <w:u w:val="single"/>
        </w:rPr>
        <w:t>confirmed cases</w:t>
      </w:r>
      <w:r>
        <w:rPr>
          <w:rFonts w:cs="Tahoma"/>
        </w:rPr>
        <w:t xml:space="preserve"> by:</w:t>
      </w:r>
    </w:p>
    <w:p w14:paraId="2BE7A23E" w14:textId="77777777" w:rsidR="005D0F09" w:rsidRPr="00AE1E64" w:rsidRDefault="005D0F09" w:rsidP="000617B1">
      <w:pPr>
        <w:pStyle w:val="ListParagraph"/>
        <w:numPr>
          <w:ilvl w:val="1"/>
          <w:numId w:val="31"/>
        </w:numPr>
        <w:kinsoku w:val="0"/>
        <w:autoSpaceDE w:val="0"/>
        <w:autoSpaceDN w:val="0"/>
        <w:adjustRightInd w:val="0"/>
        <w:spacing w:after="0" w:line="200" w:lineRule="atLeast"/>
        <w:rPr>
          <w:rFonts w:eastAsia="Arial Unicode MS" w:cs="Tahoma"/>
          <w:kern w:val="22"/>
          <w:szCs w:val="18"/>
          <w:lang w:eastAsia="ko-KR"/>
        </w:rPr>
      </w:pPr>
      <w:r w:rsidRPr="00AE1E64">
        <w:rPr>
          <w:rFonts w:eastAsia="Arial Unicode MS" w:cs="Tahoma"/>
          <w:kern w:val="22"/>
          <w:szCs w:val="18"/>
          <w:lang w:eastAsia="ko-KR"/>
        </w:rPr>
        <w:t>O-</w:t>
      </w:r>
      <w:proofErr w:type="gramStart"/>
      <w:r w:rsidRPr="00AE1E64">
        <w:rPr>
          <w:rFonts w:eastAsia="Arial Unicode MS" w:cs="Tahoma"/>
          <w:kern w:val="22"/>
          <w:szCs w:val="18"/>
          <w:lang w:eastAsia="ko-KR"/>
        </w:rPr>
        <w:t>group;</w:t>
      </w:r>
      <w:proofErr w:type="gramEnd"/>
    </w:p>
    <w:p w14:paraId="7047FF7C" w14:textId="77777777" w:rsidR="005D0F09" w:rsidRDefault="005D0F09" w:rsidP="000617B1">
      <w:pPr>
        <w:pStyle w:val="EC-Para"/>
        <w:numPr>
          <w:ilvl w:val="1"/>
          <w:numId w:val="31"/>
        </w:numPr>
        <w:spacing w:after="0"/>
        <w:rPr>
          <w:rFonts w:cs="Tahoma"/>
        </w:rPr>
      </w:pPr>
      <w:proofErr w:type="gramStart"/>
      <w:r>
        <w:rPr>
          <w:rFonts w:cs="Tahoma"/>
        </w:rPr>
        <w:t>HUS;</w:t>
      </w:r>
      <w:proofErr w:type="gramEnd"/>
    </w:p>
    <w:p w14:paraId="15212585" w14:textId="77777777" w:rsidR="005D0F09" w:rsidRPr="00AE1E64" w:rsidRDefault="005D0F09" w:rsidP="000617B1">
      <w:pPr>
        <w:pStyle w:val="EC-Para"/>
        <w:numPr>
          <w:ilvl w:val="1"/>
          <w:numId w:val="31"/>
        </w:numPr>
        <w:spacing w:after="0"/>
        <w:rPr>
          <w:rFonts w:cs="Tahoma"/>
        </w:rPr>
      </w:pPr>
      <w:r>
        <w:rPr>
          <w:rFonts w:cs="Tahoma"/>
        </w:rPr>
        <w:t xml:space="preserve">Vtx1, vtx2, </w:t>
      </w:r>
      <w:proofErr w:type="spellStart"/>
      <w:r>
        <w:rPr>
          <w:rFonts w:cs="Tahoma"/>
        </w:rPr>
        <w:t>eae</w:t>
      </w:r>
      <w:proofErr w:type="spellEnd"/>
      <w:r>
        <w:rPr>
          <w:rFonts w:cs="Tahoma"/>
        </w:rPr>
        <w:t xml:space="preserve"> </w:t>
      </w:r>
      <w:proofErr w:type="gramStart"/>
      <w:r>
        <w:rPr>
          <w:rFonts w:cs="Tahoma"/>
        </w:rPr>
        <w:t>presence;</w:t>
      </w:r>
      <w:proofErr w:type="gramEnd"/>
    </w:p>
    <w:p w14:paraId="33A92154" w14:textId="77777777" w:rsidR="005D0F09" w:rsidRDefault="005D0F09" w:rsidP="005D0F09">
      <w:pPr>
        <w:kinsoku w:val="0"/>
        <w:autoSpaceDE w:val="0"/>
        <w:autoSpaceDN w:val="0"/>
        <w:adjustRightInd w:val="0"/>
        <w:spacing w:line="200" w:lineRule="atLeast"/>
      </w:pPr>
    </w:p>
    <w:p w14:paraId="7A706E53" w14:textId="77777777" w:rsidR="005D0F09" w:rsidRPr="00060A03" w:rsidRDefault="005D0F09" w:rsidP="000617B1">
      <w:pPr>
        <w:pStyle w:val="ListParagraph"/>
        <w:numPr>
          <w:ilvl w:val="0"/>
          <w:numId w:val="6"/>
        </w:numPr>
        <w:kinsoku w:val="0"/>
        <w:autoSpaceDE w:val="0"/>
        <w:autoSpaceDN w:val="0"/>
        <w:adjustRightInd w:val="0"/>
        <w:spacing w:after="0" w:line="200" w:lineRule="atLeast"/>
        <w:rPr>
          <w:rFonts w:eastAsia="Arial Unicode MS" w:cs="Tahoma"/>
          <w:kern w:val="22"/>
          <w:szCs w:val="18"/>
        </w:rPr>
      </w:pPr>
      <w:r>
        <w:rPr>
          <w:rFonts w:eastAsia="Arial Unicode MS" w:cs="Tahoma"/>
          <w:kern w:val="22"/>
          <w:szCs w:val="18"/>
        </w:rPr>
        <w:t>f</w:t>
      </w:r>
      <w:r w:rsidRPr="00060A03">
        <w:rPr>
          <w:rFonts w:eastAsia="Arial Unicode MS" w:cs="Tahoma"/>
          <w:kern w:val="22"/>
          <w:szCs w:val="18"/>
        </w:rPr>
        <w:t xml:space="preserve">or </w:t>
      </w:r>
      <w:r>
        <w:rPr>
          <w:rFonts w:eastAsia="Arial Unicode MS" w:cs="Tahoma"/>
          <w:kern w:val="22"/>
          <w:szCs w:val="18"/>
          <w:u w:val="single"/>
        </w:rPr>
        <w:t>HUS</w:t>
      </w:r>
      <w:r w:rsidRPr="00060A03">
        <w:rPr>
          <w:rFonts w:eastAsia="Arial Unicode MS" w:cs="Tahoma"/>
          <w:kern w:val="22"/>
          <w:szCs w:val="18"/>
          <w:u w:val="single"/>
        </w:rPr>
        <w:t xml:space="preserve"> cases</w:t>
      </w:r>
      <w:r>
        <w:rPr>
          <w:rFonts w:eastAsia="Arial Unicode MS" w:cs="Tahoma"/>
          <w:kern w:val="22"/>
          <w:szCs w:val="18"/>
        </w:rPr>
        <w:t xml:space="preserve"> by</w:t>
      </w:r>
      <w:r>
        <w:rPr>
          <w:rFonts w:eastAsia="Arial Unicode MS" w:cs="Tahoma"/>
          <w:kern w:val="22"/>
          <w:szCs w:val="18"/>
          <w:u w:val="single"/>
        </w:rPr>
        <w:t>:</w:t>
      </w:r>
    </w:p>
    <w:p w14:paraId="46456C0D" w14:textId="77777777" w:rsidR="005D0F09" w:rsidRPr="00AE1E64" w:rsidRDefault="005D0F09" w:rsidP="000617B1">
      <w:pPr>
        <w:pStyle w:val="ListParagraph"/>
        <w:numPr>
          <w:ilvl w:val="0"/>
          <w:numId w:val="6"/>
        </w:numPr>
        <w:kinsoku w:val="0"/>
        <w:autoSpaceDE w:val="0"/>
        <w:autoSpaceDN w:val="0"/>
        <w:adjustRightInd w:val="0"/>
        <w:spacing w:after="0" w:line="200" w:lineRule="atLeast"/>
        <w:ind w:left="1080"/>
        <w:rPr>
          <w:rFonts w:eastAsia="Arial Unicode MS" w:cs="Tahoma"/>
          <w:kern w:val="22"/>
          <w:szCs w:val="18"/>
          <w:lang w:eastAsia="ko-KR"/>
        </w:rPr>
      </w:pPr>
      <w:r w:rsidRPr="00AE1E64">
        <w:rPr>
          <w:rFonts w:eastAsia="Arial Unicode MS" w:cs="Tahoma"/>
          <w:kern w:val="22"/>
          <w:szCs w:val="18"/>
          <w:lang w:eastAsia="ko-KR"/>
        </w:rPr>
        <w:t>O-</w:t>
      </w:r>
      <w:proofErr w:type="gramStart"/>
      <w:r w:rsidRPr="00AE1E64">
        <w:rPr>
          <w:rFonts w:eastAsia="Arial Unicode MS" w:cs="Tahoma"/>
          <w:kern w:val="22"/>
          <w:szCs w:val="18"/>
          <w:lang w:eastAsia="ko-KR"/>
        </w:rPr>
        <w:t>group;</w:t>
      </w:r>
      <w:proofErr w:type="gramEnd"/>
    </w:p>
    <w:p w14:paraId="704EF8F9" w14:textId="46890B3F" w:rsidR="005D0F09" w:rsidRDefault="005D0F09" w:rsidP="005D0F09">
      <w:pPr>
        <w:numPr>
          <w:ilvl w:val="0"/>
          <w:numId w:val="1"/>
        </w:numPr>
        <w:kinsoku w:val="0"/>
        <w:autoSpaceDE w:val="0"/>
        <w:autoSpaceDN w:val="0"/>
        <w:adjustRightInd w:val="0"/>
        <w:spacing w:line="200" w:lineRule="atLeast"/>
        <w:ind w:left="1080"/>
        <w:rPr>
          <w:rFonts w:eastAsia="Arial Unicode MS" w:cs="Tahoma"/>
          <w:kern w:val="22"/>
          <w:szCs w:val="18"/>
        </w:rPr>
      </w:pPr>
      <w:r w:rsidRPr="00AE1E64">
        <w:rPr>
          <w:rFonts w:eastAsia="Arial Unicode MS" w:cs="Tahoma"/>
          <w:kern w:val="22"/>
          <w:szCs w:val="18"/>
        </w:rPr>
        <w:t xml:space="preserve">Vtx1, vtx2, </w:t>
      </w:r>
      <w:proofErr w:type="spellStart"/>
      <w:r w:rsidRPr="00AE1E64">
        <w:rPr>
          <w:rFonts w:eastAsia="Arial Unicode MS" w:cs="Tahoma"/>
          <w:kern w:val="22"/>
          <w:szCs w:val="18"/>
        </w:rPr>
        <w:t>eae</w:t>
      </w:r>
      <w:proofErr w:type="spellEnd"/>
      <w:r w:rsidRPr="00AE1E64">
        <w:rPr>
          <w:rFonts w:eastAsia="Arial Unicode MS" w:cs="Tahoma"/>
          <w:kern w:val="22"/>
          <w:szCs w:val="18"/>
        </w:rPr>
        <w:t xml:space="preserve"> presence</w:t>
      </w:r>
      <w:r w:rsidR="0061144E">
        <w:rPr>
          <w:rFonts w:eastAsia="Arial Unicode MS" w:cs="Tahoma"/>
          <w:kern w:val="22"/>
          <w:szCs w:val="18"/>
        </w:rPr>
        <w:t>.</w:t>
      </w:r>
    </w:p>
    <w:p w14:paraId="20B268E3" w14:textId="77777777" w:rsidR="005D0F09" w:rsidRDefault="005D0F09" w:rsidP="005D0F09">
      <w:pPr>
        <w:pStyle w:val="EC-Para"/>
        <w:spacing w:after="0"/>
        <w:rPr>
          <w:rFonts w:cs="Tahoma"/>
        </w:rPr>
      </w:pPr>
    </w:p>
    <w:p w14:paraId="776E8CD3" w14:textId="77777777" w:rsidR="005D0F09" w:rsidRPr="004550D7" w:rsidRDefault="005D0F09" w:rsidP="005D0F09">
      <w:pPr>
        <w:pStyle w:val="EC-Title-6"/>
        <w:rPr>
          <w:rFonts w:eastAsia="Arial Unicode MS"/>
          <w:b w:val="0"/>
          <w:bCs w:val="0"/>
          <w:color w:val="auto"/>
          <w:kern w:val="22"/>
          <w:sz w:val="18"/>
          <w:szCs w:val="18"/>
        </w:rPr>
      </w:pPr>
      <w:r>
        <w:rPr>
          <w:rFonts w:eastAsia="Arial Unicode MS"/>
          <w:b w:val="0"/>
          <w:bCs w:val="0"/>
          <w:color w:val="auto"/>
          <w:kern w:val="22"/>
          <w:sz w:val="18"/>
          <w:szCs w:val="18"/>
        </w:rPr>
        <w:t>Symbols used in the Surveillance Atlas Table</w:t>
      </w:r>
      <w:r w:rsidRPr="004550D7">
        <w:rPr>
          <w:rFonts w:eastAsia="Arial Unicode MS"/>
          <w:b w:val="0"/>
          <w:bCs w:val="0"/>
          <w:color w:val="auto"/>
          <w:kern w:val="22"/>
          <w:sz w:val="18"/>
          <w:szCs w:val="18"/>
        </w:rPr>
        <w:t xml:space="preserve">: </w:t>
      </w:r>
    </w:p>
    <w:tbl>
      <w:tblPr>
        <w:tblStyle w:val="TableGrid"/>
        <w:tblW w:w="0" w:type="auto"/>
        <w:tblLook w:val="04A0" w:firstRow="1" w:lastRow="0" w:firstColumn="1" w:lastColumn="0" w:noHBand="0" w:noVBand="1"/>
      </w:tblPr>
      <w:tblGrid>
        <w:gridCol w:w="1101"/>
        <w:gridCol w:w="5103"/>
      </w:tblGrid>
      <w:tr w:rsidR="005D0F09" w14:paraId="7638A5EC" w14:textId="77777777" w:rsidTr="00686942">
        <w:tc>
          <w:tcPr>
            <w:tcW w:w="1101" w:type="dxa"/>
          </w:tcPr>
          <w:p w14:paraId="671D7BFA" w14:textId="77777777" w:rsidR="005D0F09" w:rsidRDefault="005D0F09" w:rsidP="00686942">
            <w:pPr>
              <w:pStyle w:val="EC-Para"/>
              <w:rPr>
                <w:lang w:eastAsia="en-US"/>
              </w:rPr>
            </w:pPr>
            <w:r>
              <w:rPr>
                <w:lang w:eastAsia="en-US"/>
              </w:rPr>
              <w:t>Symbol</w:t>
            </w:r>
          </w:p>
        </w:tc>
        <w:tc>
          <w:tcPr>
            <w:tcW w:w="5103" w:type="dxa"/>
          </w:tcPr>
          <w:p w14:paraId="712A1370" w14:textId="77777777" w:rsidR="005D0F09" w:rsidRDefault="005D0F09" w:rsidP="00686942">
            <w:pPr>
              <w:pStyle w:val="EC-Para"/>
              <w:rPr>
                <w:lang w:eastAsia="en-US"/>
              </w:rPr>
            </w:pPr>
            <w:r>
              <w:rPr>
                <w:lang w:eastAsia="en-US"/>
              </w:rPr>
              <w:t>Comment</w:t>
            </w:r>
          </w:p>
        </w:tc>
      </w:tr>
      <w:tr w:rsidR="005D0F09" w14:paraId="3D88D3D0" w14:textId="77777777" w:rsidTr="00686942">
        <w:tc>
          <w:tcPr>
            <w:tcW w:w="1101" w:type="dxa"/>
          </w:tcPr>
          <w:p w14:paraId="764240D9" w14:textId="77777777" w:rsidR="005D0F09" w:rsidRPr="004550D7" w:rsidRDefault="005D0F09" w:rsidP="00686942">
            <w:pPr>
              <w:pStyle w:val="EC-Para"/>
              <w:jc w:val="center"/>
              <w:rPr>
                <w:b/>
                <w:lang w:eastAsia="en-US"/>
              </w:rPr>
            </w:pPr>
            <w:r w:rsidRPr="004550D7">
              <w:rPr>
                <w:b/>
                <w:lang w:eastAsia="en-US"/>
              </w:rPr>
              <w:t>-</w:t>
            </w:r>
          </w:p>
        </w:tc>
        <w:tc>
          <w:tcPr>
            <w:tcW w:w="5103" w:type="dxa"/>
          </w:tcPr>
          <w:p w14:paraId="66BEB73F" w14:textId="77777777" w:rsidR="005D0F09" w:rsidRDefault="005D0F09" w:rsidP="00686942">
            <w:pPr>
              <w:pStyle w:val="EC-Para"/>
              <w:rPr>
                <w:lang w:eastAsia="en-US"/>
              </w:rPr>
            </w:pPr>
            <w:r>
              <w:rPr>
                <w:lang w:eastAsia="en-US"/>
              </w:rPr>
              <w:t xml:space="preserve">Indicator is not calculated for the related geographical resolution and </w:t>
            </w:r>
            <w:proofErr w:type="gramStart"/>
            <w:r>
              <w:rPr>
                <w:lang w:eastAsia="en-US"/>
              </w:rPr>
              <w:t>time period</w:t>
            </w:r>
            <w:proofErr w:type="gramEnd"/>
            <w:r>
              <w:rPr>
                <w:lang w:eastAsia="en-US"/>
              </w:rPr>
              <w:t>.</w:t>
            </w:r>
          </w:p>
        </w:tc>
      </w:tr>
      <w:tr w:rsidR="005D0F09" w14:paraId="00AB4E5B" w14:textId="77777777" w:rsidTr="00686942">
        <w:tc>
          <w:tcPr>
            <w:tcW w:w="1101" w:type="dxa"/>
          </w:tcPr>
          <w:p w14:paraId="4532A9EE" w14:textId="77777777" w:rsidR="005D0F09" w:rsidRPr="004550D7" w:rsidRDefault="005D0F09" w:rsidP="00686942">
            <w:pPr>
              <w:pStyle w:val="EC-Para"/>
              <w:jc w:val="center"/>
              <w:rPr>
                <w:b/>
                <w:lang w:eastAsia="en-US"/>
              </w:rPr>
            </w:pPr>
            <w:r w:rsidRPr="004550D7">
              <w:rPr>
                <w:b/>
                <w:lang w:eastAsia="en-US"/>
              </w:rPr>
              <w:t>.</w:t>
            </w:r>
          </w:p>
        </w:tc>
        <w:tc>
          <w:tcPr>
            <w:tcW w:w="5103" w:type="dxa"/>
          </w:tcPr>
          <w:p w14:paraId="43ADE15C" w14:textId="77777777" w:rsidR="005D0F09" w:rsidRDefault="005D0F09" w:rsidP="00686942">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46E9BAEC" w14:textId="77777777" w:rsidR="005D0F09" w:rsidRPr="00A23335" w:rsidRDefault="005D0F09" w:rsidP="005D0F09">
      <w:pPr>
        <w:pStyle w:val="EC-Para"/>
        <w:rPr>
          <w:lang w:eastAsia="en-US"/>
        </w:rPr>
      </w:pPr>
    </w:p>
    <w:p w14:paraId="0FB4BC9E" w14:textId="77777777" w:rsidR="005D0F09" w:rsidRPr="00AE16E5" w:rsidRDefault="005D0F09" w:rsidP="0061144E">
      <w:pPr>
        <w:pStyle w:val="EC-Title-6"/>
      </w:pPr>
      <w:r>
        <w:t xml:space="preserve">Data </w:t>
      </w:r>
      <w:r w:rsidRPr="0061144E">
        <w:t>quality</w:t>
      </w:r>
    </w:p>
    <w:p w14:paraId="23B49FEA" w14:textId="247ED27A" w:rsidR="005D0F09" w:rsidRDefault="005D0F09" w:rsidP="005D0F09">
      <w:pPr>
        <w:autoSpaceDE w:val="0"/>
        <w:autoSpaceDN w:val="0"/>
        <w:adjustRightInd w:val="0"/>
        <w:jc w:val="both"/>
        <w:rPr>
          <w:rFonts w:eastAsia="Arial Unicode MS" w:cs="Tahoma"/>
          <w:kern w:val="22"/>
          <w:szCs w:val="18"/>
        </w:rPr>
      </w:pPr>
      <w:r w:rsidRPr="009E3B9F">
        <w:rPr>
          <w:rFonts w:eastAsia="Arial Unicode MS" w:cs="Tahoma"/>
          <w:kern w:val="22"/>
          <w:szCs w:val="18"/>
        </w:rPr>
        <w:t xml:space="preserve">EU/EEA countries reporting data on </w:t>
      </w:r>
      <w:r>
        <w:rPr>
          <w:rFonts w:eastAsia="Arial Unicode MS" w:cs="Tahoma"/>
          <w:kern w:val="22"/>
          <w:szCs w:val="18"/>
        </w:rPr>
        <w:t>STEC/VTEC infections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33BF7040" w14:textId="77777777" w:rsidR="00E0697D" w:rsidRDefault="00E0697D" w:rsidP="005D0F09">
      <w:pPr>
        <w:autoSpaceDE w:val="0"/>
        <w:autoSpaceDN w:val="0"/>
        <w:adjustRightInd w:val="0"/>
        <w:jc w:val="both"/>
        <w:rPr>
          <w:rFonts w:eastAsia="Arial Unicode MS" w:cs="Tahoma"/>
          <w:kern w:val="22"/>
          <w:szCs w:val="18"/>
        </w:rPr>
      </w:pPr>
    </w:p>
    <w:p w14:paraId="17DC19AB" w14:textId="227669A4" w:rsidR="005D0F09" w:rsidRDefault="005D0F09" w:rsidP="005D0F09">
      <w:pPr>
        <w:autoSpaceDE w:val="0"/>
        <w:autoSpaceDN w:val="0"/>
        <w:adjustRightInd w:val="0"/>
        <w:jc w:val="both"/>
        <w:rPr>
          <w:rFonts w:eastAsia="Arial Unicode MS" w:cs="Tahoma"/>
          <w:kern w:val="22"/>
          <w:szCs w:val="18"/>
        </w:rPr>
      </w:pPr>
      <w:r>
        <w:rPr>
          <w:rFonts w:eastAsia="Arial Unicode MS" w:cs="Tahoma"/>
          <w:kern w:val="22"/>
          <w:szCs w:val="18"/>
        </w:rPr>
        <w:t>The Surveillance Atlas indicators for data quality of the reported data for confirmed STEC/VTEC infections cases are:</w:t>
      </w:r>
    </w:p>
    <w:p w14:paraId="71D168E5" w14:textId="77777777" w:rsidR="005D0F09" w:rsidRPr="00E95571" w:rsidRDefault="005D0F09"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09B206BD" w14:textId="77777777" w:rsidR="005D0F09"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0DB949B8" w14:textId="77777777" w:rsidR="005D0F09"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184DCF25" w14:textId="77777777" w:rsidR="005D0F09"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travel-associated (%</w:t>
      </w:r>
      <w:proofErr w:type="gramStart"/>
      <w:r>
        <w:rPr>
          <w:rFonts w:eastAsia="Arial Unicode MS" w:cs="Tahoma"/>
          <w:kern w:val="22"/>
          <w:szCs w:val="18"/>
        </w:rPr>
        <w:t>);</w:t>
      </w:r>
      <w:proofErr w:type="gramEnd"/>
    </w:p>
    <w:p w14:paraId="7C1073DD" w14:textId="77777777" w:rsidR="005D0F09"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1E39D2AF" w14:textId="77777777" w:rsidR="005D0F09" w:rsidRPr="002907A7"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Pr="009C2507">
        <w:rPr>
          <w:rFonts w:eastAsia="Arial Unicode MS" w:cs="Tahoma"/>
          <w:kern w:val="22"/>
          <w:szCs w:val="18"/>
          <w:lang w:eastAsia="ko-KR"/>
        </w:rPr>
        <w:t>Antigen O</w:t>
      </w:r>
      <w:r>
        <w:rPr>
          <w:rFonts w:eastAsia="Arial Unicode MS" w:cs="Tahoma"/>
          <w:kern w:val="22"/>
          <w:szCs w:val="18"/>
          <w:lang w:eastAsia="ko-KR"/>
        </w:rPr>
        <w:t xml:space="preserve"> (%</w:t>
      </w:r>
      <w:proofErr w:type="gramStart"/>
      <w:r>
        <w:rPr>
          <w:rFonts w:eastAsia="Arial Unicode MS" w:cs="Tahoma"/>
          <w:kern w:val="22"/>
          <w:szCs w:val="18"/>
          <w:lang w:eastAsia="ko-KR"/>
        </w:rPr>
        <w:t>)</w:t>
      </w:r>
      <w:r>
        <w:rPr>
          <w:rFonts w:eastAsia="Arial Unicode MS" w:cs="Tahoma"/>
          <w:kern w:val="22"/>
          <w:szCs w:val="18"/>
        </w:rPr>
        <w:t>;</w:t>
      </w:r>
      <w:proofErr w:type="gramEnd"/>
    </w:p>
    <w:p w14:paraId="2B543E8B" w14:textId="77777777" w:rsidR="005D0F09" w:rsidRPr="002907A7"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HUS (%</w:t>
      </w:r>
      <w:proofErr w:type="gramStart"/>
      <w:r>
        <w:rPr>
          <w:rFonts w:eastAsia="Arial Unicode MS" w:cs="Tahoma"/>
          <w:kern w:val="22"/>
          <w:szCs w:val="18"/>
        </w:rPr>
        <w:t>);</w:t>
      </w:r>
      <w:proofErr w:type="gramEnd"/>
    </w:p>
    <w:p w14:paraId="59F03276" w14:textId="77777777" w:rsidR="005D0F09" w:rsidRPr="002907A7"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Pr="009C2507">
        <w:rPr>
          <w:rFonts w:eastAsia="Arial Unicode MS" w:cs="Tahoma"/>
          <w:kern w:val="22"/>
          <w:szCs w:val="18"/>
        </w:rPr>
        <w:t xml:space="preserve">vtx1 + vtx2 + </w:t>
      </w:r>
      <w:proofErr w:type="spellStart"/>
      <w:r w:rsidRPr="009C2507">
        <w:rPr>
          <w:rFonts w:eastAsia="Arial Unicode MS" w:cs="Tahoma"/>
          <w:kern w:val="22"/>
          <w:szCs w:val="18"/>
        </w:rPr>
        <w:t>eae</w:t>
      </w:r>
      <w:proofErr w:type="spellEnd"/>
      <w:r>
        <w:rPr>
          <w:rFonts w:eastAsia="Arial Unicode MS" w:cs="Tahoma"/>
          <w:kern w:val="22"/>
          <w:szCs w:val="18"/>
        </w:rPr>
        <w:t xml:space="preserve"> (%</w:t>
      </w:r>
      <w:proofErr w:type="gramStart"/>
      <w:r>
        <w:rPr>
          <w:rFonts w:eastAsia="Arial Unicode MS" w:cs="Tahoma"/>
          <w:kern w:val="22"/>
          <w:szCs w:val="18"/>
        </w:rPr>
        <w:t>);</w:t>
      </w:r>
      <w:proofErr w:type="gramEnd"/>
    </w:p>
    <w:p w14:paraId="6ECCBC25" w14:textId="2AD23E36" w:rsidR="005D0F09" w:rsidRPr="002907A7" w:rsidRDefault="005D0F09"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proofErr w:type="spellStart"/>
      <w:r>
        <w:rPr>
          <w:rFonts w:eastAsia="Arial Unicode MS" w:cs="Tahoma"/>
          <w:kern w:val="22"/>
          <w:szCs w:val="18"/>
        </w:rPr>
        <w:t>aggR</w:t>
      </w:r>
      <w:proofErr w:type="spellEnd"/>
      <w:r>
        <w:rPr>
          <w:rFonts w:eastAsia="Arial Unicode MS" w:cs="Tahoma"/>
          <w:kern w:val="22"/>
          <w:szCs w:val="18"/>
        </w:rPr>
        <w:t xml:space="preserve"> + </w:t>
      </w:r>
      <w:proofErr w:type="spellStart"/>
      <w:r>
        <w:rPr>
          <w:rFonts w:eastAsia="Arial Unicode MS" w:cs="Tahoma"/>
          <w:kern w:val="22"/>
          <w:szCs w:val="18"/>
        </w:rPr>
        <w:t>aaiC</w:t>
      </w:r>
      <w:proofErr w:type="spellEnd"/>
      <w:r>
        <w:rPr>
          <w:rFonts w:eastAsia="Arial Unicode MS" w:cs="Tahoma"/>
          <w:kern w:val="22"/>
          <w:szCs w:val="18"/>
        </w:rPr>
        <w:t xml:space="preserve"> (%)</w:t>
      </w:r>
      <w:r w:rsidR="00612D96">
        <w:rPr>
          <w:rFonts w:eastAsia="Arial Unicode MS" w:cs="Tahoma"/>
          <w:kern w:val="22"/>
          <w:szCs w:val="18"/>
        </w:rPr>
        <w:t>.</w:t>
      </w:r>
    </w:p>
    <w:p w14:paraId="3F5ACB22" w14:textId="77777777" w:rsidR="005D0F09" w:rsidRPr="004164A0" w:rsidRDefault="005D0F09" w:rsidP="005D0F09">
      <w:pPr>
        <w:pStyle w:val="ListParagraph"/>
        <w:autoSpaceDE w:val="0"/>
        <w:autoSpaceDN w:val="0"/>
        <w:adjustRightInd w:val="0"/>
        <w:spacing w:after="0" w:line="240" w:lineRule="auto"/>
        <w:ind w:left="360"/>
        <w:jc w:val="both"/>
        <w:rPr>
          <w:rFonts w:eastAsia="Arial Unicode MS" w:cs="Tahoma"/>
          <w:kern w:val="22"/>
          <w:szCs w:val="18"/>
        </w:rPr>
      </w:pPr>
    </w:p>
    <w:p w14:paraId="192F9C37" w14:textId="77777777" w:rsidR="005D0F09" w:rsidRPr="004C6681" w:rsidRDefault="005D0F09" w:rsidP="005D0F09">
      <w:pPr>
        <w:pStyle w:val="EC-Title-6"/>
        <w:outlineLvl w:val="1"/>
        <w:rPr>
          <w:rFonts w:cs="Tahoma"/>
        </w:rPr>
      </w:pPr>
      <w:r w:rsidRPr="004C6681">
        <w:rPr>
          <w:rFonts w:cs="Tahoma"/>
        </w:rPr>
        <w:t>Interpretation</w:t>
      </w:r>
    </w:p>
    <w:p w14:paraId="52889AAF" w14:textId="77777777" w:rsidR="005D0F09" w:rsidRDefault="005D0F09" w:rsidP="005D0F09">
      <w:pPr>
        <w:pStyle w:val="EC-Para"/>
        <w:jc w:val="both"/>
        <w:rPr>
          <w:rFonts w:cs="Tahoma"/>
        </w:rPr>
      </w:pPr>
      <w:r w:rsidRPr="00D45E3C">
        <w:rPr>
          <w:rFonts w:eastAsiaTheme="minorHAnsi" w:cs="Tahoma"/>
          <w:lang w:eastAsia="en-US"/>
        </w:rPr>
        <w:t xml:space="preserve">The results shown in the Surveillance Atlas should be interpreted carefully. </w:t>
      </w:r>
      <w:r w:rsidRPr="00D45E3C">
        <w:rPr>
          <w:rFonts w:cs="Tahoma"/>
        </w:rPr>
        <w:t xml:space="preserve">Surveillance systems used for reporting data to ECDC are heterogeneous; some are based on clinical syndromes such as </w:t>
      </w:r>
      <w:r>
        <w:rPr>
          <w:rFonts w:cs="Tahoma"/>
        </w:rPr>
        <w:t xml:space="preserve">bloody </w:t>
      </w:r>
      <w:r w:rsidRPr="00D45E3C">
        <w:rPr>
          <w:rFonts w:cs="Tahoma"/>
        </w:rPr>
        <w:t xml:space="preserve">diarrhoea or </w:t>
      </w:r>
      <w:proofErr w:type="gramStart"/>
      <w:r w:rsidRPr="00D45E3C">
        <w:rPr>
          <w:rFonts w:cs="Tahoma"/>
        </w:rPr>
        <w:t>HUS,</w:t>
      </w:r>
      <w:proofErr w:type="gramEnd"/>
      <w:r w:rsidRPr="00D45E3C">
        <w:rPr>
          <w:rFonts w:cs="Tahoma"/>
        </w:rPr>
        <w:t xml:space="preserve"> some are based on laboratory results only</w:t>
      </w:r>
      <w:r>
        <w:rPr>
          <w:rFonts w:cs="Tahoma"/>
        </w:rPr>
        <w:t>.</w:t>
      </w:r>
      <w:r w:rsidRPr="00D45E3C">
        <w:rPr>
          <w:rFonts w:cs="Tahoma"/>
        </w:rPr>
        <w:t xml:space="preserve"> </w:t>
      </w:r>
      <w:r>
        <w:rPr>
          <w:rFonts w:cs="Tahoma"/>
        </w:rPr>
        <w:t>H</w:t>
      </w:r>
      <w:r w:rsidRPr="00D45E3C">
        <w:rPr>
          <w:rFonts w:cs="Tahoma"/>
        </w:rPr>
        <w:t xml:space="preserve">eterogeneity also exists in the </w:t>
      </w:r>
      <w:proofErr w:type="gramStart"/>
      <w:r w:rsidRPr="00D45E3C">
        <w:rPr>
          <w:rFonts w:cs="Tahoma"/>
        </w:rPr>
        <w:t>amount</w:t>
      </w:r>
      <w:proofErr w:type="gramEnd"/>
      <w:r w:rsidRPr="00D45E3C">
        <w:rPr>
          <w:rFonts w:cs="Tahoma"/>
        </w:rPr>
        <w:t xml:space="preserve"> of samples tested and isolat</w:t>
      </w:r>
      <w:r>
        <w:rPr>
          <w:rFonts w:cs="Tahoma"/>
        </w:rPr>
        <w:t>es</w:t>
      </w:r>
      <w:r w:rsidRPr="00D45E3C">
        <w:rPr>
          <w:rFonts w:cs="Tahoma"/>
        </w:rPr>
        <w:t xml:space="preserve"> typed. </w:t>
      </w:r>
    </w:p>
    <w:p w14:paraId="5DA307F6" w14:textId="3D2BC0FE" w:rsidR="005D0F09" w:rsidRPr="00D45E3C" w:rsidRDefault="005D0F09" w:rsidP="005D0F09">
      <w:pPr>
        <w:spacing w:after="200"/>
        <w:jc w:val="both"/>
        <w:rPr>
          <w:rFonts w:cs="Tahoma"/>
          <w:szCs w:val="18"/>
        </w:rPr>
      </w:pPr>
      <w:r w:rsidRPr="00D74045">
        <w:rPr>
          <w:rFonts w:cs="Tahoma"/>
          <w:szCs w:val="18"/>
        </w:rPr>
        <w:t>The notification of VTEC infections is mandatory in</w:t>
      </w:r>
      <w:r w:rsidR="00927F86">
        <w:rPr>
          <w:rFonts w:cs="Tahoma"/>
          <w:szCs w:val="18"/>
        </w:rPr>
        <w:t xml:space="preserve"> </w:t>
      </w:r>
      <w:r w:rsidR="00D819FC">
        <w:rPr>
          <w:rFonts w:cs="Tahoma"/>
          <w:szCs w:val="18"/>
        </w:rPr>
        <w:t>2</w:t>
      </w:r>
      <w:r w:rsidR="00052081">
        <w:rPr>
          <w:rFonts w:cs="Tahoma"/>
          <w:szCs w:val="18"/>
        </w:rPr>
        <w:t>7</w:t>
      </w:r>
      <w:r w:rsidRPr="00D74045">
        <w:rPr>
          <w:rFonts w:cs="Tahoma"/>
          <w:szCs w:val="18"/>
        </w:rPr>
        <w:t xml:space="preserve"> EU</w:t>
      </w:r>
      <w:r w:rsidR="00D61E25">
        <w:rPr>
          <w:rFonts w:cs="Tahoma"/>
          <w:szCs w:val="18"/>
        </w:rPr>
        <w:t>/EEA</w:t>
      </w:r>
      <w:r w:rsidR="00EE0B8E">
        <w:rPr>
          <w:rFonts w:cs="Tahoma"/>
          <w:szCs w:val="18"/>
        </w:rPr>
        <w:t xml:space="preserve"> countries</w:t>
      </w:r>
      <w:r w:rsidR="00927F86">
        <w:rPr>
          <w:rFonts w:cs="Tahoma"/>
          <w:szCs w:val="18"/>
        </w:rPr>
        <w:t>.</w:t>
      </w:r>
      <w:r w:rsidRPr="00D74045">
        <w:rPr>
          <w:rFonts w:cs="Tahoma"/>
          <w:szCs w:val="18"/>
        </w:rPr>
        <w:t xml:space="preserve"> </w:t>
      </w:r>
      <w:r w:rsidR="00927F86">
        <w:rPr>
          <w:rFonts w:cs="Tahoma"/>
          <w:szCs w:val="18"/>
        </w:rPr>
        <w:t>In</w:t>
      </w:r>
      <w:r w:rsidRPr="00D74045">
        <w:rPr>
          <w:rFonts w:cs="Tahoma"/>
          <w:szCs w:val="18"/>
        </w:rPr>
        <w:t xml:space="preserve"> f</w:t>
      </w:r>
      <w:r w:rsidR="003805AD" w:rsidRPr="00D74045">
        <w:rPr>
          <w:rFonts w:cs="Tahoma"/>
          <w:szCs w:val="18"/>
        </w:rPr>
        <w:t>our</w:t>
      </w:r>
      <w:r w:rsidR="00927F86">
        <w:rPr>
          <w:rFonts w:cs="Tahoma"/>
          <w:szCs w:val="18"/>
        </w:rPr>
        <w:t xml:space="preserve"> Member States </w:t>
      </w:r>
      <w:r w:rsidRPr="00D74045">
        <w:rPr>
          <w:rFonts w:cs="Tahoma"/>
          <w:szCs w:val="18"/>
        </w:rPr>
        <w:t>notification is based on a voluntary system (</w:t>
      </w:r>
      <w:r w:rsidR="00583AB6" w:rsidRPr="00D74045">
        <w:rPr>
          <w:rFonts w:cs="Tahoma"/>
          <w:szCs w:val="18"/>
        </w:rPr>
        <w:t>Belgium</w:t>
      </w:r>
      <w:r w:rsidR="00052081">
        <w:rPr>
          <w:rFonts w:cs="Tahoma"/>
          <w:szCs w:val="18"/>
        </w:rPr>
        <w:t xml:space="preserve"> and</w:t>
      </w:r>
      <w:r w:rsidR="00583AB6" w:rsidRPr="00D74045">
        <w:rPr>
          <w:rFonts w:cs="Tahoma"/>
          <w:szCs w:val="18"/>
        </w:rPr>
        <w:t xml:space="preserve"> </w:t>
      </w:r>
      <w:r w:rsidRPr="00D74045">
        <w:rPr>
          <w:rFonts w:cs="Tahoma"/>
          <w:szCs w:val="18"/>
        </w:rPr>
        <w:t>France) or other system (</w:t>
      </w:r>
      <w:r w:rsidR="0098462D" w:rsidRPr="00D74045">
        <w:rPr>
          <w:rFonts w:cs="Tahoma"/>
          <w:szCs w:val="18"/>
        </w:rPr>
        <w:t>Italy</w:t>
      </w:r>
      <w:r w:rsidRPr="00D74045">
        <w:rPr>
          <w:rFonts w:cs="Tahoma"/>
          <w:szCs w:val="18"/>
        </w:rPr>
        <w:t>). The</w:t>
      </w:r>
      <w:r w:rsidRPr="009A768D">
        <w:rPr>
          <w:rFonts w:cs="Tahoma"/>
          <w:szCs w:val="18"/>
        </w:rPr>
        <w:t xml:space="preserve"> surveillance systems for </w:t>
      </w:r>
      <w:r>
        <w:rPr>
          <w:rFonts w:cs="Tahoma"/>
          <w:szCs w:val="18"/>
        </w:rPr>
        <w:t>STEC/</w:t>
      </w:r>
      <w:r w:rsidRPr="009A768D">
        <w:rPr>
          <w:rFonts w:cs="Tahoma"/>
          <w:szCs w:val="18"/>
        </w:rPr>
        <w:t xml:space="preserve">VTEC infections have full national coverage in all </w:t>
      </w:r>
      <w:r w:rsidR="00D819FC">
        <w:rPr>
          <w:rFonts w:cs="Tahoma"/>
          <w:szCs w:val="18"/>
        </w:rPr>
        <w:t xml:space="preserve">reporting </w:t>
      </w:r>
      <w:r>
        <w:rPr>
          <w:rFonts w:cs="Tahoma"/>
          <w:szCs w:val="18"/>
        </w:rPr>
        <w:t>countries</w:t>
      </w:r>
      <w:r w:rsidRPr="009A768D">
        <w:rPr>
          <w:rFonts w:cs="Tahoma"/>
          <w:szCs w:val="18"/>
        </w:rPr>
        <w:t xml:space="preserve"> except </w:t>
      </w:r>
      <w:r w:rsidR="008F4E76">
        <w:rPr>
          <w:rFonts w:cs="Tahoma"/>
          <w:szCs w:val="18"/>
        </w:rPr>
        <w:t xml:space="preserve">in </w:t>
      </w:r>
      <w:r w:rsidR="00AD49EC">
        <w:rPr>
          <w:rFonts w:cs="Tahoma"/>
          <w:szCs w:val="18"/>
        </w:rPr>
        <w:t xml:space="preserve">three </w:t>
      </w:r>
      <w:r>
        <w:rPr>
          <w:rFonts w:cs="Tahoma"/>
          <w:szCs w:val="18"/>
        </w:rPr>
        <w:t>(France</w:t>
      </w:r>
      <w:r w:rsidR="00AD49EC">
        <w:rPr>
          <w:rFonts w:cs="Tahoma"/>
          <w:szCs w:val="18"/>
        </w:rPr>
        <w:t>, Italy</w:t>
      </w:r>
      <w:r>
        <w:rPr>
          <w:rFonts w:cs="Tahoma"/>
          <w:szCs w:val="18"/>
        </w:rPr>
        <w:t xml:space="preserve"> and </w:t>
      </w:r>
      <w:r w:rsidRPr="00B9235D">
        <w:rPr>
          <w:rFonts w:cs="Tahoma"/>
          <w:szCs w:val="18"/>
        </w:rPr>
        <w:t>Spain</w:t>
      </w:r>
      <w:r w:rsidRPr="003805AD">
        <w:rPr>
          <w:rFonts w:cs="Tahoma"/>
          <w:szCs w:val="18"/>
        </w:rPr>
        <w:t>).</w:t>
      </w:r>
      <w:r w:rsidRPr="009A768D">
        <w:rPr>
          <w:rFonts w:cs="Tahoma"/>
          <w:szCs w:val="18"/>
        </w:rPr>
        <w:t xml:space="preserve"> The VTEC surveillance in France is centred on paediatric haemolytic uraemic syndrome </w:t>
      </w:r>
      <w:r w:rsidRPr="009A768D">
        <w:rPr>
          <w:rFonts w:cs="Tahoma"/>
          <w:szCs w:val="18"/>
        </w:rPr>
        <w:t>(HUS) surveillance</w:t>
      </w:r>
      <w:r w:rsidR="0079758A">
        <w:rPr>
          <w:rFonts w:cs="Tahoma"/>
          <w:szCs w:val="18"/>
        </w:rPr>
        <w:t xml:space="preserve"> (coverage estimated at 85% from 2016-2017)</w:t>
      </w:r>
      <w:r w:rsidRPr="009A768D">
        <w:rPr>
          <w:rFonts w:cs="Tahoma"/>
          <w:szCs w:val="18"/>
        </w:rPr>
        <w:t xml:space="preserve">, and in Italy is primarily based on the National registry of HUS. </w:t>
      </w:r>
      <w:r w:rsidR="00556EED">
        <w:rPr>
          <w:rFonts w:cs="Tahoma"/>
          <w:szCs w:val="18"/>
        </w:rPr>
        <w:t xml:space="preserve">Therefore, no notification </w:t>
      </w:r>
      <w:r w:rsidR="00556EED">
        <w:rPr>
          <w:rFonts w:cs="Tahoma"/>
          <w:szCs w:val="18"/>
        </w:rPr>
        <w:lastRenderedPageBreak/>
        <w:t xml:space="preserve">rates are calculated for these two countries. </w:t>
      </w:r>
      <w:r w:rsidR="00556EED" w:rsidRPr="00E23A35">
        <w:t xml:space="preserve">The coverage of the surveillance system is </w:t>
      </w:r>
      <w:r w:rsidR="00556EED" w:rsidRPr="002719AF">
        <w:t>estimated to be 97% in Spain</w:t>
      </w:r>
      <w:r w:rsidR="000357D0" w:rsidRPr="002719AF">
        <w:t xml:space="preserve"> in 2021</w:t>
      </w:r>
      <w:r w:rsidR="000357D0">
        <w:t>-</w:t>
      </w:r>
      <w:r w:rsidR="000357D0" w:rsidRPr="00E23A35">
        <w:t>202</w:t>
      </w:r>
      <w:r w:rsidR="00922B11">
        <w:t>3</w:t>
      </w:r>
      <w:r w:rsidR="000357D0">
        <w:t>, so that</w:t>
      </w:r>
      <w:r w:rsidR="00556EED" w:rsidRPr="00E23A35">
        <w:t xml:space="preserve"> proportion w</w:t>
      </w:r>
      <w:r w:rsidR="000357D0">
        <w:t>as</w:t>
      </w:r>
      <w:r w:rsidR="00556EED" w:rsidRPr="00E23A35">
        <w:t xml:space="preserve"> used when calculating </w:t>
      </w:r>
      <w:r w:rsidR="00556EED">
        <w:t xml:space="preserve">the national </w:t>
      </w:r>
      <w:r w:rsidR="00556EED" w:rsidRPr="00E23A35">
        <w:t xml:space="preserve">notification </w:t>
      </w:r>
      <w:r w:rsidR="00925503" w:rsidRPr="00E23A35">
        <w:t>rate</w:t>
      </w:r>
      <w:r w:rsidR="00925503">
        <w:rPr>
          <w:rFonts w:cs="Tahoma"/>
          <w:szCs w:val="18"/>
        </w:rPr>
        <w:t>.</w:t>
      </w:r>
      <w:r w:rsidR="00647CD8">
        <w:rPr>
          <w:rFonts w:cs="Tahoma"/>
          <w:szCs w:val="18"/>
        </w:rPr>
        <w:t xml:space="preserve"> </w:t>
      </w:r>
      <w:r w:rsidR="000357D0">
        <w:t xml:space="preserve"> </w:t>
      </w:r>
      <w:r w:rsidR="00647CD8" w:rsidRPr="00E23A35">
        <w:t xml:space="preserve">No estimate of population coverage in </w:t>
      </w:r>
      <w:r w:rsidR="00647CD8">
        <w:t>Spain</w:t>
      </w:r>
      <w:r w:rsidR="00647CD8" w:rsidRPr="00E23A35">
        <w:t xml:space="preserve"> was provided</w:t>
      </w:r>
      <w:r w:rsidR="00647CD8">
        <w:t xml:space="preserve"> prior 2021</w:t>
      </w:r>
      <w:r w:rsidR="00647CD8" w:rsidRPr="00E23A35">
        <w:t>, so notification rate</w:t>
      </w:r>
      <w:r w:rsidR="00647CD8">
        <w:t>s were</w:t>
      </w:r>
      <w:r w:rsidR="00647CD8" w:rsidRPr="00E23A35">
        <w:t xml:space="preserve"> not calculated</w:t>
      </w:r>
      <w:r w:rsidR="00647CD8">
        <w:t xml:space="preserve">. </w:t>
      </w:r>
      <w:r w:rsidR="00CF37A1">
        <w:rPr>
          <w:rFonts w:cs="Tahoma"/>
          <w:szCs w:val="18"/>
        </w:rPr>
        <w:t>In Belgium, full national coverage was established in 2015 and rates before this date are not displayed</w:t>
      </w:r>
      <w:r w:rsidR="00F039F7">
        <w:rPr>
          <w:rFonts w:cs="Tahoma"/>
          <w:szCs w:val="18"/>
        </w:rPr>
        <w:t>.</w:t>
      </w:r>
      <w:r w:rsidR="00647CD8">
        <w:rPr>
          <w:rFonts w:cs="Tahoma"/>
          <w:szCs w:val="18"/>
        </w:rPr>
        <w:t xml:space="preserve"> </w:t>
      </w:r>
      <w:r w:rsidRPr="006F134D">
        <w:rPr>
          <w:rFonts w:cs="Tahoma"/>
          <w:szCs w:val="18"/>
        </w:rPr>
        <w:t>All countries provide case-based data</w:t>
      </w:r>
      <w:r w:rsidR="00C96C10" w:rsidRPr="004C1587">
        <w:t>.</w:t>
      </w:r>
    </w:p>
    <w:p w14:paraId="527540C8" w14:textId="572D6426" w:rsidR="005D0F09" w:rsidRDefault="005D0F09" w:rsidP="005D0F09">
      <w:pPr>
        <w:spacing w:after="200"/>
        <w:jc w:val="both"/>
        <w:rPr>
          <w:rFonts w:eastAsiaTheme="minorHAnsi" w:cs="Tahoma"/>
          <w:color w:val="000000"/>
          <w:szCs w:val="18"/>
        </w:rPr>
      </w:pPr>
      <w:r w:rsidRPr="00D45E3C">
        <w:rPr>
          <w:rFonts w:eastAsiaTheme="minorHAnsi" w:cs="Tahoma"/>
          <w:color w:val="000000"/>
          <w:szCs w:val="18"/>
        </w:rPr>
        <w:t xml:space="preserve">STEC/VTEC infections </w:t>
      </w:r>
      <w:r>
        <w:rPr>
          <w:rFonts w:eastAsiaTheme="minorHAnsi" w:cs="Tahoma"/>
          <w:color w:val="000000"/>
          <w:szCs w:val="18"/>
        </w:rPr>
        <w:t xml:space="preserve">had a </w:t>
      </w:r>
      <w:r w:rsidRPr="00D45E3C">
        <w:rPr>
          <w:rFonts w:eastAsiaTheme="minorHAnsi" w:cs="Tahoma"/>
          <w:color w:val="000000"/>
          <w:szCs w:val="18"/>
        </w:rPr>
        <w:t>dominant peak in the summer of 2011</w:t>
      </w:r>
      <w:r w:rsidR="003805AD">
        <w:rPr>
          <w:rFonts w:eastAsiaTheme="minorHAnsi" w:cs="Tahoma"/>
          <w:color w:val="000000"/>
          <w:szCs w:val="18"/>
        </w:rPr>
        <w:t>,</w:t>
      </w:r>
      <w:r w:rsidRPr="00D45E3C">
        <w:rPr>
          <w:rFonts w:eastAsiaTheme="minorHAnsi" w:cs="Tahoma"/>
          <w:color w:val="000000"/>
          <w:szCs w:val="18"/>
        </w:rPr>
        <w:t xml:space="preserve"> </w:t>
      </w:r>
      <w:r>
        <w:rPr>
          <w:rFonts w:eastAsiaTheme="minorHAnsi" w:cs="Tahoma"/>
          <w:color w:val="000000"/>
          <w:szCs w:val="18"/>
        </w:rPr>
        <w:t xml:space="preserve">which </w:t>
      </w:r>
      <w:r w:rsidRPr="00D45E3C">
        <w:rPr>
          <w:rFonts w:eastAsiaTheme="minorHAnsi" w:cs="Tahoma"/>
          <w:color w:val="000000"/>
          <w:szCs w:val="18"/>
        </w:rPr>
        <w:t xml:space="preserve">was attributed to </w:t>
      </w:r>
      <w:r>
        <w:rPr>
          <w:rFonts w:eastAsiaTheme="minorHAnsi" w:cs="Tahoma"/>
          <w:color w:val="000000"/>
          <w:szCs w:val="18"/>
        </w:rPr>
        <w:t>a</w:t>
      </w:r>
      <w:r w:rsidRPr="00D45E3C">
        <w:rPr>
          <w:rFonts w:eastAsiaTheme="minorHAnsi" w:cs="Tahoma"/>
          <w:color w:val="000000"/>
          <w:szCs w:val="18"/>
        </w:rPr>
        <w:t xml:space="preserve"> large enteroaggregative STEC/VTEC O104:H4 outbreak associated with the consumption of contaminated raw sprouted seeds affecting more than 3 800 persons in Germany and linked cases in an additional 15 countries. In the years following the outbreak, the EU/EEA notification rate was higher than before the outbreak. This is likely to </w:t>
      </w:r>
      <w:r>
        <w:rPr>
          <w:rFonts w:eastAsiaTheme="minorHAnsi" w:cs="Tahoma"/>
          <w:color w:val="000000"/>
          <w:szCs w:val="18"/>
        </w:rPr>
        <w:t>result from</w:t>
      </w:r>
      <w:r w:rsidRPr="00D45E3C">
        <w:rPr>
          <w:rFonts w:eastAsiaTheme="minorHAnsi" w:cs="Tahoma"/>
          <w:color w:val="000000"/>
          <w:szCs w:val="18"/>
        </w:rPr>
        <w:t xml:space="preserve"> increased awareness and a higher number of laboratories with a capacity to test for the presence of serogroups other than O157. </w:t>
      </w:r>
      <w:r w:rsidR="0031626F">
        <w:rPr>
          <w:rFonts w:eastAsiaTheme="minorHAnsi" w:cs="Tahoma"/>
          <w:color w:val="000000"/>
          <w:szCs w:val="18"/>
        </w:rPr>
        <w:t>Increased use of PCR in primary diagnostics has also resulted in an increase in the case numbers in many countries in recent years.</w:t>
      </w:r>
    </w:p>
    <w:p w14:paraId="38346C35" w14:textId="1E4AF0EB" w:rsidR="00AD7B17" w:rsidRPr="00D45E3C" w:rsidRDefault="00AD7B17" w:rsidP="006D7508">
      <w:pPr>
        <w:kinsoku w:val="0"/>
        <w:autoSpaceDE w:val="0"/>
        <w:autoSpaceDN w:val="0"/>
        <w:adjustRightInd w:val="0"/>
        <w:spacing w:after="120" w:line="200" w:lineRule="atLeast"/>
        <w:jc w:val="both"/>
        <w:rPr>
          <w:rFonts w:eastAsiaTheme="minorHAnsi" w:cs="Tahoma"/>
          <w:color w:val="000000"/>
          <w:szCs w:val="18"/>
        </w:rPr>
      </w:pPr>
      <w:r w:rsidRPr="002E0B1E">
        <w:rPr>
          <w:rFonts w:eastAsia="Arial Unicode MS" w:cs="Tahoma"/>
          <w:kern w:val="22"/>
          <w:szCs w:val="18"/>
        </w:rPr>
        <w:t xml:space="preserve">The COVID-19 pandemic significantly impacted on the surveillance </w:t>
      </w:r>
      <w:r>
        <w:rPr>
          <w:rFonts w:eastAsia="Arial Unicode MS" w:cs="Tahoma"/>
          <w:kern w:val="22"/>
          <w:szCs w:val="18"/>
        </w:rPr>
        <w:t>data for</w:t>
      </w:r>
      <w:r w:rsidRPr="002E0B1E">
        <w:rPr>
          <w:rFonts w:eastAsia="Arial Unicode MS" w:cs="Tahoma"/>
          <w:kern w:val="22"/>
          <w:szCs w:val="18"/>
        </w:rPr>
        <w:t xml:space="preserve"> </w:t>
      </w:r>
      <w:r>
        <w:rPr>
          <w:rFonts w:eastAsia="Arial Unicode MS" w:cs="Tahoma"/>
          <w:kern w:val="22"/>
          <w:szCs w:val="18"/>
        </w:rPr>
        <w:t>STEC/VTEC infections</w:t>
      </w:r>
      <w:r w:rsidRPr="002E0B1E">
        <w:rPr>
          <w:rFonts w:eastAsia="Arial Unicode MS" w:cs="Tahoma"/>
          <w:kern w:val="22"/>
          <w:szCs w:val="18"/>
        </w:rPr>
        <w:t xml:space="preserve"> in 2020</w:t>
      </w:r>
      <w:r w:rsidR="00F0274E">
        <w:rPr>
          <w:rFonts w:eastAsia="Arial Unicode MS" w:cs="Tahoma"/>
          <w:kern w:val="22"/>
          <w:szCs w:val="18"/>
        </w:rPr>
        <w:t>-2021</w:t>
      </w:r>
      <w:r w:rsidRPr="002E0B1E">
        <w:rPr>
          <w:rFonts w:eastAsia="Arial Unicode MS" w:cs="Tahoma"/>
          <w:kern w:val="22"/>
          <w:szCs w:val="18"/>
        </w:rPr>
        <w:t xml:space="preserve">. Factors mentioned by countries resulting in lower case numbers were e.g. people avoiding </w:t>
      </w:r>
      <w:proofErr w:type="gramStart"/>
      <w:r w:rsidRPr="002E0B1E">
        <w:rPr>
          <w:rFonts w:eastAsia="Arial Unicode MS" w:cs="Tahoma"/>
          <w:kern w:val="22"/>
          <w:szCs w:val="18"/>
        </w:rPr>
        <w:t>to seek</w:t>
      </w:r>
      <w:proofErr w:type="gramEnd"/>
      <w:r w:rsidRPr="002E0B1E">
        <w:rPr>
          <w:rFonts w:eastAsia="Arial Unicode MS" w:cs="Tahoma"/>
          <w:kern w:val="22"/>
          <w:szCs w:val="18"/>
        </w:rPr>
        <w:t xml:space="preserve"> medical care for mild symptoms </w:t>
      </w:r>
      <w:r w:rsidRPr="001C4E99">
        <w:rPr>
          <w:rFonts w:eastAsia="Arial Unicode MS" w:cs="Tahoma"/>
          <w:kern w:val="22"/>
          <w:szCs w:val="18"/>
        </w:rPr>
        <w:t>due to risk of exposure to COVID-19 in health care facilities</w:t>
      </w:r>
      <w:r w:rsidRPr="002E0B1E">
        <w:rPr>
          <w:rFonts w:eastAsia="Arial Unicode MS" w:cs="Tahoma"/>
          <w:kern w:val="22"/>
          <w:szCs w:val="18"/>
        </w:rPr>
        <w:t xml:space="preserve">, limited </w:t>
      </w:r>
      <w:r>
        <w:rPr>
          <w:rFonts w:eastAsia="Arial Unicode MS" w:cs="Tahoma"/>
          <w:kern w:val="22"/>
          <w:szCs w:val="18"/>
        </w:rPr>
        <w:t>laboratory capacity due to reallocation of resources to SARS-CoV-2, fewer restaurant visits, increased hand washing</w:t>
      </w:r>
      <w:r w:rsidRPr="002E0B1E">
        <w:rPr>
          <w:rFonts w:eastAsia="Arial Unicode MS" w:cs="Tahoma"/>
          <w:kern w:val="22"/>
          <w:szCs w:val="18"/>
        </w:rPr>
        <w:t>, less travel due to travel restriction etc.</w:t>
      </w:r>
    </w:p>
    <w:p w14:paraId="77431F61" w14:textId="77777777" w:rsidR="005D0F09" w:rsidRPr="00D45E3C" w:rsidRDefault="005D0F09" w:rsidP="005D0F09">
      <w:pPr>
        <w:pStyle w:val="EC-Para"/>
        <w:jc w:val="both"/>
        <w:rPr>
          <w:rFonts w:eastAsiaTheme="minorHAnsi" w:cs="Tahoma"/>
          <w:color w:val="000000"/>
          <w:lang w:eastAsia="en-US"/>
        </w:rPr>
      </w:pPr>
      <w:r w:rsidRPr="00D45E3C">
        <w:rPr>
          <w:rFonts w:cs="Tahoma"/>
          <w:lang w:eastAsia="en-US"/>
        </w:rPr>
        <w:t>The completeness of some variables such as e.g. hospitalisation, outcome</w:t>
      </w:r>
      <w:r>
        <w:rPr>
          <w:rFonts w:cs="Tahoma"/>
          <w:lang w:eastAsia="en-US"/>
        </w:rPr>
        <w:t xml:space="preserve">, importation, </w:t>
      </w:r>
      <w:r w:rsidRPr="00D45E3C">
        <w:rPr>
          <w:rFonts w:cs="Tahoma"/>
          <w:lang w:eastAsia="en-US"/>
        </w:rPr>
        <w:t xml:space="preserve">serogroup or virulence genes vary between countries and years; some countries </w:t>
      </w:r>
      <w:proofErr w:type="gramStart"/>
      <w:r w:rsidRPr="00D45E3C">
        <w:rPr>
          <w:rFonts w:cs="Tahoma"/>
          <w:lang w:eastAsia="en-US"/>
        </w:rPr>
        <w:t>are able to</w:t>
      </w:r>
      <w:proofErr w:type="gramEnd"/>
      <w:r w:rsidRPr="00D45E3C">
        <w:rPr>
          <w:rFonts w:cs="Tahoma"/>
          <w:lang w:eastAsia="en-US"/>
        </w:rPr>
        <w:t xml:space="preserve"> collect and integrate this type of information from different sources, other countries </w:t>
      </w:r>
      <w:r>
        <w:rPr>
          <w:rFonts w:cs="Tahoma"/>
          <w:lang w:eastAsia="en-US"/>
        </w:rPr>
        <w:t>are</w:t>
      </w:r>
      <w:r w:rsidRPr="00D45E3C">
        <w:rPr>
          <w:rFonts w:cs="Tahoma"/>
          <w:lang w:eastAsia="en-US"/>
        </w:rPr>
        <w:t xml:space="preserve"> not.</w:t>
      </w:r>
      <w:r w:rsidRPr="00702E56">
        <w:rPr>
          <w:rFonts w:eastAsiaTheme="minorHAnsi" w:cs="Tahoma"/>
          <w:lang w:eastAsia="en-US"/>
        </w:rPr>
        <w:t xml:space="preserve"> </w:t>
      </w:r>
      <w:r w:rsidRPr="007F3A65">
        <w:rPr>
          <w:rFonts w:eastAsiaTheme="minorHAnsi" w:cs="Tahoma"/>
          <w:lang w:eastAsia="en-US"/>
        </w:rPr>
        <w:t xml:space="preserve">Even if </w:t>
      </w:r>
      <w:r>
        <w:rPr>
          <w:rFonts w:eastAsiaTheme="minorHAnsi" w:cs="Tahoma"/>
          <w:lang w:eastAsia="en-US"/>
        </w:rPr>
        <w:t xml:space="preserve">overall </w:t>
      </w:r>
      <w:r w:rsidRPr="007F3A65">
        <w:rPr>
          <w:rFonts w:eastAsiaTheme="minorHAnsi" w:cs="Tahoma"/>
          <w:lang w:eastAsia="en-US"/>
        </w:rPr>
        <w:t>data completeness is high for some variables, the reader should refrain from direct</w:t>
      </w:r>
      <w:r>
        <w:rPr>
          <w:rFonts w:eastAsiaTheme="minorHAnsi" w:cs="Tahoma"/>
          <w:lang w:eastAsia="en-US"/>
        </w:rPr>
        <w:t>ly</w:t>
      </w:r>
      <w:r w:rsidRPr="007F3A65">
        <w:rPr>
          <w:rFonts w:eastAsiaTheme="minorHAnsi" w:cs="Tahoma"/>
          <w:lang w:eastAsia="en-US"/>
        </w:rPr>
        <w:t xml:space="preserve"> compari</w:t>
      </w:r>
      <w:r>
        <w:rPr>
          <w:rFonts w:eastAsiaTheme="minorHAnsi" w:cs="Tahoma"/>
          <w:lang w:eastAsia="en-US"/>
        </w:rPr>
        <w:t>ng</w:t>
      </w:r>
      <w:r w:rsidRPr="007F3A65">
        <w:rPr>
          <w:rFonts w:eastAsiaTheme="minorHAnsi" w:cs="Tahoma"/>
          <w:lang w:eastAsia="en-US"/>
        </w:rPr>
        <w:t xml:space="preserve"> countries without </w:t>
      </w:r>
      <w:proofErr w:type="gramStart"/>
      <w:r w:rsidRPr="007F3A65">
        <w:rPr>
          <w:rFonts w:eastAsiaTheme="minorHAnsi" w:cs="Tahoma"/>
          <w:lang w:eastAsia="en-US"/>
        </w:rPr>
        <w:t>taking into account</w:t>
      </w:r>
      <w:proofErr w:type="gramEnd"/>
      <w:r w:rsidRPr="007F3A65">
        <w:rPr>
          <w:rFonts w:eastAsiaTheme="minorHAnsi" w:cs="Tahoma"/>
          <w:lang w:eastAsia="en-US"/>
        </w:rPr>
        <w:t xml:space="preserve"> limitations.</w:t>
      </w:r>
    </w:p>
    <w:p w14:paraId="6517CD90" w14:textId="77777777" w:rsidR="005D0F09" w:rsidRDefault="005D0F09" w:rsidP="005D0F09">
      <w:pPr>
        <w:pStyle w:val="EC-Title-6"/>
        <w:outlineLvl w:val="1"/>
        <w:rPr>
          <w:rFonts w:cs="Tahoma"/>
        </w:rPr>
      </w:pPr>
    </w:p>
    <w:p w14:paraId="5D35FAEE" w14:textId="77777777" w:rsidR="005D0F09" w:rsidRPr="004C6681" w:rsidRDefault="005D0F09" w:rsidP="005D0F09">
      <w:pPr>
        <w:pStyle w:val="EC-Title-6"/>
        <w:outlineLvl w:val="1"/>
        <w:rPr>
          <w:rFonts w:cs="Tahoma"/>
        </w:rPr>
      </w:pPr>
      <w:r w:rsidRPr="004C6681">
        <w:rPr>
          <w:rFonts w:cs="Tahoma"/>
        </w:rPr>
        <w:t>Reports published by ECDC on STEC/</w:t>
      </w:r>
      <w:r w:rsidRPr="000C0962">
        <w:rPr>
          <w:rFonts w:cs="Tahoma"/>
        </w:rPr>
        <w:t>VTEC</w:t>
      </w:r>
      <w:r>
        <w:rPr>
          <w:rFonts w:cs="Tahoma"/>
        </w:rPr>
        <w:t xml:space="preserve"> infection</w:t>
      </w:r>
    </w:p>
    <w:p w14:paraId="7AE872B2" w14:textId="77777777" w:rsidR="005D0F09" w:rsidRPr="00CD5A00" w:rsidRDefault="005D0F09" w:rsidP="005D0F09">
      <w:pPr>
        <w:pStyle w:val="EC-Para"/>
        <w:jc w:val="both"/>
        <w:rPr>
          <w:rStyle w:val="Hyperlink"/>
        </w:rPr>
      </w:pPr>
      <w:r>
        <w:rPr>
          <w:lang w:eastAsia="en-US"/>
        </w:rPr>
        <w:t>More information on the disease epidemiology is available in ECDC reports. Note that l</w:t>
      </w:r>
      <w:r>
        <w:t>ater retrievals of data related to the same period may result in slightly different numbers as countries have the possibility to update data retrospectively. Therefore, the data presented in the reports might slightly differ from those presented in the Surveillance Atlas.</w:t>
      </w:r>
    </w:p>
    <w:p w14:paraId="47CA69DA" w14:textId="3FD89A8E" w:rsidR="000A5DE6" w:rsidRPr="009D4D86" w:rsidRDefault="000A5DE6" w:rsidP="000A5DE6">
      <w:pPr>
        <w:pStyle w:val="EC-Para"/>
        <w:spacing w:after="0"/>
        <w:rPr>
          <w:rFonts w:eastAsiaTheme="minorHAnsi" w:cs="Tahoma"/>
          <w:b/>
          <w:lang w:eastAsia="en-US"/>
        </w:rPr>
      </w:pPr>
      <w:r w:rsidRPr="009D4D86">
        <w:rPr>
          <w:rFonts w:eastAsiaTheme="minorHAnsi" w:cs="Tahoma"/>
          <w:b/>
          <w:lang w:eastAsia="en-US"/>
        </w:rPr>
        <w:t>Annual epidemiological report for 202</w:t>
      </w:r>
      <w:r>
        <w:rPr>
          <w:rFonts w:eastAsiaTheme="minorHAnsi" w:cs="Tahoma"/>
          <w:b/>
          <w:lang w:eastAsia="en-US"/>
        </w:rPr>
        <w:t>2</w:t>
      </w:r>
      <w:r w:rsidRPr="009D4D86">
        <w:rPr>
          <w:rFonts w:eastAsiaTheme="minorHAnsi" w:cs="Tahoma"/>
          <w:b/>
          <w:lang w:eastAsia="en-US"/>
        </w:rPr>
        <w:t xml:space="preserve"> – Shiga-toxi</w:t>
      </w:r>
      <w:r>
        <w:rPr>
          <w:rFonts w:eastAsiaTheme="minorHAnsi" w:cs="Tahoma"/>
          <w:b/>
          <w:lang w:eastAsia="en-US"/>
        </w:rPr>
        <w:t>n</w:t>
      </w:r>
      <w:r w:rsidRPr="009D4D86">
        <w:rPr>
          <w:rFonts w:eastAsiaTheme="minorHAnsi" w:cs="Tahoma"/>
          <w:b/>
          <w:lang w:eastAsia="en-US"/>
        </w:rPr>
        <w:t xml:space="preserve">-producing </w:t>
      </w:r>
      <w:r w:rsidRPr="009D4D86">
        <w:rPr>
          <w:rFonts w:eastAsiaTheme="minorHAnsi" w:cs="Tahoma"/>
          <w:b/>
          <w:i/>
          <w:lang w:eastAsia="en-US"/>
        </w:rPr>
        <w:t>Escherichia coli</w:t>
      </w:r>
      <w:r w:rsidRPr="009D4D86">
        <w:rPr>
          <w:rFonts w:eastAsiaTheme="minorHAnsi" w:cs="Tahoma"/>
          <w:b/>
          <w:lang w:eastAsia="en-US"/>
        </w:rPr>
        <w:t xml:space="preserve"> (STEC) infection:</w:t>
      </w:r>
    </w:p>
    <w:p w14:paraId="5125C849" w14:textId="3785275E" w:rsidR="000A5DE6" w:rsidRPr="005B7B7A" w:rsidRDefault="00000000" w:rsidP="000A5DE6">
      <w:pPr>
        <w:pStyle w:val="EC-Para"/>
        <w:spacing w:after="0"/>
      </w:pPr>
      <w:hyperlink r:id="rId84" w:history="1">
        <w:r w:rsidR="005B7B7A" w:rsidRPr="005B7B7A">
          <w:rPr>
            <w:rStyle w:val="Hyperlink"/>
            <w:sz w:val="18"/>
          </w:rPr>
          <w:t>STEC infection Annual Epidemiological Report 2022 (europa.eu)</w:t>
        </w:r>
      </w:hyperlink>
    </w:p>
    <w:p w14:paraId="0AC156F9" w14:textId="77777777" w:rsidR="005B7B7A" w:rsidRPr="009D4D86" w:rsidRDefault="005B7B7A" w:rsidP="000A5DE6">
      <w:pPr>
        <w:pStyle w:val="EC-Para"/>
        <w:spacing w:after="0"/>
        <w:rPr>
          <w:rFonts w:eastAsiaTheme="minorHAnsi" w:cs="Tahoma"/>
          <w:bCs/>
          <w:lang w:eastAsia="en-US"/>
        </w:rPr>
      </w:pPr>
    </w:p>
    <w:p w14:paraId="3DE2471F" w14:textId="1E008469" w:rsidR="00A1421E" w:rsidRPr="009D4D86" w:rsidRDefault="00A1421E" w:rsidP="00A1421E">
      <w:pPr>
        <w:pStyle w:val="EC-Para"/>
        <w:spacing w:after="0"/>
        <w:jc w:val="both"/>
        <w:rPr>
          <w:b/>
        </w:rPr>
      </w:pPr>
      <w:r w:rsidRPr="009D4D86">
        <w:rPr>
          <w:b/>
        </w:rPr>
        <w:t>EFSA and ECDC (European Food Safety Authority and European Centre for Disease Prevention and Control), 202</w:t>
      </w:r>
      <w:r w:rsidR="00411FB0">
        <w:rPr>
          <w:b/>
        </w:rPr>
        <w:t>3</w:t>
      </w:r>
      <w:r w:rsidRPr="009D4D86">
        <w:rPr>
          <w:b/>
        </w:rPr>
        <w:t>. The European Union One Health 202</w:t>
      </w:r>
      <w:r w:rsidR="00411FB0">
        <w:rPr>
          <w:b/>
        </w:rPr>
        <w:t>2</w:t>
      </w:r>
      <w:r w:rsidRPr="009D4D86">
        <w:rPr>
          <w:b/>
        </w:rPr>
        <w:t xml:space="preserve"> Zoonoses Report</w:t>
      </w:r>
      <w:r w:rsidR="000A5DE6">
        <w:rPr>
          <w:b/>
        </w:rPr>
        <w:t xml:space="preserve"> (December 2023)</w:t>
      </w:r>
      <w:r w:rsidRPr="009D4D86">
        <w:rPr>
          <w:b/>
        </w:rPr>
        <w:t>:</w:t>
      </w:r>
    </w:p>
    <w:p w14:paraId="42ADA1F8" w14:textId="77777777" w:rsidR="00411FB0" w:rsidRDefault="00000000" w:rsidP="00411FB0">
      <w:pPr>
        <w:pStyle w:val="EC-Para"/>
        <w:spacing w:after="0"/>
        <w:rPr>
          <w:color w:val="69AE23"/>
        </w:rPr>
      </w:pPr>
      <w:hyperlink r:id="rId85" w:history="1">
        <w:r w:rsidR="00411FB0" w:rsidRPr="008D42C9">
          <w:rPr>
            <w:rStyle w:val="Hyperlink"/>
            <w:sz w:val="18"/>
          </w:rPr>
          <w:t>https://efsa.onlinelibrary.wiley.com/doi/epdf/10.2903/j.efsa.2023.8442</w:t>
        </w:r>
      </w:hyperlink>
    </w:p>
    <w:p w14:paraId="5941014D" w14:textId="4CADEF84" w:rsidR="005D0F09" w:rsidRPr="009D4D86" w:rsidRDefault="005D0F09" w:rsidP="003314E4">
      <w:pPr>
        <w:pStyle w:val="EC-Para"/>
        <w:spacing w:after="0"/>
        <w:rPr>
          <w:rFonts w:eastAsiaTheme="minorHAnsi" w:cs="Tahoma"/>
          <w:lang w:eastAsia="en-US"/>
        </w:rPr>
      </w:pPr>
    </w:p>
    <w:p w14:paraId="1A549561" w14:textId="22CDADB0" w:rsidR="005D0F09" w:rsidRDefault="00E75327" w:rsidP="00DF5C83">
      <w:pPr>
        <w:autoSpaceDE w:val="0"/>
        <w:autoSpaceDN w:val="0"/>
        <w:adjustRightInd w:val="0"/>
        <w:spacing w:after="0"/>
        <w:rPr>
          <w:rFonts w:eastAsiaTheme="minorHAnsi" w:cs="Tahoma"/>
          <w:b/>
          <w:szCs w:val="18"/>
        </w:rPr>
      </w:pPr>
      <w:r>
        <w:rPr>
          <w:rFonts w:eastAsiaTheme="minorHAnsi" w:cs="Tahoma"/>
          <w:b/>
          <w:szCs w:val="18"/>
        </w:rPr>
        <w:t>Twelfth</w:t>
      </w:r>
      <w:r w:rsidR="001F47D7">
        <w:rPr>
          <w:rFonts w:eastAsiaTheme="minorHAnsi" w:cs="Tahoma"/>
          <w:b/>
          <w:szCs w:val="18"/>
        </w:rPr>
        <w:t xml:space="preserve"> </w:t>
      </w:r>
      <w:r w:rsidR="005D0F09" w:rsidRPr="009D4D86">
        <w:rPr>
          <w:rFonts w:eastAsiaTheme="minorHAnsi" w:cs="Tahoma"/>
          <w:b/>
          <w:szCs w:val="18"/>
        </w:rPr>
        <w:t>external quality assessment scheme for typing of</w:t>
      </w:r>
      <w:r w:rsidR="00BE2C8C" w:rsidRPr="009D4D86">
        <w:rPr>
          <w:rFonts w:eastAsiaTheme="minorHAnsi" w:cs="Tahoma"/>
          <w:b/>
          <w:szCs w:val="18"/>
        </w:rPr>
        <w:t xml:space="preserve"> Shiga toxin-</w:t>
      </w:r>
      <w:r w:rsidR="005D0F09" w:rsidRPr="009D4D86">
        <w:rPr>
          <w:rFonts w:eastAsiaTheme="minorHAnsi" w:cs="Tahoma"/>
          <w:b/>
          <w:szCs w:val="18"/>
        </w:rPr>
        <w:t xml:space="preserve">producing </w:t>
      </w:r>
      <w:r w:rsidR="005D0F09" w:rsidRPr="009D4D86">
        <w:rPr>
          <w:rFonts w:eastAsiaTheme="minorHAnsi" w:cs="Tahoma"/>
          <w:b/>
          <w:i/>
          <w:szCs w:val="18"/>
        </w:rPr>
        <w:t>Escherichia coli</w:t>
      </w:r>
      <w:r w:rsidR="005D0F09" w:rsidRPr="009D4D86">
        <w:rPr>
          <w:rFonts w:eastAsiaTheme="minorHAnsi" w:cs="Tahoma"/>
          <w:b/>
          <w:szCs w:val="18"/>
        </w:rPr>
        <w:t>:</w:t>
      </w:r>
      <w:r w:rsidR="001F47D7">
        <w:rPr>
          <w:rFonts w:eastAsiaTheme="minorHAnsi" w:cs="Tahoma"/>
          <w:b/>
          <w:szCs w:val="18"/>
        </w:rPr>
        <w:t xml:space="preserve"> (</w:t>
      </w:r>
      <w:r>
        <w:rPr>
          <w:rFonts w:eastAsiaTheme="minorHAnsi" w:cs="Tahoma"/>
          <w:b/>
          <w:szCs w:val="18"/>
        </w:rPr>
        <w:t>June</w:t>
      </w:r>
      <w:r w:rsidR="001F47D7">
        <w:rPr>
          <w:rFonts w:eastAsiaTheme="minorHAnsi" w:cs="Tahoma"/>
          <w:b/>
          <w:szCs w:val="18"/>
        </w:rPr>
        <w:t xml:space="preserve"> 202</w:t>
      </w:r>
      <w:r>
        <w:rPr>
          <w:rFonts w:eastAsiaTheme="minorHAnsi" w:cs="Tahoma"/>
          <w:b/>
          <w:szCs w:val="18"/>
        </w:rPr>
        <w:t>4</w:t>
      </w:r>
      <w:r w:rsidR="001F47D7">
        <w:rPr>
          <w:rFonts w:eastAsiaTheme="minorHAnsi" w:cs="Tahoma"/>
          <w:b/>
          <w:szCs w:val="18"/>
        </w:rPr>
        <w:t>):</w:t>
      </w:r>
    </w:p>
    <w:p w14:paraId="356D6E6F" w14:textId="0497B6D3" w:rsidR="006E1C43" w:rsidRPr="006E1C43" w:rsidRDefault="00000000" w:rsidP="00DF5C83">
      <w:pPr>
        <w:autoSpaceDE w:val="0"/>
        <w:autoSpaceDN w:val="0"/>
        <w:adjustRightInd w:val="0"/>
        <w:spacing w:after="0"/>
        <w:rPr>
          <w:rFonts w:eastAsiaTheme="minorHAnsi" w:cs="Tahoma"/>
          <w:bCs/>
          <w:szCs w:val="18"/>
        </w:rPr>
      </w:pPr>
      <w:hyperlink r:id="rId86" w:history="1">
        <w:r w:rsidR="006E1C43" w:rsidRPr="006E1C43">
          <w:rPr>
            <w:rStyle w:val="Hyperlink"/>
            <w:rFonts w:eastAsiaTheme="minorHAnsi" w:cs="Tahoma"/>
            <w:bCs/>
            <w:sz w:val="18"/>
            <w:szCs w:val="18"/>
          </w:rPr>
          <w:t>https://www.ecdc.europa.eu/en/publications-data/twelfth-external-quality-assessment-scheme-typing-shiga-toxin-producing</w:t>
        </w:r>
      </w:hyperlink>
    </w:p>
    <w:p w14:paraId="52F5073D" w14:textId="77777777" w:rsidR="00E75327" w:rsidRDefault="00E75327" w:rsidP="00BF094C">
      <w:pPr>
        <w:pStyle w:val="EC-Para"/>
        <w:spacing w:after="0" w:line="240" w:lineRule="auto"/>
        <w:rPr>
          <w:b/>
          <w:bCs/>
        </w:rPr>
      </w:pPr>
    </w:p>
    <w:p w14:paraId="31A58CCA" w14:textId="3D1B14AD" w:rsidR="00BF094C" w:rsidRPr="00FD4D99" w:rsidRDefault="00BF094C" w:rsidP="00BF094C">
      <w:pPr>
        <w:pStyle w:val="EC-Para"/>
        <w:spacing w:after="0" w:line="240" w:lineRule="auto"/>
        <w:rPr>
          <w:b/>
          <w:bCs/>
        </w:rPr>
      </w:pPr>
      <w:r w:rsidRPr="005B03ED">
        <w:rPr>
          <w:b/>
          <w:bCs/>
        </w:rPr>
        <w:t xml:space="preserve">Rapid risk assessment: Increase in OXA-244 -producing </w:t>
      </w:r>
      <w:r w:rsidRPr="00A54831">
        <w:rPr>
          <w:b/>
          <w:bCs/>
          <w:i/>
          <w:iCs/>
        </w:rPr>
        <w:t>Escherichia coli</w:t>
      </w:r>
      <w:r w:rsidRPr="005B03ED">
        <w:rPr>
          <w:b/>
          <w:bCs/>
        </w:rPr>
        <w:t xml:space="preserve"> in the European Union/European Economic Area and the UK since 2013, first update (</w:t>
      </w:r>
      <w:r>
        <w:rPr>
          <w:b/>
          <w:bCs/>
        </w:rPr>
        <w:t xml:space="preserve">20 </w:t>
      </w:r>
      <w:r w:rsidRPr="00FD4D99">
        <w:rPr>
          <w:b/>
          <w:bCs/>
        </w:rPr>
        <w:t>July 2021):</w:t>
      </w:r>
    </w:p>
    <w:p w14:paraId="3716E3B2" w14:textId="77777777" w:rsidR="00BF094C" w:rsidRDefault="00000000" w:rsidP="00BF094C">
      <w:pPr>
        <w:pStyle w:val="EC-Para"/>
        <w:spacing w:after="0" w:line="240" w:lineRule="auto"/>
      </w:pPr>
      <w:hyperlink r:id="rId87" w:history="1">
        <w:r w:rsidR="00BF094C" w:rsidRPr="00FD4D99">
          <w:rPr>
            <w:rStyle w:val="Hyperlink"/>
            <w:sz w:val="18"/>
          </w:rPr>
          <w:t>OXA-244 producing E. coli in the EU EEA and the UK since 2013 - first update (europa.eu)</w:t>
        </w:r>
      </w:hyperlink>
    </w:p>
    <w:p w14:paraId="0429F3FE" w14:textId="77777777" w:rsidR="00BF094C" w:rsidRPr="00FD4D99" w:rsidRDefault="00BF094C" w:rsidP="00BF094C">
      <w:pPr>
        <w:pStyle w:val="EC-Para"/>
        <w:spacing w:after="0" w:line="240" w:lineRule="auto"/>
        <w:rPr>
          <w:b/>
          <w:bCs/>
        </w:rPr>
      </w:pPr>
    </w:p>
    <w:p w14:paraId="5881FFF5" w14:textId="77777777" w:rsidR="00BF094C" w:rsidRPr="00A54831" w:rsidRDefault="00BF094C" w:rsidP="00BF094C">
      <w:pPr>
        <w:pStyle w:val="EC-Para"/>
        <w:spacing w:after="0" w:line="240" w:lineRule="auto"/>
        <w:rPr>
          <w:b/>
          <w:bCs/>
        </w:rPr>
      </w:pPr>
      <w:r w:rsidRPr="00A54831">
        <w:rPr>
          <w:b/>
          <w:bCs/>
        </w:rPr>
        <w:t xml:space="preserve">Increase in OXA-244-producing </w:t>
      </w:r>
      <w:r w:rsidRPr="00A54831">
        <w:rPr>
          <w:b/>
          <w:bCs/>
          <w:i/>
          <w:iCs/>
        </w:rPr>
        <w:t>Escherichia coli</w:t>
      </w:r>
      <w:r>
        <w:rPr>
          <w:b/>
          <w:bCs/>
        </w:rPr>
        <w:t xml:space="preserve"> </w:t>
      </w:r>
      <w:r w:rsidRPr="00A54831">
        <w:rPr>
          <w:b/>
          <w:bCs/>
        </w:rPr>
        <w:t>in the European Union/European Economic Area</w:t>
      </w:r>
    </w:p>
    <w:p w14:paraId="0E454C0C" w14:textId="77777777" w:rsidR="00BF094C" w:rsidRPr="002D44DE" w:rsidRDefault="00BF094C" w:rsidP="00BF094C">
      <w:pPr>
        <w:pStyle w:val="EC-Para"/>
        <w:spacing w:after="0" w:line="240" w:lineRule="auto"/>
        <w:rPr>
          <w:b/>
          <w:bCs/>
        </w:rPr>
      </w:pPr>
      <w:r w:rsidRPr="00A54831">
        <w:rPr>
          <w:b/>
          <w:bCs/>
        </w:rPr>
        <w:t xml:space="preserve">and the UK since 2013 </w:t>
      </w:r>
      <w:r>
        <w:rPr>
          <w:b/>
          <w:bCs/>
        </w:rPr>
        <w:t>(18 February 2020):</w:t>
      </w:r>
    </w:p>
    <w:p w14:paraId="13832D5F" w14:textId="77777777" w:rsidR="00BF094C" w:rsidRPr="002D44DE" w:rsidRDefault="00000000" w:rsidP="00BF094C">
      <w:pPr>
        <w:pStyle w:val="EC-Para"/>
        <w:spacing w:after="0" w:line="240" w:lineRule="auto"/>
        <w:rPr>
          <w:b/>
          <w:bCs/>
        </w:rPr>
      </w:pPr>
      <w:hyperlink r:id="rId88" w:history="1">
        <w:r w:rsidR="00BF094C" w:rsidRPr="002D44DE">
          <w:rPr>
            <w:rStyle w:val="Hyperlink"/>
            <w:sz w:val="18"/>
          </w:rPr>
          <w:t>Increase in OXA-244-producing Escherichia coli in the European Union/European Economic Area and the UK since 2013 (europa.eu)</w:t>
        </w:r>
      </w:hyperlink>
    </w:p>
    <w:p w14:paraId="59C6D15D" w14:textId="4FA3D12A" w:rsidR="009D4D86" w:rsidRPr="001F47D7" w:rsidRDefault="009D4D86">
      <w:pPr>
        <w:rPr>
          <w:rStyle w:val="Hyperlink"/>
          <w:sz w:val="18"/>
          <w:szCs w:val="18"/>
        </w:rPr>
      </w:pPr>
      <w:r w:rsidRPr="001F47D7">
        <w:rPr>
          <w:rStyle w:val="Hyperlink"/>
          <w:sz w:val="18"/>
          <w:szCs w:val="18"/>
        </w:rPr>
        <w:br w:type="page"/>
      </w:r>
    </w:p>
    <w:p w14:paraId="47C252AE" w14:textId="5297A145" w:rsidR="005D0F09" w:rsidRDefault="005D0F09" w:rsidP="005D0F09">
      <w:pPr>
        <w:pStyle w:val="EC-Title-6"/>
        <w:outlineLvl w:val="1"/>
        <w:rPr>
          <w:rFonts w:cs="Tahoma"/>
        </w:rPr>
      </w:pPr>
      <w:r w:rsidRPr="00FA69E5">
        <w:rPr>
          <w:rFonts w:cs="Tahoma"/>
        </w:rPr>
        <w:lastRenderedPageBreak/>
        <w:t xml:space="preserve">Annex 1. Surveillance systems overview, </w:t>
      </w:r>
      <w:r w:rsidR="00A32FE1" w:rsidRPr="00FA69E5">
        <w:rPr>
          <w:rFonts w:cs="Tahoma"/>
        </w:rPr>
        <w:t>202</w:t>
      </w:r>
      <w:r w:rsidR="00C23A5B">
        <w:rPr>
          <w:rFonts w:cs="Tahoma"/>
        </w:rPr>
        <w:t>3</w:t>
      </w:r>
    </w:p>
    <w:tbl>
      <w:tblPr>
        <w:tblW w:w="10143" w:type="dxa"/>
        <w:tblLook w:val="04A0" w:firstRow="1" w:lastRow="0" w:firstColumn="1" w:lastColumn="0" w:noHBand="0" w:noVBand="1"/>
      </w:tblPr>
      <w:tblGrid>
        <w:gridCol w:w="1170"/>
        <w:gridCol w:w="2522"/>
        <w:gridCol w:w="570"/>
        <w:gridCol w:w="570"/>
        <w:gridCol w:w="570"/>
        <w:gridCol w:w="570"/>
        <w:gridCol w:w="570"/>
        <w:gridCol w:w="570"/>
        <w:gridCol w:w="570"/>
        <w:gridCol w:w="570"/>
        <w:gridCol w:w="1891"/>
      </w:tblGrid>
      <w:tr w:rsidR="00F0274E" w:rsidRPr="00614C6B" w14:paraId="2F17302C" w14:textId="77777777" w:rsidTr="00984C04">
        <w:trPr>
          <w:trHeight w:val="294"/>
        </w:trPr>
        <w:tc>
          <w:tcPr>
            <w:tcW w:w="117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72D7D884" w14:textId="77777777" w:rsidR="00F0274E" w:rsidRPr="00614C6B" w:rsidRDefault="00F0274E" w:rsidP="00F0274E">
            <w:pPr>
              <w:rPr>
                <w:rFonts w:eastAsia="Times New Roman" w:cs="Tahoma"/>
                <w:b/>
                <w:bCs/>
                <w:color w:val="FFFFFF"/>
                <w:sz w:val="14"/>
                <w:szCs w:val="14"/>
                <w:lang w:eastAsia="en-GB"/>
              </w:rPr>
            </w:pPr>
            <w:r w:rsidRPr="00614C6B">
              <w:rPr>
                <w:rFonts w:eastAsia="Times New Roman" w:cs="Tahoma"/>
                <w:b/>
                <w:bCs/>
                <w:color w:val="FFFFFF"/>
                <w:sz w:val="14"/>
                <w:szCs w:val="14"/>
                <w:lang w:eastAsia="en-GB"/>
              </w:rPr>
              <w:t>Country</w:t>
            </w:r>
          </w:p>
        </w:tc>
        <w:tc>
          <w:tcPr>
            <w:tcW w:w="2522"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D9A47B9" w14:textId="77777777" w:rsidR="00F0274E" w:rsidRPr="00614C6B" w:rsidRDefault="00F0274E" w:rsidP="00F0274E">
            <w:pPr>
              <w:rPr>
                <w:rFonts w:eastAsia="Times New Roman" w:cs="Tahoma"/>
                <w:b/>
                <w:bCs/>
                <w:color w:val="FFFFFF"/>
                <w:sz w:val="14"/>
                <w:szCs w:val="14"/>
                <w:lang w:eastAsia="en-GB"/>
              </w:rPr>
            </w:pPr>
            <w:r w:rsidRPr="00614C6B">
              <w:rPr>
                <w:rFonts w:eastAsia="Times New Roman" w:cs="Tahoma"/>
                <w:b/>
                <w:bCs/>
                <w:color w:val="FFFFFF"/>
                <w:sz w:val="14"/>
                <w:szCs w:val="14"/>
                <w:lang w:eastAsia="en-GB"/>
              </w:rPr>
              <w:t>Data source</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02BE6325" w14:textId="77777777" w:rsidR="00F0274E" w:rsidRPr="00614C6B" w:rsidRDefault="00F0274E" w:rsidP="00F0274E">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5CEE3B3C" w14:textId="77777777" w:rsidR="00F0274E" w:rsidRPr="00614C6B" w:rsidRDefault="00F0274E" w:rsidP="00F0274E">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3A6360DD" w14:textId="77777777" w:rsidR="00F0274E" w:rsidRPr="00614C6B" w:rsidRDefault="00F0274E" w:rsidP="00F0274E">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187D6A1" w14:textId="77777777" w:rsidR="00F0274E" w:rsidRPr="00614C6B" w:rsidRDefault="00F0274E" w:rsidP="00F0274E">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234197E3" w14:textId="77777777" w:rsidR="00F0274E" w:rsidRPr="00614C6B" w:rsidRDefault="00F0274E" w:rsidP="00F0274E">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Data reported by</w:t>
            </w:r>
          </w:p>
        </w:tc>
        <w:tc>
          <w:tcPr>
            <w:tcW w:w="1891"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266C9830" w14:textId="77777777" w:rsidR="00F0274E" w:rsidRPr="00614C6B" w:rsidRDefault="00F0274E" w:rsidP="00F0274E">
            <w:pPr>
              <w:rPr>
                <w:rFonts w:eastAsia="Times New Roman" w:cs="Tahoma"/>
                <w:b/>
                <w:bCs/>
                <w:color w:val="FFFFFF"/>
                <w:sz w:val="14"/>
                <w:szCs w:val="14"/>
                <w:lang w:eastAsia="en-GB"/>
              </w:rPr>
            </w:pPr>
            <w:r w:rsidRPr="00614C6B">
              <w:rPr>
                <w:rFonts w:eastAsia="Times New Roman" w:cs="Tahoma"/>
                <w:b/>
                <w:bCs/>
                <w:color w:val="FFFFFF"/>
                <w:sz w:val="14"/>
                <w:szCs w:val="14"/>
                <w:lang w:eastAsia="en-GB"/>
              </w:rPr>
              <w:t>Case definition used</w:t>
            </w:r>
          </w:p>
        </w:tc>
      </w:tr>
      <w:tr w:rsidR="00F0274E" w:rsidRPr="00614C6B" w14:paraId="048D494C" w14:textId="77777777" w:rsidTr="00984C04">
        <w:trPr>
          <w:trHeight w:val="2802"/>
        </w:trPr>
        <w:tc>
          <w:tcPr>
            <w:tcW w:w="1170" w:type="dxa"/>
            <w:vMerge/>
            <w:tcBorders>
              <w:top w:val="single" w:sz="4" w:space="0" w:color="auto"/>
              <w:left w:val="single" w:sz="4" w:space="0" w:color="auto"/>
              <w:bottom w:val="single" w:sz="4" w:space="0" w:color="auto"/>
              <w:right w:val="single" w:sz="4" w:space="0" w:color="auto"/>
            </w:tcBorders>
            <w:vAlign w:val="center"/>
            <w:hideMark/>
          </w:tcPr>
          <w:p w14:paraId="279FCD72" w14:textId="77777777" w:rsidR="00F0274E" w:rsidRPr="00614C6B" w:rsidRDefault="00F0274E" w:rsidP="00F0274E">
            <w:pPr>
              <w:rPr>
                <w:rFonts w:eastAsia="Times New Roman" w:cs="Tahoma"/>
                <w:b/>
                <w:bCs/>
                <w:color w:val="FFFFFF"/>
                <w:sz w:val="14"/>
                <w:szCs w:val="14"/>
                <w:lang w:eastAsia="en-GB"/>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8995080" w14:textId="77777777" w:rsidR="00F0274E" w:rsidRPr="00614C6B" w:rsidRDefault="00F0274E" w:rsidP="00F0274E">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6CB22047" w14:textId="77777777" w:rsidR="00F0274E" w:rsidRPr="00614C6B" w:rsidRDefault="00F0274E" w:rsidP="00F0274E">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88D4593" w14:textId="77777777" w:rsidR="00F0274E" w:rsidRPr="00614C6B" w:rsidRDefault="00F0274E" w:rsidP="00F0274E">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2EB2BC98" w14:textId="77777777" w:rsidR="00F0274E" w:rsidRPr="00614C6B" w:rsidRDefault="00F0274E" w:rsidP="00F0274E">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19F9E2CC" w14:textId="77777777" w:rsidR="00F0274E" w:rsidRPr="00614C6B" w:rsidRDefault="00F0274E" w:rsidP="00F0274E">
            <w:pPr>
              <w:rPr>
                <w:rFonts w:eastAsia="Times New Roman" w:cs="Tahoma"/>
                <w:b/>
                <w:bCs/>
                <w:color w:val="FFFFFF"/>
                <w:sz w:val="14"/>
                <w:szCs w:val="14"/>
                <w:lang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227E5BD7" w14:textId="77777777" w:rsidR="00F0274E" w:rsidRPr="00614C6B" w:rsidRDefault="00F0274E" w:rsidP="00F0274E">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649615A1" w14:textId="77777777" w:rsidR="00F0274E" w:rsidRPr="00614C6B" w:rsidRDefault="00F0274E" w:rsidP="00F0274E">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6CC8A91D" w14:textId="77777777" w:rsidR="00F0274E" w:rsidRPr="00614C6B" w:rsidRDefault="00F0274E" w:rsidP="00F0274E">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690C9F64" w14:textId="77777777" w:rsidR="00F0274E" w:rsidRPr="00614C6B" w:rsidRDefault="00F0274E" w:rsidP="00F0274E">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Others</w:t>
            </w: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244BA1DC" w14:textId="77777777" w:rsidR="00F0274E" w:rsidRPr="00614C6B" w:rsidRDefault="00F0274E" w:rsidP="00F0274E">
            <w:pPr>
              <w:rPr>
                <w:rFonts w:eastAsia="Times New Roman" w:cs="Tahoma"/>
                <w:b/>
                <w:bCs/>
                <w:color w:val="FFFFFF"/>
                <w:sz w:val="14"/>
                <w:szCs w:val="14"/>
                <w:lang w:eastAsia="en-GB"/>
              </w:rPr>
            </w:pPr>
          </w:p>
        </w:tc>
      </w:tr>
      <w:tr w:rsidR="00F0274E" w:rsidRPr="00614C6B" w14:paraId="6CC2AB0F" w14:textId="77777777" w:rsidTr="00984C04">
        <w:trPr>
          <w:trHeight w:val="235"/>
        </w:trPr>
        <w:tc>
          <w:tcPr>
            <w:tcW w:w="1170" w:type="dxa"/>
            <w:tcBorders>
              <w:top w:val="single" w:sz="4" w:space="0" w:color="000000"/>
              <w:left w:val="single" w:sz="4" w:space="0" w:color="000000"/>
              <w:bottom w:val="nil"/>
              <w:right w:val="single" w:sz="4" w:space="0" w:color="auto"/>
            </w:tcBorders>
            <w:shd w:val="clear" w:color="000000" w:fill="D9D9D9"/>
            <w:noWrap/>
            <w:vAlign w:val="bottom"/>
            <w:hideMark/>
          </w:tcPr>
          <w:p w14:paraId="3B4189F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Austria</w:t>
            </w:r>
          </w:p>
        </w:tc>
        <w:tc>
          <w:tcPr>
            <w:tcW w:w="2522" w:type="dxa"/>
            <w:tcBorders>
              <w:top w:val="single" w:sz="4" w:space="0" w:color="000000"/>
              <w:left w:val="nil"/>
              <w:bottom w:val="nil"/>
              <w:right w:val="single" w:sz="4" w:space="0" w:color="auto"/>
            </w:tcBorders>
            <w:shd w:val="clear" w:color="000000" w:fill="D9D9D9"/>
            <w:noWrap/>
            <w:vAlign w:val="bottom"/>
            <w:hideMark/>
          </w:tcPr>
          <w:p w14:paraId="5C5628F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AT-</w:t>
            </w:r>
            <w:proofErr w:type="spellStart"/>
            <w:r w:rsidRPr="00614C6B">
              <w:rPr>
                <w:rFonts w:eastAsia="Times New Roman" w:cs="Tahoma"/>
                <w:sz w:val="14"/>
                <w:szCs w:val="14"/>
                <w:lang w:eastAsia="en-GB"/>
              </w:rPr>
              <w:t>Epidemiegesetz</w:t>
            </w:r>
            <w:proofErr w:type="spellEnd"/>
          </w:p>
        </w:tc>
        <w:tc>
          <w:tcPr>
            <w:tcW w:w="570" w:type="dxa"/>
            <w:tcBorders>
              <w:top w:val="single" w:sz="4" w:space="0" w:color="000000"/>
              <w:left w:val="nil"/>
              <w:bottom w:val="nil"/>
              <w:right w:val="single" w:sz="4" w:space="0" w:color="auto"/>
            </w:tcBorders>
            <w:shd w:val="clear" w:color="000000" w:fill="D9D9D9"/>
            <w:noWrap/>
            <w:vAlign w:val="bottom"/>
            <w:hideMark/>
          </w:tcPr>
          <w:p w14:paraId="706E3E9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single" w:sz="4" w:space="0" w:color="000000"/>
              <w:left w:val="nil"/>
              <w:bottom w:val="nil"/>
              <w:right w:val="single" w:sz="4" w:space="0" w:color="auto"/>
            </w:tcBorders>
            <w:shd w:val="clear" w:color="000000" w:fill="D9D9D9"/>
            <w:noWrap/>
            <w:vAlign w:val="bottom"/>
            <w:hideMark/>
          </w:tcPr>
          <w:p w14:paraId="5064A6F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single" w:sz="4" w:space="0" w:color="000000"/>
              <w:left w:val="nil"/>
              <w:bottom w:val="nil"/>
              <w:right w:val="single" w:sz="4" w:space="0" w:color="auto"/>
            </w:tcBorders>
            <w:shd w:val="clear" w:color="000000" w:fill="D9D9D9"/>
            <w:noWrap/>
            <w:vAlign w:val="bottom"/>
            <w:hideMark/>
          </w:tcPr>
          <w:p w14:paraId="4065FF8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single" w:sz="4" w:space="0" w:color="000000"/>
              <w:left w:val="nil"/>
              <w:bottom w:val="nil"/>
              <w:right w:val="single" w:sz="4" w:space="0" w:color="auto"/>
            </w:tcBorders>
            <w:shd w:val="clear" w:color="000000" w:fill="D9D9D9"/>
            <w:noWrap/>
            <w:vAlign w:val="bottom"/>
            <w:hideMark/>
          </w:tcPr>
          <w:p w14:paraId="24081DC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single" w:sz="4" w:space="0" w:color="000000"/>
              <w:left w:val="nil"/>
              <w:bottom w:val="nil"/>
              <w:right w:val="single" w:sz="4" w:space="0" w:color="auto"/>
            </w:tcBorders>
            <w:shd w:val="clear" w:color="000000" w:fill="D9D9D9"/>
            <w:noWrap/>
            <w:vAlign w:val="bottom"/>
            <w:hideMark/>
          </w:tcPr>
          <w:p w14:paraId="666A54C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1843EE3A"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0116F1E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684BD62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1891" w:type="dxa"/>
            <w:tcBorders>
              <w:top w:val="single" w:sz="4" w:space="0" w:color="000000"/>
              <w:left w:val="nil"/>
              <w:bottom w:val="nil"/>
              <w:right w:val="single" w:sz="4" w:space="0" w:color="000000"/>
            </w:tcBorders>
            <w:shd w:val="clear" w:color="000000" w:fill="D9D9D9"/>
            <w:noWrap/>
            <w:vAlign w:val="bottom"/>
            <w:hideMark/>
          </w:tcPr>
          <w:p w14:paraId="40648EA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EU-2008</w:t>
            </w:r>
          </w:p>
        </w:tc>
      </w:tr>
      <w:tr w:rsidR="00F0274E" w:rsidRPr="00614C6B" w14:paraId="3E050834"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hideMark/>
          </w:tcPr>
          <w:p w14:paraId="03295657"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Belgium</w:t>
            </w:r>
          </w:p>
        </w:tc>
        <w:tc>
          <w:tcPr>
            <w:tcW w:w="2522" w:type="dxa"/>
            <w:tcBorders>
              <w:top w:val="nil"/>
              <w:left w:val="nil"/>
              <w:bottom w:val="nil"/>
              <w:right w:val="single" w:sz="4" w:space="0" w:color="auto"/>
            </w:tcBorders>
            <w:shd w:val="clear" w:color="auto" w:fill="auto"/>
            <w:noWrap/>
            <w:vAlign w:val="bottom"/>
            <w:hideMark/>
          </w:tcPr>
          <w:p w14:paraId="63E1ECB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BE-REFLAB</w:t>
            </w:r>
          </w:p>
        </w:tc>
        <w:tc>
          <w:tcPr>
            <w:tcW w:w="570" w:type="dxa"/>
            <w:tcBorders>
              <w:top w:val="nil"/>
              <w:left w:val="nil"/>
              <w:bottom w:val="nil"/>
              <w:right w:val="single" w:sz="4" w:space="0" w:color="auto"/>
            </w:tcBorders>
            <w:shd w:val="clear" w:color="auto" w:fill="auto"/>
            <w:noWrap/>
            <w:vAlign w:val="bottom"/>
            <w:hideMark/>
          </w:tcPr>
          <w:p w14:paraId="6D423F2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217CDD5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E44DC6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2C7336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F0CD3A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A20C5E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655CC2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14867AD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hideMark/>
          </w:tcPr>
          <w:p w14:paraId="06246A0C" w14:textId="1E12BB78" w:rsidR="00F0274E" w:rsidRPr="00614C6B" w:rsidRDefault="00BE45C5" w:rsidP="00614C6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F0274E" w:rsidRPr="00614C6B" w14:paraId="671EF3EC"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hideMark/>
          </w:tcPr>
          <w:p w14:paraId="6218956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Bulgaria</w:t>
            </w:r>
          </w:p>
        </w:tc>
        <w:tc>
          <w:tcPr>
            <w:tcW w:w="2522" w:type="dxa"/>
            <w:tcBorders>
              <w:top w:val="nil"/>
              <w:left w:val="nil"/>
              <w:bottom w:val="nil"/>
              <w:right w:val="single" w:sz="4" w:space="0" w:color="auto"/>
            </w:tcBorders>
            <w:shd w:val="clear" w:color="000000" w:fill="D9D9D9"/>
            <w:noWrap/>
            <w:vAlign w:val="bottom"/>
            <w:hideMark/>
          </w:tcPr>
          <w:p w14:paraId="6429249A"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BG-NATIONAL_SURVEILLANCE</w:t>
            </w:r>
          </w:p>
        </w:tc>
        <w:tc>
          <w:tcPr>
            <w:tcW w:w="570" w:type="dxa"/>
            <w:tcBorders>
              <w:top w:val="nil"/>
              <w:left w:val="nil"/>
              <w:bottom w:val="nil"/>
              <w:right w:val="single" w:sz="4" w:space="0" w:color="auto"/>
            </w:tcBorders>
            <w:shd w:val="clear" w:color="000000" w:fill="D9D9D9"/>
            <w:noWrap/>
            <w:vAlign w:val="bottom"/>
            <w:hideMark/>
          </w:tcPr>
          <w:p w14:paraId="196E160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2F4F6AC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14C0072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25DFE34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191EC86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CFBC8D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2542E9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228BBB2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1891" w:type="dxa"/>
            <w:tcBorders>
              <w:top w:val="nil"/>
              <w:left w:val="nil"/>
              <w:bottom w:val="nil"/>
              <w:right w:val="single" w:sz="4" w:space="0" w:color="000000"/>
            </w:tcBorders>
            <w:shd w:val="clear" w:color="000000" w:fill="D9D9D9"/>
            <w:noWrap/>
            <w:vAlign w:val="bottom"/>
            <w:hideMark/>
          </w:tcPr>
          <w:p w14:paraId="6596D96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F0274E" w:rsidRPr="00614C6B" w14:paraId="5A500404"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hideMark/>
          </w:tcPr>
          <w:p w14:paraId="298084B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Croatia</w:t>
            </w:r>
          </w:p>
        </w:tc>
        <w:tc>
          <w:tcPr>
            <w:tcW w:w="2522" w:type="dxa"/>
            <w:tcBorders>
              <w:top w:val="nil"/>
              <w:left w:val="nil"/>
              <w:bottom w:val="nil"/>
              <w:right w:val="single" w:sz="4" w:space="0" w:color="auto"/>
            </w:tcBorders>
            <w:shd w:val="clear" w:color="auto" w:fill="auto"/>
            <w:noWrap/>
            <w:vAlign w:val="bottom"/>
            <w:hideMark/>
          </w:tcPr>
          <w:p w14:paraId="4270547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HR-CNIPH</w:t>
            </w:r>
          </w:p>
        </w:tc>
        <w:tc>
          <w:tcPr>
            <w:tcW w:w="570" w:type="dxa"/>
            <w:tcBorders>
              <w:top w:val="nil"/>
              <w:left w:val="nil"/>
              <w:bottom w:val="nil"/>
              <w:right w:val="single" w:sz="4" w:space="0" w:color="auto"/>
            </w:tcBorders>
            <w:shd w:val="clear" w:color="auto" w:fill="auto"/>
            <w:noWrap/>
            <w:vAlign w:val="bottom"/>
            <w:hideMark/>
          </w:tcPr>
          <w:p w14:paraId="6A65605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4E2D3D19"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88DC5F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1F0856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33B614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80F5029"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E83027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301A92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1891" w:type="dxa"/>
            <w:tcBorders>
              <w:top w:val="nil"/>
              <w:left w:val="nil"/>
              <w:bottom w:val="nil"/>
              <w:right w:val="single" w:sz="4" w:space="0" w:color="000000"/>
            </w:tcBorders>
            <w:shd w:val="clear" w:color="auto" w:fill="auto"/>
            <w:noWrap/>
            <w:vAlign w:val="bottom"/>
            <w:hideMark/>
          </w:tcPr>
          <w:p w14:paraId="01C4146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EU-2012</w:t>
            </w:r>
          </w:p>
        </w:tc>
      </w:tr>
      <w:tr w:rsidR="00F0274E" w:rsidRPr="00614C6B" w14:paraId="5801AEC1"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hideMark/>
          </w:tcPr>
          <w:p w14:paraId="4AB701A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Cyprus</w:t>
            </w:r>
          </w:p>
        </w:tc>
        <w:tc>
          <w:tcPr>
            <w:tcW w:w="2522" w:type="dxa"/>
            <w:tcBorders>
              <w:top w:val="nil"/>
              <w:left w:val="nil"/>
              <w:bottom w:val="nil"/>
              <w:right w:val="single" w:sz="4" w:space="0" w:color="auto"/>
            </w:tcBorders>
            <w:shd w:val="clear" w:color="000000" w:fill="D9D9D9"/>
            <w:noWrap/>
            <w:vAlign w:val="bottom"/>
            <w:hideMark/>
          </w:tcPr>
          <w:p w14:paraId="69C7E36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CY-NOTIFIED_DISEASES</w:t>
            </w:r>
          </w:p>
        </w:tc>
        <w:tc>
          <w:tcPr>
            <w:tcW w:w="570" w:type="dxa"/>
            <w:tcBorders>
              <w:top w:val="nil"/>
              <w:left w:val="nil"/>
              <w:bottom w:val="nil"/>
              <w:right w:val="single" w:sz="4" w:space="0" w:color="auto"/>
            </w:tcBorders>
            <w:shd w:val="clear" w:color="000000" w:fill="D9D9D9"/>
            <w:noWrap/>
            <w:vAlign w:val="bottom"/>
            <w:hideMark/>
          </w:tcPr>
          <w:p w14:paraId="346B979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1EA29BE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5F42A01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1A036ECA"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10BE013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64417FE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3FD4DAD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63DB879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hideMark/>
          </w:tcPr>
          <w:p w14:paraId="77ECF1B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EU-2008</w:t>
            </w:r>
          </w:p>
        </w:tc>
      </w:tr>
      <w:tr w:rsidR="00F0274E" w:rsidRPr="00614C6B" w14:paraId="5C1F3DBA"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hideMark/>
          </w:tcPr>
          <w:p w14:paraId="539A01A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Czechia</w:t>
            </w:r>
          </w:p>
        </w:tc>
        <w:tc>
          <w:tcPr>
            <w:tcW w:w="2522" w:type="dxa"/>
            <w:tcBorders>
              <w:top w:val="nil"/>
              <w:left w:val="nil"/>
              <w:bottom w:val="nil"/>
              <w:right w:val="single" w:sz="4" w:space="0" w:color="auto"/>
            </w:tcBorders>
            <w:shd w:val="clear" w:color="auto" w:fill="auto"/>
            <w:noWrap/>
            <w:vAlign w:val="bottom"/>
            <w:hideMark/>
          </w:tcPr>
          <w:p w14:paraId="563E077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CZ-ISIN</w:t>
            </w:r>
          </w:p>
        </w:tc>
        <w:tc>
          <w:tcPr>
            <w:tcW w:w="570" w:type="dxa"/>
            <w:tcBorders>
              <w:top w:val="nil"/>
              <w:left w:val="nil"/>
              <w:bottom w:val="nil"/>
              <w:right w:val="single" w:sz="4" w:space="0" w:color="auto"/>
            </w:tcBorders>
            <w:shd w:val="clear" w:color="auto" w:fill="auto"/>
            <w:noWrap/>
            <w:vAlign w:val="bottom"/>
            <w:hideMark/>
          </w:tcPr>
          <w:p w14:paraId="24B1F32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59C996C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25AA1CF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0A2542CA"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27FEED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0F97A9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4DE0518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1A3EEF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hideMark/>
          </w:tcPr>
          <w:p w14:paraId="7912AA6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EU-2008</w:t>
            </w:r>
          </w:p>
        </w:tc>
      </w:tr>
      <w:tr w:rsidR="00F0274E" w:rsidRPr="00614C6B" w14:paraId="5AA39E28"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hideMark/>
          </w:tcPr>
          <w:p w14:paraId="358FF76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Denmark</w:t>
            </w:r>
          </w:p>
        </w:tc>
        <w:tc>
          <w:tcPr>
            <w:tcW w:w="2522" w:type="dxa"/>
            <w:tcBorders>
              <w:top w:val="nil"/>
              <w:left w:val="nil"/>
              <w:bottom w:val="nil"/>
              <w:right w:val="single" w:sz="4" w:space="0" w:color="auto"/>
            </w:tcBorders>
            <w:shd w:val="clear" w:color="000000" w:fill="D9D9D9"/>
            <w:noWrap/>
            <w:vAlign w:val="bottom"/>
            <w:hideMark/>
          </w:tcPr>
          <w:p w14:paraId="6F12839A"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DK-LAB</w:t>
            </w:r>
          </w:p>
        </w:tc>
        <w:tc>
          <w:tcPr>
            <w:tcW w:w="570" w:type="dxa"/>
            <w:tcBorders>
              <w:top w:val="nil"/>
              <w:left w:val="nil"/>
              <w:bottom w:val="nil"/>
              <w:right w:val="single" w:sz="4" w:space="0" w:color="auto"/>
            </w:tcBorders>
            <w:shd w:val="clear" w:color="000000" w:fill="D9D9D9"/>
            <w:noWrap/>
            <w:vAlign w:val="bottom"/>
            <w:hideMark/>
          </w:tcPr>
          <w:p w14:paraId="344FA7B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6EE1687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5872D49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485343E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3D60EFF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AE220D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60135AC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618D9F37"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hideMark/>
          </w:tcPr>
          <w:p w14:paraId="1121D98D" w14:textId="694F2E7B" w:rsidR="00F0274E" w:rsidRPr="00614C6B" w:rsidRDefault="000B7484" w:rsidP="00614C6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F0274E" w:rsidRPr="00614C6B" w14:paraId="3AEC8941"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hideMark/>
          </w:tcPr>
          <w:p w14:paraId="51F75D9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Estonia</w:t>
            </w:r>
          </w:p>
        </w:tc>
        <w:tc>
          <w:tcPr>
            <w:tcW w:w="2522" w:type="dxa"/>
            <w:tcBorders>
              <w:top w:val="nil"/>
              <w:left w:val="nil"/>
              <w:bottom w:val="nil"/>
              <w:right w:val="single" w:sz="4" w:space="0" w:color="auto"/>
            </w:tcBorders>
            <w:shd w:val="clear" w:color="auto" w:fill="auto"/>
            <w:noWrap/>
            <w:vAlign w:val="bottom"/>
            <w:hideMark/>
          </w:tcPr>
          <w:p w14:paraId="19CF3E4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EE-NAKIS</w:t>
            </w:r>
          </w:p>
        </w:tc>
        <w:tc>
          <w:tcPr>
            <w:tcW w:w="570" w:type="dxa"/>
            <w:tcBorders>
              <w:top w:val="nil"/>
              <w:left w:val="nil"/>
              <w:bottom w:val="nil"/>
              <w:right w:val="single" w:sz="4" w:space="0" w:color="auto"/>
            </w:tcBorders>
            <w:shd w:val="clear" w:color="auto" w:fill="auto"/>
            <w:noWrap/>
            <w:vAlign w:val="bottom"/>
            <w:hideMark/>
          </w:tcPr>
          <w:p w14:paraId="3E9424D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5457500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4A5442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33372F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27CD4FE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A80492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68277D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63D435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hideMark/>
          </w:tcPr>
          <w:p w14:paraId="774C086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F0274E" w:rsidRPr="00614C6B" w14:paraId="73B943F7"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hideMark/>
          </w:tcPr>
          <w:p w14:paraId="1F5A511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Finland</w:t>
            </w:r>
          </w:p>
        </w:tc>
        <w:tc>
          <w:tcPr>
            <w:tcW w:w="2522" w:type="dxa"/>
            <w:tcBorders>
              <w:top w:val="nil"/>
              <w:left w:val="nil"/>
              <w:bottom w:val="nil"/>
              <w:right w:val="single" w:sz="4" w:space="0" w:color="auto"/>
            </w:tcBorders>
            <w:shd w:val="clear" w:color="000000" w:fill="D9D9D9"/>
            <w:noWrap/>
            <w:vAlign w:val="bottom"/>
            <w:hideMark/>
          </w:tcPr>
          <w:p w14:paraId="66E4B37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FI-NIDR</w:t>
            </w:r>
          </w:p>
        </w:tc>
        <w:tc>
          <w:tcPr>
            <w:tcW w:w="570" w:type="dxa"/>
            <w:tcBorders>
              <w:top w:val="nil"/>
              <w:left w:val="nil"/>
              <w:bottom w:val="nil"/>
              <w:right w:val="single" w:sz="4" w:space="0" w:color="auto"/>
            </w:tcBorders>
            <w:shd w:val="clear" w:color="000000" w:fill="D9D9D9"/>
            <w:noWrap/>
            <w:vAlign w:val="bottom"/>
            <w:hideMark/>
          </w:tcPr>
          <w:p w14:paraId="6EC5E89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39780B0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4D4C955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0E09029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0AB6381A"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B92E29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D0C581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7D9CF10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hideMark/>
          </w:tcPr>
          <w:p w14:paraId="08D8797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EU-2012</w:t>
            </w:r>
          </w:p>
        </w:tc>
      </w:tr>
      <w:tr w:rsidR="00F0274E" w:rsidRPr="00614C6B" w14:paraId="4A2915F7"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hideMark/>
          </w:tcPr>
          <w:p w14:paraId="2571443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France</w:t>
            </w:r>
          </w:p>
        </w:tc>
        <w:tc>
          <w:tcPr>
            <w:tcW w:w="2522" w:type="dxa"/>
            <w:tcBorders>
              <w:top w:val="nil"/>
              <w:left w:val="nil"/>
              <w:bottom w:val="nil"/>
              <w:right w:val="single" w:sz="4" w:space="0" w:color="auto"/>
            </w:tcBorders>
            <w:shd w:val="clear" w:color="auto" w:fill="auto"/>
            <w:noWrap/>
            <w:vAlign w:val="bottom"/>
            <w:hideMark/>
          </w:tcPr>
          <w:p w14:paraId="05535BB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FR-NATIONAL_REFERENCE_CENTRES</w:t>
            </w:r>
          </w:p>
        </w:tc>
        <w:tc>
          <w:tcPr>
            <w:tcW w:w="570" w:type="dxa"/>
            <w:tcBorders>
              <w:top w:val="nil"/>
              <w:left w:val="nil"/>
              <w:bottom w:val="nil"/>
              <w:right w:val="single" w:sz="4" w:space="0" w:color="auto"/>
            </w:tcBorders>
            <w:shd w:val="clear" w:color="auto" w:fill="auto"/>
            <w:noWrap/>
            <w:vAlign w:val="bottom"/>
            <w:hideMark/>
          </w:tcPr>
          <w:p w14:paraId="69F110A7"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6018CCD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276CC0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127D779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262AAC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E3EB84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5731A01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25D67F3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hideMark/>
          </w:tcPr>
          <w:p w14:paraId="30DA84E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Other</w:t>
            </w:r>
          </w:p>
        </w:tc>
      </w:tr>
      <w:tr w:rsidR="00F0274E" w:rsidRPr="00614C6B" w14:paraId="41724C10"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hideMark/>
          </w:tcPr>
          <w:p w14:paraId="253C773A"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France</w:t>
            </w:r>
          </w:p>
        </w:tc>
        <w:tc>
          <w:tcPr>
            <w:tcW w:w="2522" w:type="dxa"/>
            <w:tcBorders>
              <w:top w:val="nil"/>
              <w:left w:val="nil"/>
              <w:bottom w:val="nil"/>
              <w:right w:val="single" w:sz="4" w:space="0" w:color="auto"/>
            </w:tcBorders>
            <w:shd w:val="clear" w:color="000000" w:fill="D9D9D9"/>
            <w:noWrap/>
            <w:vAlign w:val="bottom"/>
            <w:hideMark/>
          </w:tcPr>
          <w:p w14:paraId="1BB6C56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FR-RENASHU</w:t>
            </w:r>
          </w:p>
        </w:tc>
        <w:tc>
          <w:tcPr>
            <w:tcW w:w="570" w:type="dxa"/>
            <w:tcBorders>
              <w:top w:val="nil"/>
              <w:left w:val="nil"/>
              <w:bottom w:val="nil"/>
              <w:right w:val="single" w:sz="4" w:space="0" w:color="auto"/>
            </w:tcBorders>
            <w:shd w:val="clear" w:color="000000" w:fill="D9D9D9"/>
            <w:noWrap/>
            <w:vAlign w:val="bottom"/>
            <w:hideMark/>
          </w:tcPr>
          <w:p w14:paraId="4DBF2E39"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V</w:t>
            </w:r>
          </w:p>
        </w:tc>
        <w:tc>
          <w:tcPr>
            <w:tcW w:w="570" w:type="dxa"/>
            <w:tcBorders>
              <w:top w:val="nil"/>
              <w:left w:val="nil"/>
              <w:bottom w:val="nil"/>
              <w:right w:val="single" w:sz="4" w:space="0" w:color="auto"/>
            </w:tcBorders>
            <w:shd w:val="clear" w:color="000000" w:fill="D9D9D9"/>
            <w:noWrap/>
            <w:vAlign w:val="bottom"/>
            <w:hideMark/>
          </w:tcPr>
          <w:p w14:paraId="3A5D109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1F51EFB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2566BD57"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717A755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1F56AE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3F13963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6D764B1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hideMark/>
          </w:tcPr>
          <w:p w14:paraId="6E2CA2E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Other</w:t>
            </w:r>
          </w:p>
        </w:tc>
      </w:tr>
      <w:tr w:rsidR="00F0274E" w:rsidRPr="00614C6B" w14:paraId="4B30BCC4"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hideMark/>
          </w:tcPr>
          <w:p w14:paraId="58DCDB0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Germany</w:t>
            </w:r>
          </w:p>
        </w:tc>
        <w:tc>
          <w:tcPr>
            <w:tcW w:w="2522" w:type="dxa"/>
            <w:tcBorders>
              <w:top w:val="nil"/>
              <w:left w:val="nil"/>
              <w:bottom w:val="nil"/>
              <w:right w:val="single" w:sz="4" w:space="0" w:color="auto"/>
            </w:tcBorders>
            <w:shd w:val="clear" w:color="auto" w:fill="auto"/>
            <w:noWrap/>
            <w:vAlign w:val="bottom"/>
            <w:hideMark/>
          </w:tcPr>
          <w:p w14:paraId="2BCC686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DE-NRZ-VTEC</w:t>
            </w:r>
          </w:p>
        </w:tc>
        <w:tc>
          <w:tcPr>
            <w:tcW w:w="570" w:type="dxa"/>
            <w:tcBorders>
              <w:top w:val="nil"/>
              <w:left w:val="nil"/>
              <w:bottom w:val="nil"/>
              <w:right w:val="single" w:sz="4" w:space="0" w:color="auto"/>
            </w:tcBorders>
            <w:shd w:val="clear" w:color="auto" w:fill="auto"/>
            <w:noWrap/>
            <w:vAlign w:val="bottom"/>
            <w:hideMark/>
          </w:tcPr>
          <w:p w14:paraId="5BCCFED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625A7C3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45D181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271DB5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24F92A5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5D953B9"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D6DA21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1EF596A"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hideMark/>
          </w:tcPr>
          <w:p w14:paraId="06461F7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Not specified/unknown</w:t>
            </w:r>
          </w:p>
        </w:tc>
      </w:tr>
      <w:tr w:rsidR="00F0274E" w:rsidRPr="00614C6B" w14:paraId="4E87A573"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hideMark/>
          </w:tcPr>
          <w:p w14:paraId="27C6841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Germany</w:t>
            </w:r>
          </w:p>
        </w:tc>
        <w:tc>
          <w:tcPr>
            <w:tcW w:w="2522" w:type="dxa"/>
            <w:tcBorders>
              <w:top w:val="nil"/>
              <w:left w:val="nil"/>
              <w:bottom w:val="nil"/>
              <w:right w:val="single" w:sz="4" w:space="0" w:color="auto"/>
            </w:tcBorders>
            <w:shd w:val="clear" w:color="000000" w:fill="D9D9D9"/>
            <w:noWrap/>
            <w:vAlign w:val="bottom"/>
            <w:hideMark/>
          </w:tcPr>
          <w:p w14:paraId="05C56A5A"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DE-SURVNET@RKI-7.1</w:t>
            </w:r>
          </w:p>
        </w:tc>
        <w:tc>
          <w:tcPr>
            <w:tcW w:w="570" w:type="dxa"/>
            <w:tcBorders>
              <w:top w:val="nil"/>
              <w:left w:val="nil"/>
              <w:bottom w:val="nil"/>
              <w:right w:val="single" w:sz="4" w:space="0" w:color="auto"/>
            </w:tcBorders>
            <w:shd w:val="clear" w:color="000000" w:fill="D9D9D9"/>
            <w:noWrap/>
            <w:vAlign w:val="bottom"/>
            <w:hideMark/>
          </w:tcPr>
          <w:p w14:paraId="018DC0F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362F5A2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51A369E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0521D9D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7EB0008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4110FD9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43DCFBF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0FBC285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hideMark/>
          </w:tcPr>
          <w:p w14:paraId="4063C4F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Other</w:t>
            </w:r>
          </w:p>
        </w:tc>
      </w:tr>
      <w:tr w:rsidR="00F0274E" w:rsidRPr="00614C6B" w14:paraId="2D498A28"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hideMark/>
          </w:tcPr>
          <w:p w14:paraId="44E2FA54"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Greece</w:t>
            </w:r>
          </w:p>
        </w:tc>
        <w:tc>
          <w:tcPr>
            <w:tcW w:w="2522" w:type="dxa"/>
            <w:tcBorders>
              <w:top w:val="nil"/>
              <w:left w:val="nil"/>
              <w:bottom w:val="nil"/>
              <w:right w:val="single" w:sz="4" w:space="0" w:color="auto"/>
            </w:tcBorders>
            <w:shd w:val="clear" w:color="auto" w:fill="auto"/>
            <w:noWrap/>
            <w:vAlign w:val="bottom"/>
            <w:hideMark/>
          </w:tcPr>
          <w:p w14:paraId="52AA4247"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EL-NOTIFIABLE_DISEASES</w:t>
            </w:r>
          </w:p>
        </w:tc>
        <w:tc>
          <w:tcPr>
            <w:tcW w:w="570" w:type="dxa"/>
            <w:tcBorders>
              <w:top w:val="nil"/>
              <w:left w:val="nil"/>
              <w:bottom w:val="nil"/>
              <w:right w:val="single" w:sz="4" w:space="0" w:color="auto"/>
            </w:tcBorders>
            <w:shd w:val="clear" w:color="auto" w:fill="auto"/>
            <w:noWrap/>
            <w:vAlign w:val="bottom"/>
            <w:hideMark/>
          </w:tcPr>
          <w:p w14:paraId="68BD8ED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4B1E6B6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690C4F2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184640A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A29F45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68FB2F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1D206F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16161D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w:t>
            </w:r>
          </w:p>
        </w:tc>
        <w:tc>
          <w:tcPr>
            <w:tcW w:w="1891" w:type="dxa"/>
            <w:tcBorders>
              <w:top w:val="nil"/>
              <w:left w:val="nil"/>
              <w:bottom w:val="nil"/>
              <w:right w:val="single" w:sz="4" w:space="0" w:color="000000"/>
            </w:tcBorders>
            <w:shd w:val="clear" w:color="auto" w:fill="auto"/>
            <w:noWrap/>
            <w:vAlign w:val="bottom"/>
            <w:hideMark/>
          </w:tcPr>
          <w:p w14:paraId="5FF3F6A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F0274E" w:rsidRPr="00614C6B" w14:paraId="355A1C94"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hideMark/>
          </w:tcPr>
          <w:p w14:paraId="7945EA2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Hungary</w:t>
            </w:r>
          </w:p>
        </w:tc>
        <w:tc>
          <w:tcPr>
            <w:tcW w:w="2522" w:type="dxa"/>
            <w:tcBorders>
              <w:top w:val="nil"/>
              <w:left w:val="nil"/>
              <w:bottom w:val="nil"/>
              <w:right w:val="single" w:sz="4" w:space="0" w:color="auto"/>
            </w:tcBorders>
            <w:shd w:val="clear" w:color="000000" w:fill="D9D9D9"/>
            <w:noWrap/>
            <w:vAlign w:val="bottom"/>
            <w:hideMark/>
          </w:tcPr>
          <w:p w14:paraId="0A35FC1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HU-Zoonoses</w:t>
            </w:r>
          </w:p>
        </w:tc>
        <w:tc>
          <w:tcPr>
            <w:tcW w:w="570" w:type="dxa"/>
            <w:tcBorders>
              <w:top w:val="nil"/>
              <w:left w:val="nil"/>
              <w:bottom w:val="nil"/>
              <w:right w:val="single" w:sz="4" w:space="0" w:color="auto"/>
            </w:tcBorders>
            <w:shd w:val="clear" w:color="000000" w:fill="D9D9D9"/>
            <w:noWrap/>
            <w:vAlign w:val="bottom"/>
            <w:hideMark/>
          </w:tcPr>
          <w:p w14:paraId="5415EC3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68146B6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72690B55"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42E4AF9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5A3038E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703A6A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321BFE2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6F1D03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hideMark/>
          </w:tcPr>
          <w:p w14:paraId="35CDDB12"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EU-2012</w:t>
            </w:r>
          </w:p>
        </w:tc>
      </w:tr>
      <w:tr w:rsidR="00F0274E" w:rsidRPr="00614C6B" w14:paraId="3A504B25"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hideMark/>
          </w:tcPr>
          <w:p w14:paraId="5D0727D7"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Iceland</w:t>
            </w:r>
          </w:p>
        </w:tc>
        <w:tc>
          <w:tcPr>
            <w:tcW w:w="2522" w:type="dxa"/>
            <w:tcBorders>
              <w:top w:val="nil"/>
              <w:left w:val="nil"/>
              <w:bottom w:val="nil"/>
              <w:right w:val="single" w:sz="4" w:space="0" w:color="auto"/>
            </w:tcBorders>
            <w:shd w:val="clear" w:color="auto" w:fill="auto"/>
            <w:noWrap/>
            <w:vAlign w:val="bottom"/>
            <w:hideMark/>
          </w:tcPr>
          <w:p w14:paraId="7690474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IS-SUBJECT_TO_REGISTRATION</w:t>
            </w:r>
          </w:p>
        </w:tc>
        <w:tc>
          <w:tcPr>
            <w:tcW w:w="570" w:type="dxa"/>
            <w:tcBorders>
              <w:top w:val="nil"/>
              <w:left w:val="nil"/>
              <w:bottom w:val="nil"/>
              <w:right w:val="single" w:sz="4" w:space="0" w:color="auto"/>
            </w:tcBorders>
            <w:shd w:val="clear" w:color="auto" w:fill="auto"/>
            <w:noWrap/>
            <w:vAlign w:val="bottom"/>
            <w:hideMark/>
          </w:tcPr>
          <w:p w14:paraId="180B8FB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E9625C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134B84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E8F8730"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3422A2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C57313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80712B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w:t>
            </w:r>
          </w:p>
        </w:tc>
        <w:tc>
          <w:tcPr>
            <w:tcW w:w="570" w:type="dxa"/>
            <w:tcBorders>
              <w:top w:val="nil"/>
              <w:left w:val="nil"/>
              <w:bottom w:val="nil"/>
              <w:right w:val="single" w:sz="4" w:space="0" w:color="auto"/>
            </w:tcBorders>
            <w:shd w:val="clear" w:color="auto" w:fill="auto"/>
            <w:noWrap/>
            <w:vAlign w:val="bottom"/>
            <w:hideMark/>
          </w:tcPr>
          <w:p w14:paraId="52660897"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w:t>
            </w:r>
          </w:p>
        </w:tc>
        <w:tc>
          <w:tcPr>
            <w:tcW w:w="1891" w:type="dxa"/>
            <w:tcBorders>
              <w:top w:val="nil"/>
              <w:left w:val="nil"/>
              <w:bottom w:val="nil"/>
              <w:right w:val="single" w:sz="4" w:space="0" w:color="000000"/>
            </w:tcBorders>
            <w:shd w:val="clear" w:color="auto" w:fill="auto"/>
            <w:noWrap/>
            <w:vAlign w:val="bottom"/>
            <w:hideMark/>
          </w:tcPr>
          <w:p w14:paraId="2F646A57" w14:textId="5084871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EU-201</w:t>
            </w:r>
            <w:r w:rsidR="003A12EB" w:rsidRPr="00614C6B">
              <w:rPr>
                <w:rFonts w:eastAsia="Times New Roman" w:cs="Tahoma"/>
                <w:sz w:val="14"/>
                <w:szCs w:val="14"/>
                <w:lang w:eastAsia="en-GB"/>
              </w:rPr>
              <w:t>8</w:t>
            </w:r>
          </w:p>
        </w:tc>
      </w:tr>
      <w:tr w:rsidR="00F0274E" w:rsidRPr="00614C6B" w14:paraId="523552A3"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hideMark/>
          </w:tcPr>
          <w:p w14:paraId="355FA57B"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Ireland</w:t>
            </w:r>
          </w:p>
        </w:tc>
        <w:tc>
          <w:tcPr>
            <w:tcW w:w="2522" w:type="dxa"/>
            <w:tcBorders>
              <w:top w:val="nil"/>
              <w:left w:val="nil"/>
              <w:bottom w:val="nil"/>
              <w:right w:val="single" w:sz="4" w:space="0" w:color="auto"/>
            </w:tcBorders>
            <w:shd w:val="clear" w:color="000000" w:fill="D9D9D9"/>
            <w:noWrap/>
            <w:vAlign w:val="bottom"/>
            <w:hideMark/>
          </w:tcPr>
          <w:p w14:paraId="315C2DC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IE-VTEC</w:t>
            </w:r>
          </w:p>
        </w:tc>
        <w:tc>
          <w:tcPr>
            <w:tcW w:w="570" w:type="dxa"/>
            <w:tcBorders>
              <w:top w:val="nil"/>
              <w:left w:val="nil"/>
              <w:bottom w:val="nil"/>
              <w:right w:val="single" w:sz="4" w:space="0" w:color="auto"/>
            </w:tcBorders>
            <w:shd w:val="clear" w:color="000000" w:fill="D9D9D9"/>
            <w:noWrap/>
            <w:vAlign w:val="bottom"/>
            <w:hideMark/>
          </w:tcPr>
          <w:p w14:paraId="38544FA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1580B44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058FDB63"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7AE01A29"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025895C1"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1B75AE29"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CA71259"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077945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hideMark/>
          </w:tcPr>
          <w:p w14:paraId="06825CF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EU-2012</w:t>
            </w:r>
          </w:p>
        </w:tc>
      </w:tr>
      <w:tr w:rsidR="00F0274E" w:rsidRPr="00614C6B" w14:paraId="36AE3B98"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hideMark/>
          </w:tcPr>
          <w:p w14:paraId="62B0138F"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Italy</w:t>
            </w:r>
          </w:p>
        </w:tc>
        <w:tc>
          <w:tcPr>
            <w:tcW w:w="2522" w:type="dxa"/>
            <w:tcBorders>
              <w:top w:val="nil"/>
              <w:left w:val="nil"/>
              <w:bottom w:val="nil"/>
              <w:right w:val="single" w:sz="4" w:space="0" w:color="auto"/>
            </w:tcBorders>
            <w:shd w:val="clear" w:color="auto" w:fill="auto"/>
            <w:noWrap/>
            <w:vAlign w:val="bottom"/>
            <w:hideMark/>
          </w:tcPr>
          <w:p w14:paraId="17EB357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 xml:space="preserve">IT-NRL </w:t>
            </w:r>
            <w:proofErr w:type="gramStart"/>
            <w:r w:rsidRPr="00614C6B">
              <w:rPr>
                <w:rFonts w:eastAsia="Times New Roman" w:cs="Tahoma"/>
                <w:sz w:val="14"/>
                <w:szCs w:val="14"/>
                <w:lang w:eastAsia="en-GB"/>
              </w:rPr>
              <w:t>E.coli</w:t>
            </w:r>
            <w:proofErr w:type="gramEnd"/>
          </w:p>
        </w:tc>
        <w:tc>
          <w:tcPr>
            <w:tcW w:w="570" w:type="dxa"/>
            <w:tcBorders>
              <w:top w:val="nil"/>
              <w:left w:val="nil"/>
              <w:bottom w:val="nil"/>
              <w:right w:val="single" w:sz="4" w:space="0" w:color="auto"/>
            </w:tcBorders>
            <w:shd w:val="clear" w:color="auto" w:fill="auto"/>
            <w:noWrap/>
            <w:vAlign w:val="bottom"/>
            <w:hideMark/>
          </w:tcPr>
          <w:p w14:paraId="356EA18C"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O</w:t>
            </w:r>
          </w:p>
        </w:tc>
        <w:tc>
          <w:tcPr>
            <w:tcW w:w="570" w:type="dxa"/>
            <w:tcBorders>
              <w:top w:val="nil"/>
              <w:left w:val="nil"/>
              <w:bottom w:val="nil"/>
              <w:right w:val="single" w:sz="4" w:space="0" w:color="auto"/>
            </w:tcBorders>
            <w:shd w:val="clear" w:color="auto" w:fill="auto"/>
            <w:noWrap/>
            <w:vAlign w:val="bottom"/>
            <w:hideMark/>
          </w:tcPr>
          <w:p w14:paraId="70383BB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Se</w:t>
            </w:r>
          </w:p>
        </w:tc>
        <w:tc>
          <w:tcPr>
            <w:tcW w:w="570" w:type="dxa"/>
            <w:tcBorders>
              <w:top w:val="nil"/>
              <w:left w:val="nil"/>
              <w:bottom w:val="nil"/>
              <w:right w:val="single" w:sz="4" w:space="0" w:color="auto"/>
            </w:tcBorders>
            <w:shd w:val="clear" w:color="auto" w:fill="auto"/>
            <w:noWrap/>
            <w:vAlign w:val="bottom"/>
            <w:hideMark/>
          </w:tcPr>
          <w:p w14:paraId="3858D798"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353A787"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B4EC08E"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73DF19D"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E6AC869"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21973CB6" w14:textId="77777777" w:rsidR="00F0274E" w:rsidRPr="00614C6B" w:rsidRDefault="00F0274E"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hideMark/>
          </w:tcPr>
          <w:p w14:paraId="4200E06B" w14:textId="202CD124" w:rsidR="00F0274E" w:rsidRPr="00614C6B" w:rsidRDefault="000C5EF7" w:rsidP="00614C6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984C04" w14:paraId="09A505DE" w14:textId="77777777" w:rsidTr="00A17AAB">
        <w:trPr>
          <w:trHeight w:val="235"/>
        </w:trPr>
        <w:tc>
          <w:tcPr>
            <w:tcW w:w="1170" w:type="dxa"/>
            <w:tcBorders>
              <w:top w:val="nil"/>
              <w:left w:val="single" w:sz="4" w:space="0" w:color="000000"/>
              <w:bottom w:val="nil"/>
              <w:right w:val="single" w:sz="4" w:space="0" w:color="auto"/>
            </w:tcBorders>
            <w:shd w:val="clear" w:color="auto" w:fill="D9D9D9" w:themeFill="background1" w:themeFillShade="D9"/>
            <w:noWrap/>
            <w:vAlign w:val="bottom"/>
          </w:tcPr>
          <w:p w14:paraId="41E5808B" w14:textId="015429CB" w:rsidR="00984C04" w:rsidRPr="00984C04" w:rsidRDefault="00984C04" w:rsidP="00984C04">
            <w:pPr>
              <w:spacing w:before="120" w:after="0"/>
              <w:rPr>
                <w:rFonts w:eastAsia="Times New Roman" w:cs="Tahoma"/>
                <w:sz w:val="14"/>
                <w:szCs w:val="14"/>
                <w:lang w:eastAsia="en-GB"/>
              </w:rPr>
            </w:pPr>
            <w:r>
              <w:rPr>
                <w:rFonts w:eastAsia="Times New Roman" w:cs="Tahoma"/>
                <w:sz w:val="14"/>
                <w:szCs w:val="14"/>
                <w:lang w:eastAsia="en-GB"/>
              </w:rPr>
              <w:t>Latvia</w:t>
            </w:r>
          </w:p>
        </w:tc>
        <w:tc>
          <w:tcPr>
            <w:tcW w:w="2522" w:type="dxa"/>
            <w:tcBorders>
              <w:top w:val="nil"/>
              <w:left w:val="nil"/>
              <w:bottom w:val="nil"/>
              <w:right w:val="single" w:sz="4" w:space="0" w:color="auto"/>
            </w:tcBorders>
            <w:shd w:val="clear" w:color="auto" w:fill="D9D9D9" w:themeFill="background1" w:themeFillShade="D9"/>
            <w:noWrap/>
          </w:tcPr>
          <w:p w14:paraId="1C812B57" w14:textId="169DA943"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LV-BSN</w:t>
            </w:r>
          </w:p>
        </w:tc>
        <w:tc>
          <w:tcPr>
            <w:tcW w:w="570" w:type="dxa"/>
            <w:tcBorders>
              <w:top w:val="nil"/>
              <w:left w:val="nil"/>
              <w:bottom w:val="nil"/>
              <w:right w:val="single" w:sz="4" w:space="0" w:color="auto"/>
            </w:tcBorders>
            <w:shd w:val="clear" w:color="auto" w:fill="D9D9D9" w:themeFill="background1" w:themeFillShade="D9"/>
            <w:noWrap/>
          </w:tcPr>
          <w:p w14:paraId="22687017" w14:textId="39731DDF"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Cp</w:t>
            </w:r>
          </w:p>
        </w:tc>
        <w:tc>
          <w:tcPr>
            <w:tcW w:w="570" w:type="dxa"/>
            <w:tcBorders>
              <w:top w:val="nil"/>
              <w:left w:val="nil"/>
              <w:bottom w:val="nil"/>
              <w:right w:val="single" w:sz="4" w:space="0" w:color="auto"/>
            </w:tcBorders>
            <w:shd w:val="clear" w:color="auto" w:fill="D9D9D9" w:themeFill="background1" w:themeFillShade="D9"/>
            <w:noWrap/>
          </w:tcPr>
          <w:p w14:paraId="1BA0E0C6" w14:textId="104DC623"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Co</w:t>
            </w:r>
          </w:p>
        </w:tc>
        <w:tc>
          <w:tcPr>
            <w:tcW w:w="570" w:type="dxa"/>
            <w:tcBorders>
              <w:top w:val="nil"/>
              <w:left w:val="nil"/>
              <w:bottom w:val="nil"/>
              <w:right w:val="single" w:sz="4" w:space="0" w:color="auto"/>
            </w:tcBorders>
            <w:shd w:val="clear" w:color="auto" w:fill="D9D9D9" w:themeFill="background1" w:themeFillShade="D9"/>
            <w:noWrap/>
          </w:tcPr>
          <w:p w14:paraId="05DBCB2C" w14:textId="12B6E331"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P</w:t>
            </w:r>
          </w:p>
        </w:tc>
        <w:tc>
          <w:tcPr>
            <w:tcW w:w="570" w:type="dxa"/>
            <w:tcBorders>
              <w:top w:val="nil"/>
              <w:left w:val="nil"/>
              <w:bottom w:val="nil"/>
              <w:right w:val="single" w:sz="4" w:space="0" w:color="auto"/>
            </w:tcBorders>
            <w:shd w:val="clear" w:color="auto" w:fill="D9D9D9" w:themeFill="background1" w:themeFillShade="D9"/>
            <w:noWrap/>
          </w:tcPr>
          <w:p w14:paraId="5C0E1626" w14:textId="0D36844E"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C</w:t>
            </w:r>
          </w:p>
        </w:tc>
        <w:tc>
          <w:tcPr>
            <w:tcW w:w="570" w:type="dxa"/>
            <w:tcBorders>
              <w:top w:val="nil"/>
              <w:left w:val="nil"/>
              <w:bottom w:val="nil"/>
              <w:right w:val="single" w:sz="4" w:space="0" w:color="auto"/>
            </w:tcBorders>
            <w:shd w:val="clear" w:color="auto" w:fill="D9D9D9" w:themeFill="background1" w:themeFillShade="D9"/>
            <w:noWrap/>
          </w:tcPr>
          <w:p w14:paraId="23748E5E" w14:textId="7F7E4BF8"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Y</w:t>
            </w:r>
          </w:p>
        </w:tc>
        <w:tc>
          <w:tcPr>
            <w:tcW w:w="570" w:type="dxa"/>
            <w:tcBorders>
              <w:top w:val="nil"/>
              <w:left w:val="nil"/>
              <w:bottom w:val="nil"/>
              <w:right w:val="single" w:sz="4" w:space="0" w:color="auto"/>
            </w:tcBorders>
            <w:shd w:val="clear" w:color="auto" w:fill="D9D9D9" w:themeFill="background1" w:themeFillShade="D9"/>
            <w:noWrap/>
          </w:tcPr>
          <w:p w14:paraId="49866877" w14:textId="2B356CAB"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Y</w:t>
            </w:r>
          </w:p>
        </w:tc>
        <w:tc>
          <w:tcPr>
            <w:tcW w:w="570" w:type="dxa"/>
            <w:tcBorders>
              <w:top w:val="nil"/>
              <w:left w:val="nil"/>
              <w:bottom w:val="nil"/>
              <w:right w:val="single" w:sz="4" w:space="0" w:color="auto"/>
            </w:tcBorders>
            <w:shd w:val="clear" w:color="auto" w:fill="D9D9D9" w:themeFill="background1" w:themeFillShade="D9"/>
            <w:noWrap/>
          </w:tcPr>
          <w:p w14:paraId="44627F89" w14:textId="3B96B476"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Y</w:t>
            </w:r>
          </w:p>
        </w:tc>
        <w:tc>
          <w:tcPr>
            <w:tcW w:w="570" w:type="dxa"/>
            <w:tcBorders>
              <w:top w:val="nil"/>
              <w:left w:val="nil"/>
              <w:bottom w:val="nil"/>
              <w:right w:val="single" w:sz="4" w:space="0" w:color="auto"/>
            </w:tcBorders>
            <w:shd w:val="clear" w:color="auto" w:fill="D9D9D9" w:themeFill="background1" w:themeFillShade="D9"/>
            <w:noWrap/>
          </w:tcPr>
          <w:p w14:paraId="11C3909A" w14:textId="1F95F2A1"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N</w:t>
            </w:r>
          </w:p>
        </w:tc>
        <w:tc>
          <w:tcPr>
            <w:tcW w:w="1891" w:type="dxa"/>
            <w:tcBorders>
              <w:top w:val="nil"/>
              <w:left w:val="nil"/>
              <w:bottom w:val="nil"/>
              <w:right w:val="single" w:sz="4" w:space="0" w:color="000000"/>
            </w:tcBorders>
            <w:shd w:val="clear" w:color="auto" w:fill="D9D9D9" w:themeFill="background1" w:themeFillShade="D9"/>
            <w:noWrap/>
          </w:tcPr>
          <w:p w14:paraId="168F11A8" w14:textId="5689C335" w:rsidR="00984C04" w:rsidRPr="00984C04" w:rsidRDefault="00984C04" w:rsidP="00984C04">
            <w:pPr>
              <w:spacing w:before="120" w:after="0"/>
              <w:rPr>
                <w:rFonts w:eastAsia="Times New Roman" w:cs="Tahoma"/>
                <w:sz w:val="14"/>
                <w:szCs w:val="14"/>
                <w:lang w:eastAsia="en-GB"/>
              </w:rPr>
            </w:pPr>
            <w:r w:rsidRPr="00984C04">
              <w:rPr>
                <w:rFonts w:cs="Tahoma"/>
                <w:color w:val="000000"/>
                <w:sz w:val="14"/>
                <w:szCs w:val="14"/>
              </w:rPr>
              <w:t>EUCD2018</w:t>
            </w:r>
          </w:p>
        </w:tc>
      </w:tr>
      <w:tr w:rsidR="00A17AAB" w:rsidRPr="00614C6B" w14:paraId="04106634"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tcPr>
          <w:p w14:paraId="36E5F984" w14:textId="6AEB1082"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Liechtenstein</w:t>
            </w:r>
          </w:p>
        </w:tc>
        <w:tc>
          <w:tcPr>
            <w:tcW w:w="2522" w:type="dxa"/>
            <w:tcBorders>
              <w:top w:val="nil"/>
              <w:left w:val="nil"/>
              <w:bottom w:val="nil"/>
              <w:right w:val="single" w:sz="4" w:space="0" w:color="auto"/>
            </w:tcBorders>
            <w:shd w:val="clear" w:color="auto" w:fill="auto"/>
            <w:noWrap/>
            <w:vAlign w:val="bottom"/>
          </w:tcPr>
          <w:p w14:paraId="2FA20842" w14:textId="56E54A1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LI-VTEC</w:t>
            </w:r>
          </w:p>
        </w:tc>
        <w:tc>
          <w:tcPr>
            <w:tcW w:w="570" w:type="dxa"/>
            <w:tcBorders>
              <w:top w:val="nil"/>
              <w:left w:val="nil"/>
              <w:bottom w:val="nil"/>
              <w:right w:val="single" w:sz="4" w:space="0" w:color="auto"/>
            </w:tcBorders>
            <w:shd w:val="clear" w:color="auto" w:fill="auto"/>
            <w:noWrap/>
            <w:vAlign w:val="bottom"/>
          </w:tcPr>
          <w:p w14:paraId="76239481" w14:textId="3557CF0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4E051279" w14:textId="04AE6A1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33A27E4E" w14:textId="32286AFE"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7BD441B6" w14:textId="539D5110"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18E9D8FB" w14:textId="553BB4E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5E35E462" w14:textId="6E97861D"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54875D37" w14:textId="4600E6F8"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680FEA1C" w14:textId="2BA9893E"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w:t>
            </w:r>
          </w:p>
        </w:tc>
        <w:tc>
          <w:tcPr>
            <w:tcW w:w="1891" w:type="dxa"/>
            <w:tcBorders>
              <w:top w:val="nil"/>
              <w:left w:val="nil"/>
              <w:bottom w:val="nil"/>
              <w:right w:val="single" w:sz="4" w:space="0" w:color="000000"/>
            </w:tcBorders>
            <w:shd w:val="clear" w:color="auto" w:fill="auto"/>
            <w:noWrap/>
            <w:vAlign w:val="bottom"/>
          </w:tcPr>
          <w:p w14:paraId="459519ED" w14:textId="7AD15FD1"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777DD61D"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tcPr>
          <w:p w14:paraId="5530FE13" w14:textId="631E993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Lithuania</w:t>
            </w:r>
          </w:p>
        </w:tc>
        <w:tc>
          <w:tcPr>
            <w:tcW w:w="2522" w:type="dxa"/>
            <w:tcBorders>
              <w:top w:val="nil"/>
              <w:left w:val="nil"/>
              <w:bottom w:val="nil"/>
              <w:right w:val="single" w:sz="4" w:space="0" w:color="auto"/>
            </w:tcBorders>
            <w:shd w:val="clear" w:color="000000" w:fill="D9D9D9"/>
            <w:noWrap/>
            <w:vAlign w:val="bottom"/>
          </w:tcPr>
          <w:p w14:paraId="53900029" w14:textId="27E875C0"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LT-COMMUNICABLE_DISEASES</w:t>
            </w:r>
          </w:p>
        </w:tc>
        <w:tc>
          <w:tcPr>
            <w:tcW w:w="570" w:type="dxa"/>
            <w:tcBorders>
              <w:top w:val="nil"/>
              <w:left w:val="nil"/>
              <w:bottom w:val="nil"/>
              <w:right w:val="single" w:sz="4" w:space="0" w:color="auto"/>
            </w:tcBorders>
            <w:shd w:val="clear" w:color="000000" w:fill="D9D9D9"/>
            <w:noWrap/>
            <w:vAlign w:val="bottom"/>
          </w:tcPr>
          <w:p w14:paraId="5662F5E4" w14:textId="1BFA050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2D80133B" w14:textId="619F421E"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256E8B63" w14:textId="35B866A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1CE61D59" w14:textId="7E478BEE"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4300A4A4" w14:textId="19D01330"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0AB90218" w14:textId="5E7CD74D"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6921660" w14:textId="765C8E0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5D7161E6" w14:textId="57C148F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tcPr>
          <w:p w14:paraId="61C5ACAA" w14:textId="2D19A611"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2C40BAF4"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tcPr>
          <w:p w14:paraId="318C0701" w14:textId="4C04AEB2"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Luxembourg</w:t>
            </w:r>
          </w:p>
        </w:tc>
        <w:tc>
          <w:tcPr>
            <w:tcW w:w="2522" w:type="dxa"/>
            <w:tcBorders>
              <w:top w:val="nil"/>
              <w:left w:val="nil"/>
              <w:bottom w:val="nil"/>
              <w:right w:val="single" w:sz="4" w:space="0" w:color="auto"/>
            </w:tcBorders>
            <w:shd w:val="clear" w:color="auto" w:fill="auto"/>
            <w:noWrap/>
            <w:vAlign w:val="bottom"/>
          </w:tcPr>
          <w:p w14:paraId="63F57D90" w14:textId="6AAEB84E"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LU-SYSTEM1</w:t>
            </w:r>
          </w:p>
        </w:tc>
        <w:tc>
          <w:tcPr>
            <w:tcW w:w="570" w:type="dxa"/>
            <w:tcBorders>
              <w:top w:val="nil"/>
              <w:left w:val="nil"/>
              <w:bottom w:val="nil"/>
              <w:right w:val="single" w:sz="4" w:space="0" w:color="auto"/>
            </w:tcBorders>
            <w:shd w:val="clear" w:color="auto" w:fill="auto"/>
            <w:noWrap/>
            <w:vAlign w:val="bottom"/>
          </w:tcPr>
          <w:p w14:paraId="5BDEF319" w14:textId="4BE179C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1320F49B" w14:textId="2409A14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72548EB6" w14:textId="207D26C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30F3C2FF" w14:textId="7C44FE5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128C7340" w14:textId="7DDE91A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312E2416" w14:textId="5E873858"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522B1E8E" w14:textId="04895F1D"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5B402120" w14:textId="2512988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tcPr>
          <w:p w14:paraId="4643A5E9" w14:textId="55724756"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7476217C"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tcPr>
          <w:p w14:paraId="4A50FE47" w14:textId="1C27955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Malta</w:t>
            </w:r>
          </w:p>
        </w:tc>
        <w:tc>
          <w:tcPr>
            <w:tcW w:w="2522" w:type="dxa"/>
            <w:tcBorders>
              <w:top w:val="nil"/>
              <w:left w:val="nil"/>
              <w:bottom w:val="nil"/>
              <w:right w:val="single" w:sz="4" w:space="0" w:color="auto"/>
            </w:tcBorders>
            <w:shd w:val="clear" w:color="000000" w:fill="D9D9D9"/>
            <w:noWrap/>
            <w:vAlign w:val="bottom"/>
          </w:tcPr>
          <w:p w14:paraId="2037C941" w14:textId="3599286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MT-DISEASE_SURVEILLANCE</w:t>
            </w:r>
          </w:p>
        </w:tc>
        <w:tc>
          <w:tcPr>
            <w:tcW w:w="570" w:type="dxa"/>
            <w:tcBorders>
              <w:top w:val="nil"/>
              <w:left w:val="nil"/>
              <w:bottom w:val="nil"/>
              <w:right w:val="single" w:sz="4" w:space="0" w:color="auto"/>
            </w:tcBorders>
            <w:shd w:val="clear" w:color="000000" w:fill="D9D9D9"/>
            <w:noWrap/>
            <w:vAlign w:val="bottom"/>
          </w:tcPr>
          <w:p w14:paraId="173085D4" w14:textId="4FB01D02"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3B8AC6DF" w14:textId="3255BFE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55FC1CF8" w14:textId="1EAFC328"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43F04CA1" w14:textId="57DE9EE3"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74B8A3F6" w14:textId="12823DA3"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6A770EA6" w14:textId="2983618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479E0ED" w14:textId="3040F3D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02B6D026" w14:textId="46D79F1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1891" w:type="dxa"/>
            <w:tcBorders>
              <w:top w:val="nil"/>
              <w:left w:val="nil"/>
              <w:bottom w:val="nil"/>
              <w:right w:val="single" w:sz="4" w:space="0" w:color="000000"/>
            </w:tcBorders>
            <w:shd w:val="clear" w:color="000000" w:fill="D9D9D9"/>
            <w:noWrap/>
            <w:vAlign w:val="bottom"/>
          </w:tcPr>
          <w:p w14:paraId="3A5BF295" w14:textId="58FE948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1054FAEE"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tcPr>
          <w:p w14:paraId="72EF7D57" w14:textId="3995368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Netherlands</w:t>
            </w:r>
          </w:p>
        </w:tc>
        <w:tc>
          <w:tcPr>
            <w:tcW w:w="2522" w:type="dxa"/>
            <w:tcBorders>
              <w:top w:val="nil"/>
              <w:left w:val="nil"/>
              <w:bottom w:val="nil"/>
              <w:right w:val="single" w:sz="4" w:space="0" w:color="auto"/>
            </w:tcBorders>
            <w:shd w:val="clear" w:color="auto" w:fill="auto"/>
            <w:noWrap/>
            <w:vAlign w:val="bottom"/>
          </w:tcPr>
          <w:p w14:paraId="68A87700" w14:textId="2C5A461E"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NL-ENTEROHAEMORHAGIC_ECOLI</w:t>
            </w:r>
          </w:p>
        </w:tc>
        <w:tc>
          <w:tcPr>
            <w:tcW w:w="570" w:type="dxa"/>
            <w:tcBorders>
              <w:top w:val="nil"/>
              <w:left w:val="nil"/>
              <w:bottom w:val="nil"/>
              <w:right w:val="single" w:sz="4" w:space="0" w:color="auto"/>
            </w:tcBorders>
            <w:shd w:val="clear" w:color="auto" w:fill="auto"/>
            <w:noWrap/>
            <w:vAlign w:val="bottom"/>
          </w:tcPr>
          <w:p w14:paraId="21EA39B5" w14:textId="1E40BBA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31B48E26" w14:textId="346BA57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76BE26E3" w14:textId="20B7E87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tcPr>
          <w:p w14:paraId="77E6BF8F" w14:textId="4A5D6748"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6A4FBCC5" w14:textId="7C501762"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1009BA18" w14:textId="279E0FD3"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6034ED1B" w14:textId="75D1E9FD"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6978FC19" w14:textId="110A950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tcPr>
          <w:p w14:paraId="616C3C5F" w14:textId="5E043323"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Other</w:t>
            </w:r>
          </w:p>
        </w:tc>
      </w:tr>
      <w:tr w:rsidR="00A17AAB" w:rsidRPr="00614C6B" w14:paraId="12B3A092"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tcPr>
          <w:p w14:paraId="272B3DF3" w14:textId="622AC0BF"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Norway</w:t>
            </w:r>
          </w:p>
        </w:tc>
        <w:tc>
          <w:tcPr>
            <w:tcW w:w="2522" w:type="dxa"/>
            <w:tcBorders>
              <w:top w:val="nil"/>
              <w:left w:val="nil"/>
              <w:bottom w:val="nil"/>
              <w:right w:val="single" w:sz="4" w:space="0" w:color="auto"/>
            </w:tcBorders>
            <w:shd w:val="clear" w:color="000000" w:fill="D9D9D9"/>
            <w:noWrap/>
            <w:vAlign w:val="bottom"/>
          </w:tcPr>
          <w:p w14:paraId="40F463AD" w14:textId="1D3142F8"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NO-MSIS_A</w:t>
            </w:r>
          </w:p>
        </w:tc>
        <w:tc>
          <w:tcPr>
            <w:tcW w:w="570" w:type="dxa"/>
            <w:tcBorders>
              <w:top w:val="nil"/>
              <w:left w:val="nil"/>
              <w:bottom w:val="nil"/>
              <w:right w:val="single" w:sz="4" w:space="0" w:color="auto"/>
            </w:tcBorders>
            <w:shd w:val="clear" w:color="000000" w:fill="D9D9D9"/>
            <w:noWrap/>
            <w:vAlign w:val="bottom"/>
          </w:tcPr>
          <w:p w14:paraId="7AA0B9DD" w14:textId="05E2E6EF"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03074136" w14:textId="6CC21332"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485D53B6" w14:textId="6C67641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3F615592" w14:textId="5577BB2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141C9477" w14:textId="6D54415A"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27784537" w14:textId="545C06A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4C041A5C" w14:textId="69779F9C"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54740AEB" w14:textId="2D33224D"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tcPr>
          <w:p w14:paraId="02D3CEDD" w14:textId="1DB7BCC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4D09CF1B"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tcPr>
          <w:p w14:paraId="1023C1EF" w14:textId="2CD1680C"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Poland</w:t>
            </w:r>
          </w:p>
        </w:tc>
        <w:tc>
          <w:tcPr>
            <w:tcW w:w="2522" w:type="dxa"/>
            <w:tcBorders>
              <w:top w:val="nil"/>
              <w:left w:val="nil"/>
              <w:bottom w:val="nil"/>
              <w:right w:val="single" w:sz="4" w:space="0" w:color="auto"/>
            </w:tcBorders>
            <w:shd w:val="clear" w:color="auto" w:fill="auto"/>
            <w:noWrap/>
            <w:vAlign w:val="bottom"/>
          </w:tcPr>
          <w:p w14:paraId="46D39D7B" w14:textId="78915AB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PL-NATIONAL_SURVEILLANCE</w:t>
            </w:r>
          </w:p>
        </w:tc>
        <w:tc>
          <w:tcPr>
            <w:tcW w:w="570" w:type="dxa"/>
            <w:tcBorders>
              <w:top w:val="nil"/>
              <w:left w:val="nil"/>
              <w:bottom w:val="nil"/>
              <w:right w:val="single" w:sz="4" w:space="0" w:color="auto"/>
            </w:tcBorders>
            <w:shd w:val="clear" w:color="auto" w:fill="auto"/>
            <w:noWrap/>
            <w:vAlign w:val="bottom"/>
          </w:tcPr>
          <w:p w14:paraId="3F4D3F3E" w14:textId="7B520DD2"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117FF2E9" w14:textId="15E92E7F"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74968FC3" w14:textId="2DA985B2"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4F1611BE" w14:textId="5B7AC30C"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1CB38110" w14:textId="0F9984D8"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2D6B10E4" w14:textId="0F8A1203"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F73B8A4" w14:textId="3EE1B1C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157F662A" w14:textId="736D7A4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tcPr>
          <w:p w14:paraId="537F1307" w14:textId="49F8D9F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19C71DA2"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tcPr>
          <w:p w14:paraId="0C5B174D" w14:textId="6ACEF9C0"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Portugal</w:t>
            </w:r>
          </w:p>
        </w:tc>
        <w:tc>
          <w:tcPr>
            <w:tcW w:w="2522" w:type="dxa"/>
            <w:tcBorders>
              <w:top w:val="nil"/>
              <w:left w:val="nil"/>
              <w:bottom w:val="nil"/>
              <w:right w:val="single" w:sz="4" w:space="0" w:color="auto"/>
            </w:tcBorders>
            <w:shd w:val="clear" w:color="000000" w:fill="D9D9D9"/>
            <w:noWrap/>
            <w:vAlign w:val="bottom"/>
          </w:tcPr>
          <w:p w14:paraId="1D99AC4F" w14:textId="215021D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PT-VTEC</w:t>
            </w:r>
          </w:p>
        </w:tc>
        <w:tc>
          <w:tcPr>
            <w:tcW w:w="570" w:type="dxa"/>
            <w:tcBorders>
              <w:top w:val="nil"/>
              <w:left w:val="nil"/>
              <w:bottom w:val="nil"/>
              <w:right w:val="single" w:sz="4" w:space="0" w:color="auto"/>
            </w:tcBorders>
            <w:shd w:val="clear" w:color="000000" w:fill="D9D9D9"/>
            <w:noWrap/>
            <w:vAlign w:val="bottom"/>
          </w:tcPr>
          <w:p w14:paraId="2B74032E" w14:textId="1A2F7FA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1CAAC332" w14:textId="2B40691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5E0F1394" w14:textId="610C0E70" w:rsidR="00A17AAB" w:rsidRPr="00614C6B" w:rsidRDefault="00A17AAB" w:rsidP="00A17AAB">
            <w:pPr>
              <w:spacing w:before="120" w:after="0"/>
              <w:rPr>
                <w:rFonts w:eastAsia="Times New Roman" w:cs="Tahoma"/>
                <w:sz w:val="14"/>
                <w:szCs w:val="14"/>
                <w:lang w:eastAsia="en-GB"/>
              </w:rPr>
            </w:pPr>
            <w:r>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036EFA5F" w14:textId="2692C74A"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5387CDAD" w14:textId="67F42B3C"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1BEA4469" w14:textId="1D2B965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054F2C77" w14:textId="2C33062F"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49698D2C" w14:textId="3C81019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tcPr>
          <w:p w14:paraId="7159B6CF" w14:textId="3C276A8E"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33323680"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tcPr>
          <w:p w14:paraId="06C8A234" w14:textId="4F2F9BD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Romania</w:t>
            </w:r>
          </w:p>
        </w:tc>
        <w:tc>
          <w:tcPr>
            <w:tcW w:w="2522" w:type="dxa"/>
            <w:tcBorders>
              <w:top w:val="nil"/>
              <w:left w:val="nil"/>
              <w:bottom w:val="nil"/>
              <w:right w:val="single" w:sz="4" w:space="0" w:color="auto"/>
            </w:tcBorders>
            <w:shd w:val="clear" w:color="auto" w:fill="auto"/>
            <w:noWrap/>
            <w:vAlign w:val="bottom"/>
          </w:tcPr>
          <w:p w14:paraId="5A0349E7" w14:textId="707B0B5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RO-</w:t>
            </w:r>
            <w:proofErr w:type="spellStart"/>
            <w:r w:rsidRPr="00614C6B">
              <w:rPr>
                <w:rFonts w:eastAsia="Times New Roman" w:cs="Tahoma"/>
                <w:sz w:val="14"/>
                <w:szCs w:val="14"/>
                <w:lang w:eastAsia="en-GB"/>
              </w:rPr>
              <w:t>RNSSy</w:t>
            </w:r>
            <w:proofErr w:type="spellEnd"/>
          </w:p>
        </w:tc>
        <w:tc>
          <w:tcPr>
            <w:tcW w:w="570" w:type="dxa"/>
            <w:tcBorders>
              <w:top w:val="nil"/>
              <w:left w:val="nil"/>
              <w:bottom w:val="nil"/>
              <w:right w:val="single" w:sz="4" w:space="0" w:color="auto"/>
            </w:tcBorders>
            <w:shd w:val="clear" w:color="auto" w:fill="auto"/>
            <w:noWrap/>
            <w:vAlign w:val="bottom"/>
          </w:tcPr>
          <w:p w14:paraId="4B3718C8" w14:textId="3B6E8F80"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1BBE7FC8" w14:textId="1B83F041"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7638EE4D" w14:textId="2FA49D6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011AE73A" w14:textId="5937E75D"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00255B3D" w14:textId="50B3BE4A"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3429EB5C" w14:textId="1A97FF1E"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4736F03D" w14:textId="5422DA6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21AB3100" w14:textId="58212CE1"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tcPr>
          <w:p w14:paraId="3F838280" w14:textId="0BC3ABED"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1FFB6E5B"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tcPr>
          <w:p w14:paraId="2861A9B6" w14:textId="6CA7640F"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Slovakia</w:t>
            </w:r>
          </w:p>
        </w:tc>
        <w:tc>
          <w:tcPr>
            <w:tcW w:w="2522" w:type="dxa"/>
            <w:tcBorders>
              <w:top w:val="nil"/>
              <w:left w:val="nil"/>
              <w:bottom w:val="nil"/>
              <w:right w:val="single" w:sz="4" w:space="0" w:color="auto"/>
            </w:tcBorders>
            <w:shd w:val="clear" w:color="000000" w:fill="D9D9D9"/>
            <w:noWrap/>
            <w:vAlign w:val="bottom"/>
          </w:tcPr>
          <w:p w14:paraId="45B88375" w14:textId="6CB67FC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SK-EPIS</w:t>
            </w:r>
          </w:p>
        </w:tc>
        <w:tc>
          <w:tcPr>
            <w:tcW w:w="570" w:type="dxa"/>
            <w:tcBorders>
              <w:top w:val="nil"/>
              <w:left w:val="nil"/>
              <w:bottom w:val="nil"/>
              <w:right w:val="single" w:sz="4" w:space="0" w:color="auto"/>
            </w:tcBorders>
            <w:shd w:val="clear" w:color="000000" w:fill="D9D9D9"/>
            <w:noWrap/>
            <w:vAlign w:val="bottom"/>
          </w:tcPr>
          <w:p w14:paraId="5297FF43" w14:textId="305181C3"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2C288C6D" w14:textId="41EBE8C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2A9FF855" w14:textId="124E43C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A</w:t>
            </w:r>
          </w:p>
        </w:tc>
        <w:tc>
          <w:tcPr>
            <w:tcW w:w="570" w:type="dxa"/>
            <w:tcBorders>
              <w:top w:val="nil"/>
              <w:left w:val="nil"/>
              <w:bottom w:val="nil"/>
              <w:right w:val="single" w:sz="4" w:space="0" w:color="auto"/>
            </w:tcBorders>
            <w:shd w:val="clear" w:color="000000" w:fill="D9D9D9"/>
            <w:noWrap/>
            <w:vAlign w:val="bottom"/>
          </w:tcPr>
          <w:p w14:paraId="56069A56" w14:textId="5F8B248C"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565BBDB1" w14:textId="7806075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18891116" w14:textId="1A5497CF"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5D612E0A" w14:textId="3A5095C6"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430268C" w14:textId="408EA1E6"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tcPr>
          <w:p w14:paraId="7643BECB" w14:textId="3AE5CDA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4D983755" w14:textId="77777777" w:rsidTr="00984C04">
        <w:trPr>
          <w:trHeight w:val="235"/>
        </w:trPr>
        <w:tc>
          <w:tcPr>
            <w:tcW w:w="1170" w:type="dxa"/>
            <w:tcBorders>
              <w:top w:val="nil"/>
              <w:left w:val="single" w:sz="4" w:space="0" w:color="000000"/>
              <w:bottom w:val="nil"/>
              <w:right w:val="single" w:sz="4" w:space="0" w:color="auto"/>
            </w:tcBorders>
            <w:shd w:val="clear" w:color="auto" w:fill="auto"/>
            <w:noWrap/>
            <w:vAlign w:val="bottom"/>
          </w:tcPr>
          <w:p w14:paraId="0BC54F3C" w14:textId="1D0F0BA9"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Slovenia</w:t>
            </w:r>
          </w:p>
        </w:tc>
        <w:tc>
          <w:tcPr>
            <w:tcW w:w="2522" w:type="dxa"/>
            <w:tcBorders>
              <w:top w:val="nil"/>
              <w:left w:val="nil"/>
              <w:bottom w:val="nil"/>
              <w:right w:val="single" w:sz="4" w:space="0" w:color="auto"/>
            </w:tcBorders>
            <w:shd w:val="clear" w:color="auto" w:fill="auto"/>
            <w:noWrap/>
            <w:vAlign w:val="bottom"/>
          </w:tcPr>
          <w:p w14:paraId="2B7D70CA" w14:textId="653F0844"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SI-SURVIVAL</w:t>
            </w:r>
          </w:p>
        </w:tc>
        <w:tc>
          <w:tcPr>
            <w:tcW w:w="570" w:type="dxa"/>
            <w:tcBorders>
              <w:top w:val="nil"/>
              <w:left w:val="nil"/>
              <w:bottom w:val="nil"/>
              <w:right w:val="single" w:sz="4" w:space="0" w:color="auto"/>
            </w:tcBorders>
            <w:shd w:val="clear" w:color="auto" w:fill="auto"/>
            <w:noWrap/>
            <w:vAlign w:val="bottom"/>
          </w:tcPr>
          <w:p w14:paraId="065CAD82" w14:textId="3E2D098C"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2C790994" w14:textId="60D4087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3A7132D4" w14:textId="41559772"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23B7D478" w14:textId="0B9FBE91"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5E5ED72F" w14:textId="0A5E857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7720CDF" w14:textId="6732CFF7"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6D64CF4E" w14:textId="2361173D"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4F71CCC2" w14:textId="5EC55733"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auto" w:fill="auto"/>
            <w:noWrap/>
            <w:vAlign w:val="bottom"/>
          </w:tcPr>
          <w:p w14:paraId="5BC91E31" w14:textId="53AF29C6"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EU-2008</w:t>
            </w:r>
          </w:p>
        </w:tc>
      </w:tr>
      <w:tr w:rsidR="00A17AAB" w:rsidRPr="00614C6B" w14:paraId="0F1A8DD7" w14:textId="77777777" w:rsidTr="00984C04">
        <w:trPr>
          <w:trHeight w:val="235"/>
        </w:trPr>
        <w:tc>
          <w:tcPr>
            <w:tcW w:w="1170" w:type="dxa"/>
            <w:tcBorders>
              <w:top w:val="nil"/>
              <w:left w:val="single" w:sz="4" w:space="0" w:color="000000"/>
              <w:bottom w:val="nil"/>
              <w:right w:val="single" w:sz="4" w:space="0" w:color="auto"/>
            </w:tcBorders>
            <w:shd w:val="clear" w:color="000000" w:fill="D9D9D9"/>
            <w:noWrap/>
            <w:vAlign w:val="bottom"/>
          </w:tcPr>
          <w:p w14:paraId="638FA98B" w14:textId="01E28081"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Spain</w:t>
            </w:r>
          </w:p>
        </w:tc>
        <w:tc>
          <w:tcPr>
            <w:tcW w:w="2522" w:type="dxa"/>
            <w:tcBorders>
              <w:top w:val="nil"/>
              <w:left w:val="nil"/>
              <w:bottom w:val="nil"/>
              <w:right w:val="single" w:sz="4" w:space="0" w:color="auto"/>
            </w:tcBorders>
            <w:shd w:val="clear" w:color="000000" w:fill="D9D9D9"/>
            <w:noWrap/>
            <w:vAlign w:val="bottom"/>
          </w:tcPr>
          <w:p w14:paraId="19682865" w14:textId="696873B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ES-STATUTORY_DISEASES</w:t>
            </w:r>
          </w:p>
        </w:tc>
        <w:tc>
          <w:tcPr>
            <w:tcW w:w="570" w:type="dxa"/>
            <w:tcBorders>
              <w:top w:val="nil"/>
              <w:left w:val="nil"/>
              <w:bottom w:val="nil"/>
              <w:right w:val="single" w:sz="4" w:space="0" w:color="auto"/>
            </w:tcBorders>
            <w:shd w:val="clear" w:color="000000" w:fill="D9D9D9"/>
            <w:noWrap/>
            <w:vAlign w:val="bottom"/>
          </w:tcPr>
          <w:p w14:paraId="4BE25793" w14:textId="672CC6D8"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454674AC" w14:textId="3BD52B41"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3AF6D542" w14:textId="7BE92DD5"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2A601899" w14:textId="3B9040AF"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439C7455" w14:textId="280E609A"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6427B70B" w14:textId="4A9CC46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62A61CDA" w14:textId="7B2819D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19ADBAB4" w14:textId="4C74D05B"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nil"/>
              <w:right w:val="single" w:sz="4" w:space="0" w:color="000000"/>
            </w:tcBorders>
            <w:shd w:val="clear" w:color="000000" w:fill="D9D9D9"/>
            <w:noWrap/>
            <w:vAlign w:val="bottom"/>
          </w:tcPr>
          <w:p w14:paraId="38E04742" w14:textId="386A1F2E" w:rsidR="00A17AAB" w:rsidRPr="00614C6B"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A17AAB" w:rsidRPr="00614C6B" w14:paraId="2DDEF2D8" w14:textId="77777777" w:rsidTr="00A17AAB">
        <w:trPr>
          <w:trHeight w:val="235"/>
        </w:trPr>
        <w:tc>
          <w:tcPr>
            <w:tcW w:w="1170" w:type="dxa"/>
            <w:tcBorders>
              <w:top w:val="nil"/>
              <w:left w:val="single" w:sz="4" w:space="0" w:color="000000"/>
              <w:right w:val="single" w:sz="4" w:space="0" w:color="auto"/>
            </w:tcBorders>
            <w:shd w:val="clear" w:color="auto" w:fill="auto"/>
            <w:noWrap/>
          </w:tcPr>
          <w:p w14:paraId="08C022F0" w14:textId="5A3B05AB"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Spain</w:t>
            </w:r>
          </w:p>
        </w:tc>
        <w:tc>
          <w:tcPr>
            <w:tcW w:w="2522" w:type="dxa"/>
            <w:tcBorders>
              <w:top w:val="nil"/>
              <w:left w:val="nil"/>
              <w:right w:val="single" w:sz="4" w:space="0" w:color="auto"/>
            </w:tcBorders>
            <w:shd w:val="clear" w:color="auto" w:fill="auto"/>
            <w:noWrap/>
          </w:tcPr>
          <w:p w14:paraId="4E08FCA5" w14:textId="255568C9"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ES-NRL</w:t>
            </w:r>
          </w:p>
        </w:tc>
        <w:tc>
          <w:tcPr>
            <w:tcW w:w="570" w:type="dxa"/>
            <w:tcBorders>
              <w:top w:val="nil"/>
              <w:left w:val="nil"/>
              <w:right w:val="single" w:sz="4" w:space="0" w:color="auto"/>
            </w:tcBorders>
            <w:shd w:val="clear" w:color="auto" w:fill="auto"/>
            <w:noWrap/>
          </w:tcPr>
          <w:p w14:paraId="49D12D44" w14:textId="58A19D91"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VOLO</w:t>
            </w:r>
          </w:p>
        </w:tc>
        <w:tc>
          <w:tcPr>
            <w:tcW w:w="570" w:type="dxa"/>
            <w:tcBorders>
              <w:top w:val="nil"/>
              <w:left w:val="nil"/>
              <w:right w:val="single" w:sz="4" w:space="0" w:color="auto"/>
            </w:tcBorders>
            <w:shd w:val="clear" w:color="auto" w:fill="auto"/>
            <w:noWrap/>
          </w:tcPr>
          <w:p w14:paraId="78C2760C" w14:textId="4B26A681"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Co</w:t>
            </w:r>
          </w:p>
        </w:tc>
        <w:tc>
          <w:tcPr>
            <w:tcW w:w="570" w:type="dxa"/>
            <w:tcBorders>
              <w:top w:val="nil"/>
              <w:left w:val="nil"/>
              <w:right w:val="single" w:sz="4" w:space="0" w:color="auto"/>
            </w:tcBorders>
            <w:shd w:val="clear" w:color="auto" w:fill="auto"/>
            <w:noWrap/>
          </w:tcPr>
          <w:p w14:paraId="57379D39" w14:textId="24CE931C"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P</w:t>
            </w:r>
          </w:p>
        </w:tc>
        <w:tc>
          <w:tcPr>
            <w:tcW w:w="570" w:type="dxa"/>
            <w:tcBorders>
              <w:top w:val="nil"/>
              <w:left w:val="nil"/>
              <w:right w:val="single" w:sz="4" w:space="0" w:color="auto"/>
            </w:tcBorders>
            <w:shd w:val="clear" w:color="auto" w:fill="auto"/>
            <w:noWrap/>
          </w:tcPr>
          <w:p w14:paraId="0B977F15" w14:textId="23EE5065"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C</w:t>
            </w:r>
          </w:p>
        </w:tc>
        <w:tc>
          <w:tcPr>
            <w:tcW w:w="570" w:type="dxa"/>
            <w:tcBorders>
              <w:top w:val="nil"/>
              <w:left w:val="nil"/>
              <w:right w:val="single" w:sz="4" w:space="0" w:color="auto"/>
            </w:tcBorders>
            <w:shd w:val="clear" w:color="auto" w:fill="auto"/>
            <w:noWrap/>
          </w:tcPr>
          <w:p w14:paraId="4DF30745" w14:textId="088F0784"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Y</w:t>
            </w:r>
          </w:p>
        </w:tc>
        <w:tc>
          <w:tcPr>
            <w:tcW w:w="570" w:type="dxa"/>
            <w:tcBorders>
              <w:top w:val="nil"/>
              <w:left w:val="nil"/>
              <w:right w:val="single" w:sz="4" w:space="0" w:color="auto"/>
            </w:tcBorders>
            <w:shd w:val="clear" w:color="auto" w:fill="auto"/>
            <w:noWrap/>
          </w:tcPr>
          <w:p w14:paraId="7F6AB635" w14:textId="721FF7BD"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Y</w:t>
            </w:r>
          </w:p>
        </w:tc>
        <w:tc>
          <w:tcPr>
            <w:tcW w:w="570" w:type="dxa"/>
            <w:tcBorders>
              <w:top w:val="nil"/>
              <w:left w:val="nil"/>
              <w:right w:val="single" w:sz="4" w:space="0" w:color="auto"/>
            </w:tcBorders>
            <w:shd w:val="clear" w:color="auto" w:fill="auto"/>
            <w:noWrap/>
          </w:tcPr>
          <w:p w14:paraId="3BDD0EC8" w14:textId="4F7014FB"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Y</w:t>
            </w:r>
          </w:p>
        </w:tc>
        <w:tc>
          <w:tcPr>
            <w:tcW w:w="570" w:type="dxa"/>
            <w:tcBorders>
              <w:top w:val="nil"/>
              <w:left w:val="nil"/>
              <w:right w:val="single" w:sz="4" w:space="0" w:color="auto"/>
            </w:tcBorders>
            <w:shd w:val="clear" w:color="auto" w:fill="auto"/>
            <w:noWrap/>
          </w:tcPr>
          <w:p w14:paraId="2A8CEE7E" w14:textId="19E1BCD3"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N</w:t>
            </w:r>
          </w:p>
        </w:tc>
        <w:tc>
          <w:tcPr>
            <w:tcW w:w="1891" w:type="dxa"/>
            <w:tcBorders>
              <w:top w:val="nil"/>
              <w:left w:val="nil"/>
              <w:right w:val="single" w:sz="4" w:space="0" w:color="000000"/>
            </w:tcBorders>
            <w:shd w:val="clear" w:color="auto" w:fill="auto"/>
            <w:noWrap/>
          </w:tcPr>
          <w:p w14:paraId="7BA61776" w14:textId="0415A3C0" w:rsidR="00A17AAB" w:rsidRPr="00614C6B" w:rsidRDefault="00A17AAB" w:rsidP="00A17AAB">
            <w:pPr>
              <w:spacing w:before="120" w:after="0"/>
              <w:rPr>
                <w:rFonts w:eastAsia="Times New Roman" w:cs="Tahoma"/>
                <w:sz w:val="14"/>
                <w:szCs w:val="14"/>
                <w:lang w:eastAsia="en-GB"/>
              </w:rPr>
            </w:pPr>
            <w:r w:rsidRPr="00596699">
              <w:rPr>
                <w:rFonts w:cs="Tahoma"/>
                <w:color w:val="000000"/>
                <w:sz w:val="14"/>
                <w:szCs w:val="14"/>
              </w:rPr>
              <w:t>EU'08</w:t>
            </w:r>
          </w:p>
        </w:tc>
      </w:tr>
      <w:tr w:rsidR="00A17AAB" w:rsidRPr="00614C6B" w14:paraId="04CDC1AD" w14:textId="77777777" w:rsidTr="00A17AAB">
        <w:trPr>
          <w:trHeight w:val="235"/>
        </w:trPr>
        <w:tc>
          <w:tcPr>
            <w:tcW w:w="1170" w:type="dxa"/>
            <w:tcBorders>
              <w:top w:val="nil"/>
              <w:left w:val="single" w:sz="4" w:space="0" w:color="000000"/>
              <w:bottom w:val="single" w:sz="4" w:space="0" w:color="auto"/>
              <w:right w:val="single" w:sz="4" w:space="0" w:color="auto"/>
            </w:tcBorders>
            <w:shd w:val="clear" w:color="000000" w:fill="D9D9D9"/>
            <w:noWrap/>
            <w:vAlign w:val="bottom"/>
          </w:tcPr>
          <w:p w14:paraId="5D170E60" w14:textId="4D37BFF6"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Sweden</w:t>
            </w:r>
          </w:p>
        </w:tc>
        <w:tc>
          <w:tcPr>
            <w:tcW w:w="2522" w:type="dxa"/>
            <w:tcBorders>
              <w:top w:val="nil"/>
              <w:left w:val="nil"/>
              <w:bottom w:val="single" w:sz="4" w:space="0" w:color="auto"/>
              <w:right w:val="single" w:sz="4" w:space="0" w:color="auto"/>
            </w:tcBorders>
            <w:shd w:val="clear" w:color="000000" w:fill="D9D9D9"/>
            <w:noWrap/>
            <w:vAlign w:val="bottom"/>
          </w:tcPr>
          <w:p w14:paraId="588F64C5" w14:textId="6ECC1795"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SE-SMINET</w:t>
            </w:r>
          </w:p>
        </w:tc>
        <w:tc>
          <w:tcPr>
            <w:tcW w:w="570" w:type="dxa"/>
            <w:tcBorders>
              <w:top w:val="nil"/>
              <w:left w:val="nil"/>
              <w:bottom w:val="single" w:sz="4" w:space="0" w:color="auto"/>
              <w:right w:val="single" w:sz="4" w:space="0" w:color="auto"/>
            </w:tcBorders>
            <w:shd w:val="clear" w:color="000000" w:fill="D9D9D9"/>
            <w:noWrap/>
            <w:vAlign w:val="bottom"/>
          </w:tcPr>
          <w:p w14:paraId="1019C8FD" w14:textId="26B19974"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single" w:sz="4" w:space="0" w:color="auto"/>
              <w:right w:val="single" w:sz="4" w:space="0" w:color="auto"/>
            </w:tcBorders>
            <w:shd w:val="clear" w:color="000000" w:fill="D9D9D9"/>
            <w:noWrap/>
            <w:vAlign w:val="bottom"/>
          </w:tcPr>
          <w:p w14:paraId="48404935" w14:textId="0658C765"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single" w:sz="4" w:space="0" w:color="auto"/>
              <w:right w:val="single" w:sz="4" w:space="0" w:color="auto"/>
            </w:tcBorders>
            <w:shd w:val="clear" w:color="000000" w:fill="D9D9D9"/>
            <w:noWrap/>
            <w:vAlign w:val="bottom"/>
          </w:tcPr>
          <w:p w14:paraId="6545520A" w14:textId="16E60F69"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single" w:sz="4" w:space="0" w:color="auto"/>
              <w:right w:val="single" w:sz="4" w:space="0" w:color="auto"/>
            </w:tcBorders>
            <w:shd w:val="clear" w:color="000000" w:fill="D9D9D9"/>
            <w:noWrap/>
            <w:vAlign w:val="bottom"/>
          </w:tcPr>
          <w:p w14:paraId="2F693708" w14:textId="12E9FEF2"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single" w:sz="4" w:space="0" w:color="auto"/>
              <w:right w:val="single" w:sz="4" w:space="0" w:color="auto"/>
            </w:tcBorders>
            <w:shd w:val="clear" w:color="000000" w:fill="D9D9D9"/>
            <w:noWrap/>
            <w:vAlign w:val="bottom"/>
          </w:tcPr>
          <w:p w14:paraId="7270E8DF" w14:textId="35E64E8D"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single" w:sz="4" w:space="0" w:color="auto"/>
              <w:right w:val="single" w:sz="4" w:space="0" w:color="auto"/>
            </w:tcBorders>
            <w:shd w:val="clear" w:color="000000" w:fill="D9D9D9"/>
            <w:noWrap/>
            <w:vAlign w:val="bottom"/>
          </w:tcPr>
          <w:p w14:paraId="70A2B157" w14:textId="5F603962"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single" w:sz="4" w:space="0" w:color="auto"/>
              <w:right w:val="single" w:sz="4" w:space="0" w:color="auto"/>
            </w:tcBorders>
            <w:shd w:val="clear" w:color="000000" w:fill="D9D9D9"/>
            <w:noWrap/>
            <w:vAlign w:val="bottom"/>
          </w:tcPr>
          <w:p w14:paraId="2C7A3A09" w14:textId="09864D5B"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single" w:sz="4" w:space="0" w:color="auto"/>
              <w:right w:val="single" w:sz="4" w:space="0" w:color="auto"/>
            </w:tcBorders>
            <w:shd w:val="clear" w:color="000000" w:fill="D9D9D9"/>
            <w:noWrap/>
            <w:vAlign w:val="bottom"/>
          </w:tcPr>
          <w:p w14:paraId="6811469B" w14:textId="00524CFE"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891" w:type="dxa"/>
            <w:tcBorders>
              <w:top w:val="nil"/>
              <w:left w:val="nil"/>
              <w:bottom w:val="single" w:sz="4" w:space="0" w:color="auto"/>
              <w:right w:val="single" w:sz="4" w:space="0" w:color="000000"/>
            </w:tcBorders>
            <w:shd w:val="clear" w:color="000000" w:fill="D9D9D9"/>
            <w:noWrap/>
            <w:vAlign w:val="bottom"/>
          </w:tcPr>
          <w:p w14:paraId="79CE9241" w14:textId="706050D6" w:rsidR="00A17AAB" w:rsidRPr="00596699" w:rsidRDefault="00A17AAB" w:rsidP="00A17AA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bl>
    <w:p w14:paraId="3684FF67" w14:textId="56AB6664" w:rsidR="00F0274E" w:rsidRDefault="00F0274E">
      <w:pPr>
        <w:spacing w:after="200" w:line="276" w:lineRule="auto"/>
        <w:rPr>
          <w:rFonts w:eastAsia="Arial Unicode MS"/>
          <w:kern w:val="22"/>
          <w:szCs w:val="18"/>
        </w:rPr>
      </w:pPr>
      <w:r>
        <w:br w:type="page"/>
      </w:r>
    </w:p>
    <w:p w14:paraId="6F59BB00" w14:textId="2E1D19EC" w:rsidR="00AC0043" w:rsidRDefault="00C52FE1" w:rsidP="00B3152F">
      <w:pPr>
        <w:pStyle w:val="EC-Title-5"/>
        <w:outlineLvl w:val="0"/>
        <w:rPr>
          <w:i/>
        </w:rPr>
      </w:pPr>
      <w:bookmarkStart w:id="81" w:name="_Toc127531832"/>
      <w:bookmarkStart w:id="82" w:name="_Toc437442029"/>
      <w:r w:rsidRPr="009B5C9A">
        <w:lastRenderedPageBreak/>
        <w:t xml:space="preserve">Congenital </w:t>
      </w:r>
      <w:r w:rsidR="00516E0D" w:rsidRPr="009B5C9A">
        <w:t>t</w:t>
      </w:r>
      <w:r w:rsidR="00AC0043" w:rsidRPr="009B5C9A">
        <w:t>oxoplasmosis</w:t>
      </w:r>
      <w:bookmarkEnd w:id="81"/>
      <w:r w:rsidR="00AC0043">
        <w:t xml:space="preserve"> </w:t>
      </w:r>
      <w:bookmarkEnd w:id="82"/>
    </w:p>
    <w:p w14:paraId="29BD5D93" w14:textId="670A9193" w:rsidR="00EE1F3C" w:rsidRPr="00A32FE1" w:rsidRDefault="00CB3144" w:rsidP="00EE1F3C">
      <w:pPr>
        <w:pStyle w:val="EC-Para"/>
        <w:jc w:val="right"/>
        <w:rPr>
          <w:b/>
          <w:lang w:eastAsia="en-US"/>
        </w:rPr>
      </w:pPr>
      <w:r>
        <w:rPr>
          <w:b/>
          <w:lang w:eastAsia="en-US"/>
        </w:rPr>
        <w:t>Last updated: 13 August 2024</w:t>
      </w:r>
    </w:p>
    <w:p w14:paraId="60BBA3A5" w14:textId="7A4028BB"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1102015E" w14:textId="77777777" w:rsidR="005D1339" w:rsidRDefault="005D1339" w:rsidP="00D77D35">
      <w:pPr>
        <w:pStyle w:val="EC-Para"/>
        <w:jc w:val="right"/>
        <w:rPr>
          <w:b/>
          <w:lang w:eastAsia="en-US"/>
        </w:rPr>
      </w:pPr>
    </w:p>
    <w:p w14:paraId="09BBA468" w14:textId="77777777" w:rsidR="00AC0043" w:rsidRPr="00B20A61" w:rsidRDefault="00AC0043" w:rsidP="00AC0043">
      <w:pPr>
        <w:autoSpaceDE w:val="0"/>
        <w:autoSpaceDN w:val="0"/>
        <w:adjustRightInd w:val="0"/>
        <w:rPr>
          <w:rFonts w:eastAsia="Times New Roman" w:cs="Tahoma"/>
          <w:color w:val="333333"/>
          <w:szCs w:val="18"/>
          <w:lang w:val="en-US" w:eastAsia="en-GB"/>
        </w:rPr>
      </w:pPr>
      <w:r>
        <w:rPr>
          <w:rFonts w:eastAsiaTheme="minorHAnsi" w:cs="Tahoma"/>
          <w:szCs w:val="18"/>
        </w:rPr>
        <w:t xml:space="preserve">Congenital toxoplasmosis </w:t>
      </w:r>
      <w:r>
        <w:rPr>
          <w:rFonts w:eastAsia="Times New Roman" w:cs="Tahoma"/>
          <w:szCs w:val="18"/>
          <w:lang w:val="en-US" w:eastAsia="en-GB"/>
        </w:rPr>
        <w:t xml:space="preserve">is an </w:t>
      </w:r>
      <w:r w:rsidRPr="00262735">
        <w:rPr>
          <w:rFonts w:eastAsia="Times New Roman" w:cs="Tahoma"/>
          <w:szCs w:val="18"/>
          <w:lang w:val="en-US" w:eastAsia="en-GB"/>
        </w:rPr>
        <w:t xml:space="preserve">infection caused by the parasite </w:t>
      </w:r>
      <w:r w:rsidRPr="00262735">
        <w:rPr>
          <w:rFonts w:eastAsia="Times New Roman" w:cs="Tahoma"/>
          <w:i/>
          <w:szCs w:val="18"/>
          <w:lang w:val="en-US" w:eastAsia="en-GB"/>
        </w:rPr>
        <w:t>Toxoplasma gondii</w:t>
      </w:r>
      <w:r>
        <w:rPr>
          <w:rFonts w:eastAsia="Times New Roman" w:cs="Tahoma"/>
          <w:i/>
          <w:szCs w:val="18"/>
          <w:lang w:val="en-US" w:eastAsia="en-GB"/>
        </w:rPr>
        <w:t xml:space="preserve"> </w:t>
      </w:r>
      <w:r w:rsidRPr="0099570F">
        <w:rPr>
          <w:rFonts w:eastAsia="Times New Roman" w:cs="Tahoma"/>
          <w:szCs w:val="18"/>
          <w:lang w:val="en-US" w:eastAsia="en-GB"/>
        </w:rPr>
        <w:t xml:space="preserve">and </w:t>
      </w:r>
      <w:r>
        <w:rPr>
          <w:rFonts w:eastAsia="Times New Roman" w:cs="Tahoma"/>
          <w:szCs w:val="18"/>
          <w:lang w:val="en-US" w:eastAsia="en-GB"/>
        </w:rPr>
        <w:t>transmitted by acutely infected pregnant women through placenta</w:t>
      </w:r>
      <w:r w:rsidRPr="00C34F2C">
        <w:rPr>
          <w:rFonts w:eastAsia="Times New Roman" w:cs="Tahoma"/>
          <w:szCs w:val="18"/>
          <w:lang w:val="en-US" w:eastAsia="en-GB"/>
        </w:rPr>
        <w:t xml:space="preserve"> to their unborn fetus</w:t>
      </w:r>
      <w:r w:rsidRPr="00262735">
        <w:rPr>
          <w:rFonts w:eastAsia="Times New Roman" w:cs="Tahoma"/>
          <w:szCs w:val="18"/>
          <w:lang w:val="en-US" w:eastAsia="en-GB"/>
        </w:rPr>
        <w:t>.</w:t>
      </w:r>
      <w:r w:rsidRPr="00262735">
        <w:rPr>
          <w:rStyle w:val="Emphasis"/>
          <w:rFonts w:cs="Tahoma"/>
          <w:szCs w:val="18"/>
          <w:lang w:val="en"/>
        </w:rPr>
        <w:t xml:space="preserve"> </w:t>
      </w:r>
      <w:r w:rsidRPr="00262735">
        <w:rPr>
          <w:rFonts w:eastAsiaTheme="minorHAnsi" w:cs="Tahoma"/>
          <w:szCs w:val="18"/>
        </w:rPr>
        <w:t>For a more detailed description of the disease and its epidemiology</w:t>
      </w:r>
      <w:r>
        <w:rPr>
          <w:rFonts w:eastAsiaTheme="minorHAnsi" w:cs="Tahoma"/>
          <w:szCs w:val="18"/>
        </w:rPr>
        <w:t>,</w:t>
      </w:r>
      <w:r w:rsidRPr="00262735">
        <w:rPr>
          <w:rFonts w:eastAsiaTheme="minorHAnsi" w:cs="Tahoma"/>
          <w:szCs w:val="18"/>
        </w:rPr>
        <w:t xml:space="preserve"> please </w:t>
      </w:r>
      <w:r w:rsidRPr="0061144E">
        <w:rPr>
          <w:rFonts w:eastAsiaTheme="minorHAnsi" w:cs="Tahoma"/>
          <w:szCs w:val="18"/>
        </w:rPr>
        <w:t>click</w:t>
      </w:r>
      <w:r w:rsidRPr="0061144E">
        <w:rPr>
          <w:rFonts w:cs="Tahoma"/>
          <w:szCs w:val="18"/>
        </w:rPr>
        <w:t xml:space="preserve"> </w:t>
      </w:r>
      <w:hyperlink r:id="rId89" w:history="1">
        <w:r w:rsidRPr="0061144E">
          <w:rPr>
            <w:rStyle w:val="Hyperlink"/>
            <w:i/>
            <w:sz w:val="18"/>
            <w:szCs w:val="18"/>
          </w:rPr>
          <w:t>here</w:t>
        </w:r>
      </w:hyperlink>
      <w:r w:rsidRPr="0061144E">
        <w:rPr>
          <w:rStyle w:val="Hyperlink"/>
          <w:i/>
          <w:sz w:val="18"/>
          <w:szCs w:val="18"/>
        </w:rPr>
        <w:t>.</w:t>
      </w:r>
      <w:r w:rsidRPr="00F44E9A">
        <w:rPr>
          <w:rStyle w:val="Hyperlink"/>
          <w:i/>
        </w:rPr>
        <w:t xml:space="preserve">  </w:t>
      </w:r>
    </w:p>
    <w:p w14:paraId="7E9EDD2E" w14:textId="77777777" w:rsidR="00AC0043" w:rsidRDefault="00AC0043" w:rsidP="00B3152F">
      <w:pPr>
        <w:pStyle w:val="EC-Title-6"/>
        <w:outlineLvl w:val="1"/>
        <w:rPr>
          <w:rFonts w:cs="Tahoma"/>
        </w:rPr>
      </w:pPr>
      <w:r>
        <w:rPr>
          <w:rFonts w:cs="Tahoma"/>
        </w:rPr>
        <w:t>Data</w:t>
      </w:r>
    </w:p>
    <w:p w14:paraId="2F981EC7" w14:textId="0F7A11D8" w:rsidR="00AC0043" w:rsidRPr="00516E0D" w:rsidRDefault="00AC0043" w:rsidP="00AC0043">
      <w:pPr>
        <w:pStyle w:val="EC-Para"/>
        <w:jc w:val="both"/>
        <w:rPr>
          <w:rFonts w:cs="Tahoma"/>
        </w:rPr>
      </w:pPr>
      <w:r>
        <w:rPr>
          <w:rFonts w:cs="Tahoma"/>
        </w:rPr>
        <w:t xml:space="preserve">The </w:t>
      </w:r>
      <w:r w:rsidRPr="00516E0D">
        <w:rPr>
          <w:rFonts w:cs="Tahoma"/>
        </w:rPr>
        <w:t xml:space="preserve">Surveillance Atlas of Infectious Diseases displays data on congenital toxoplasmosis reported by the </w:t>
      </w:r>
      <w:r w:rsidR="00E75405" w:rsidRPr="00516E0D">
        <w:rPr>
          <w:rFonts w:cs="Tahoma"/>
        </w:rPr>
        <w:t>EU/EEA countries</w:t>
      </w:r>
      <w:r w:rsidRPr="00516E0D">
        <w:rPr>
          <w:rFonts w:cs="Tahoma"/>
        </w:rPr>
        <w:t>. Cases are to be reported according to the 201</w:t>
      </w:r>
      <w:r w:rsidR="00F53BCA" w:rsidRPr="00516E0D">
        <w:rPr>
          <w:rFonts w:cs="Tahoma"/>
        </w:rPr>
        <w:t>8</w:t>
      </w:r>
      <w:r w:rsidRPr="00516E0D">
        <w:rPr>
          <w:rFonts w:cs="Tahoma"/>
        </w:rPr>
        <w:t xml:space="preserve"> EU case definition for congenital toxoplasmosis</w:t>
      </w:r>
      <w:r w:rsidRPr="00516E0D">
        <w:rPr>
          <w:rStyle w:val="FootnoteReference"/>
          <w:rFonts w:cs="Tahoma"/>
        </w:rPr>
        <w:footnoteReference w:id="36"/>
      </w:r>
      <w:r w:rsidRPr="00516E0D">
        <w:rPr>
          <w:rFonts w:cs="Tahoma"/>
        </w:rPr>
        <w:t>:</w:t>
      </w:r>
    </w:p>
    <w:p w14:paraId="79E195E0" w14:textId="77777777" w:rsidR="00AC0043" w:rsidRPr="00516E0D" w:rsidRDefault="00AC0043" w:rsidP="00AC0043">
      <w:pPr>
        <w:autoSpaceDE w:val="0"/>
        <w:autoSpaceDN w:val="0"/>
        <w:adjustRightInd w:val="0"/>
        <w:spacing w:before="60" w:after="60"/>
        <w:rPr>
          <w:rFonts w:eastAsiaTheme="minorHAnsi" w:cs="Tahoma"/>
          <w:b/>
          <w:bCs/>
          <w:color w:val="000000"/>
          <w:szCs w:val="18"/>
        </w:rPr>
      </w:pPr>
    </w:p>
    <w:p w14:paraId="5E3FAD8E" w14:textId="590B478F" w:rsidR="00AC0043" w:rsidRPr="00516E0D" w:rsidRDefault="00AC0043" w:rsidP="00AC0043">
      <w:pPr>
        <w:autoSpaceDE w:val="0"/>
        <w:autoSpaceDN w:val="0"/>
        <w:adjustRightInd w:val="0"/>
        <w:spacing w:before="60" w:after="60"/>
        <w:rPr>
          <w:rFonts w:eastAsiaTheme="minorHAnsi" w:cs="Tahoma"/>
          <w:color w:val="000000"/>
          <w:szCs w:val="18"/>
        </w:rPr>
      </w:pPr>
      <w:r w:rsidRPr="00516E0D">
        <w:rPr>
          <w:rFonts w:eastAsiaTheme="minorHAnsi" w:cs="Tahoma"/>
          <w:b/>
          <w:bCs/>
          <w:color w:val="000000"/>
          <w:szCs w:val="18"/>
        </w:rPr>
        <w:t xml:space="preserve">Clinical criteria </w:t>
      </w:r>
    </w:p>
    <w:p w14:paraId="4BF2121A" w14:textId="2E6A3778" w:rsidR="00AC0043" w:rsidRPr="00516E0D" w:rsidRDefault="00AC0043" w:rsidP="00AC004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Not relevant for surveillance purposes.</w:t>
      </w:r>
    </w:p>
    <w:p w14:paraId="20AD5068" w14:textId="77777777" w:rsidR="00AC0043" w:rsidRPr="00516E0D" w:rsidRDefault="00AC0043" w:rsidP="00AC0043">
      <w:pPr>
        <w:autoSpaceDE w:val="0"/>
        <w:autoSpaceDN w:val="0"/>
        <w:adjustRightInd w:val="0"/>
        <w:spacing w:before="60" w:after="60"/>
        <w:rPr>
          <w:rFonts w:eastAsiaTheme="minorHAnsi" w:cs="Tahoma"/>
          <w:color w:val="000000"/>
          <w:szCs w:val="18"/>
        </w:rPr>
      </w:pPr>
      <w:r w:rsidRPr="00516E0D">
        <w:rPr>
          <w:rFonts w:eastAsiaTheme="minorHAnsi" w:cs="Tahoma"/>
          <w:b/>
          <w:bCs/>
          <w:color w:val="000000"/>
          <w:szCs w:val="18"/>
        </w:rPr>
        <w:t xml:space="preserve">Laboratory criteria </w:t>
      </w:r>
    </w:p>
    <w:p w14:paraId="33F25AE8" w14:textId="77777777" w:rsidR="00AC0043" w:rsidRPr="00516E0D" w:rsidRDefault="00AC0043" w:rsidP="00AC004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 xml:space="preserve">At least one of the following four: </w:t>
      </w:r>
    </w:p>
    <w:p w14:paraId="739647CD" w14:textId="77777777" w:rsidR="00AC0043" w:rsidRPr="00516E0D" w:rsidRDefault="00AC0043" w:rsidP="00AC004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 xml:space="preserve">— Demonstration of </w:t>
      </w:r>
      <w:r w:rsidRPr="00516E0D">
        <w:rPr>
          <w:rFonts w:eastAsiaTheme="minorHAnsi" w:cs="Tahoma"/>
          <w:i/>
          <w:iCs/>
          <w:color w:val="000000"/>
          <w:szCs w:val="18"/>
        </w:rPr>
        <w:t xml:space="preserve">Toxoplasma gondii </w:t>
      </w:r>
      <w:r w:rsidRPr="00516E0D">
        <w:rPr>
          <w:rFonts w:eastAsiaTheme="minorHAnsi" w:cs="Tahoma"/>
          <w:color w:val="000000"/>
          <w:szCs w:val="18"/>
        </w:rPr>
        <w:t xml:space="preserve">in body tissues or </w:t>
      </w:r>
      <w:proofErr w:type="gramStart"/>
      <w:r w:rsidRPr="00516E0D">
        <w:rPr>
          <w:rFonts w:eastAsiaTheme="minorHAnsi" w:cs="Tahoma"/>
          <w:color w:val="000000"/>
          <w:szCs w:val="18"/>
        </w:rPr>
        <w:t>fluids;</w:t>
      </w:r>
      <w:proofErr w:type="gramEnd"/>
      <w:r w:rsidRPr="00516E0D">
        <w:rPr>
          <w:rFonts w:eastAsiaTheme="minorHAnsi" w:cs="Tahoma"/>
          <w:color w:val="000000"/>
          <w:szCs w:val="18"/>
        </w:rPr>
        <w:t xml:space="preserve"> </w:t>
      </w:r>
    </w:p>
    <w:p w14:paraId="674D7549" w14:textId="77777777" w:rsidR="00AC0043" w:rsidRPr="00516E0D" w:rsidRDefault="00AC0043" w:rsidP="00AC004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 xml:space="preserve">— Detection of </w:t>
      </w:r>
      <w:r w:rsidRPr="00516E0D">
        <w:rPr>
          <w:rFonts w:eastAsiaTheme="minorHAnsi" w:cs="Tahoma"/>
          <w:i/>
          <w:iCs/>
          <w:color w:val="000000"/>
          <w:szCs w:val="18"/>
        </w:rPr>
        <w:t xml:space="preserve">Toxoplasma gondii </w:t>
      </w:r>
      <w:r w:rsidRPr="00516E0D">
        <w:rPr>
          <w:rFonts w:eastAsiaTheme="minorHAnsi" w:cs="Tahoma"/>
          <w:color w:val="000000"/>
          <w:szCs w:val="18"/>
        </w:rPr>
        <w:t xml:space="preserve">nucleic acid in a clinical </w:t>
      </w:r>
      <w:proofErr w:type="gramStart"/>
      <w:r w:rsidRPr="00516E0D">
        <w:rPr>
          <w:rFonts w:eastAsiaTheme="minorHAnsi" w:cs="Tahoma"/>
          <w:color w:val="000000"/>
          <w:szCs w:val="18"/>
        </w:rPr>
        <w:t>specimen;</w:t>
      </w:r>
      <w:proofErr w:type="gramEnd"/>
      <w:r w:rsidRPr="00516E0D">
        <w:rPr>
          <w:rFonts w:eastAsiaTheme="minorHAnsi" w:cs="Tahoma"/>
          <w:color w:val="000000"/>
          <w:szCs w:val="18"/>
        </w:rPr>
        <w:t xml:space="preserve"> </w:t>
      </w:r>
    </w:p>
    <w:p w14:paraId="21996E6D" w14:textId="77777777" w:rsidR="00AC0043" w:rsidRPr="00516E0D" w:rsidRDefault="00AC0043" w:rsidP="00AC004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 xml:space="preserve">— </w:t>
      </w:r>
      <w:r w:rsidRPr="00516E0D">
        <w:rPr>
          <w:rFonts w:eastAsiaTheme="minorHAnsi" w:cs="Tahoma"/>
          <w:i/>
          <w:iCs/>
          <w:color w:val="000000"/>
          <w:szCs w:val="18"/>
        </w:rPr>
        <w:t xml:space="preserve">Toxoplasma gondii </w:t>
      </w:r>
      <w:r w:rsidRPr="00516E0D">
        <w:rPr>
          <w:rFonts w:eastAsiaTheme="minorHAnsi" w:cs="Tahoma"/>
          <w:color w:val="000000"/>
          <w:szCs w:val="18"/>
        </w:rPr>
        <w:t xml:space="preserve">specific antibody response (IgM, IgG, IgA) in a </w:t>
      </w:r>
      <w:proofErr w:type="gramStart"/>
      <w:r w:rsidRPr="00516E0D">
        <w:rPr>
          <w:rFonts w:eastAsiaTheme="minorHAnsi" w:cs="Tahoma"/>
          <w:color w:val="000000"/>
          <w:szCs w:val="18"/>
        </w:rPr>
        <w:t>new-born;</w:t>
      </w:r>
      <w:proofErr w:type="gramEnd"/>
      <w:r w:rsidRPr="00516E0D">
        <w:rPr>
          <w:rFonts w:eastAsiaTheme="minorHAnsi" w:cs="Tahoma"/>
          <w:color w:val="000000"/>
          <w:szCs w:val="18"/>
        </w:rPr>
        <w:t xml:space="preserve"> </w:t>
      </w:r>
    </w:p>
    <w:p w14:paraId="162E1D92" w14:textId="77777777" w:rsidR="00AC0043" w:rsidRPr="00516E0D" w:rsidRDefault="00AC0043" w:rsidP="00AC004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 xml:space="preserve">— Persistently stable IgG </w:t>
      </w:r>
      <w:r w:rsidRPr="00516E0D">
        <w:rPr>
          <w:rFonts w:eastAsiaTheme="minorHAnsi" w:cs="Tahoma"/>
          <w:i/>
          <w:iCs/>
          <w:color w:val="000000"/>
          <w:szCs w:val="18"/>
        </w:rPr>
        <w:t xml:space="preserve">Toxoplasma gondii </w:t>
      </w:r>
      <w:r w:rsidRPr="00516E0D">
        <w:rPr>
          <w:rFonts w:eastAsiaTheme="minorHAnsi" w:cs="Tahoma"/>
          <w:color w:val="000000"/>
          <w:szCs w:val="18"/>
        </w:rPr>
        <w:t xml:space="preserve">titres in an infant (&lt; 12 months of age). </w:t>
      </w:r>
    </w:p>
    <w:p w14:paraId="3DA7E15E" w14:textId="20DBE8D5" w:rsidR="00B67895" w:rsidRPr="00516E0D" w:rsidRDefault="00B67895" w:rsidP="00516E0D">
      <w:pPr>
        <w:pStyle w:val="CM4"/>
        <w:spacing w:before="60" w:after="60"/>
        <w:rPr>
          <w:rFonts w:ascii="Tahoma" w:hAnsi="Tahoma" w:cs="Tahoma"/>
          <w:sz w:val="18"/>
          <w:szCs w:val="18"/>
        </w:rPr>
      </w:pPr>
      <w:r w:rsidRPr="00516E0D">
        <w:rPr>
          <w:rFonts w:ascii="Tahoma" w:hAnsi="Tahoma" w:cs="Tahoma"/>
          <w:b/>
          <w:sz w:val="18"/>
          <w:szCs w:val="18"/>
        </w:rPr>
        <w:t xml:space="preserve">Epidemiological Criteria </w:t>
      </w:r>
      <w:r w:rsidRPr="00516E0D">
        <w:rPr>
          <w:rFonts w:ascii="Tahoma" w:hAnsi="Tahoma" w:cs="Tahoma"/>
          <w:sz w:val="18"/>
          <w:szCs w:val="18"/>
        </w:rPr>
        <w:t>NA</w:t>
      </w:r>
    </w:p>
    <w:p w14:paraId="28190ACC" w14:textId="77777777" w:rsidR="00B67895" w:rsidRPr="00516E0D" w:rsidRDefault="00B67895" w:rsidP="00516E0D">
      <w:pPr>
        <w:pStyle w:val="Default"/>
        <w:rPr>
          <w:rFonts w:ascii="Tahoma" w:hAnsi="Tahoma" w:cs="Tahoma"/>
          <w:sz w:val="18"/>
          <w:szCs w:val="18"/>
        </w:rPr>
      </w:pPr>
    </w:p>
    <w:p w14:paraId="3562334B" w14:textId="3ED5717C" w:rsidR="00AC0043" w:rsidRPr="00516E0D" w:rsidRDefault="00AC0043" w:rsidP="00AC0043">
      <w:pPr>
        <w:pStyle w:val="CM4"/>
        <w:spacing w:before="60" w:after="60"/>
        <w:rPr>
          <w:rFonts w:ascii="Tahoma" w:hAnsi="Tahoma" w:cs="Tahoma"/>
          <w:color w:val="000000"/>
          <w:sz w:val="18"/>
          <w:szCs w:val="18"/>
        </w:rPr>
      </w:pPr>
      <w:r w:rsidRPr="00516E0D">
        <w:rPr>
          <w:rFonts w:ascii="Tahoma" w:hAnsi="Tahoma" w:cs="Tahoma"/>
          <w:b/>
          <w:sz w:val="18"/>
          <w:szCs w:val="18"/>
        </w:rPr>
        <w:t>Case classification</w:t>
      </w:r>
      <w:r w:rsidRPr="00516E0D">
        <w:rPr>
          <w:rFonts w:ascii="Tahoma" w:hAnsi="Tahoma" w:cs="Tahoma"/>
          <w:color w:val="000000"/>
          <w:sz w:val="18"/>
          <w:szCs w:val="18"/>
        </w:rPr>
        <w:t xml:space="preserve"> </w:t>
      </w:r>
    </w:p>
    <w:p w14:paraId="1D9A1E35" w14:textId="77777777" w:rsidR="00516E0D" w:rsidRPr="00516E0D" w:rsidRDefault="00744E0D" w:rsidP="00516E0D">
      <w:pPr>
        <w:pStyle w:val="Default"/>
        <w:rPr>
          <w:rFonts w:ascii="Tahoma" w:hAnsi="Tahoma" w:cs="Tahoma"/>
          <w:sz w:val="18"/>
          <w:szCs w:val="18"/>
        </w:rPr>
      </w:pPr>
      <w:r w:rsidRPr="00516E0D">
        <w:rPr>
          <w:rFonts w:ascii="Tahoma" w:hAnsi="Tahoma" w:cs="Tahoma"/>
          <w:sz w:val="18"/>
          <w:szCs w:val="18"/>
        </w:rPr>
        <w:t xml:space="preserve">A. Possible case NA </w:t>
      </w:r>
      <w:r w:rsidRPr="00516E0D">
        <w:rPr>
          <w:rFonts w:ascii="Tahoma" w:hAnsi="Tahoma" w:cs="Tahoma"/>
          <w:sz w:val="18"/>
          <w:szCs w:val="18"/>
        </w:rPr>
        <w:br/>
        <w:t>B. Probable case NA</w:t>
      </w:r>
    </w:p>
    <w:p w14:paraId="13569181" w14:textId="4E834926" w:rsidR="00AC0043" w:rsidRPr="00516E0D" w:rsidRDefault="00744E0D" w:rsidP="00516E0D">
      <w:pPr>
        <w:pStyle w:val="Default"/>
        <w:rPr>
          <w:rFonts w:eastAsiaTheme="minorHAnsi"/>
          <w:sz w:val="18"/>
          <w:szCs w:val="18"/>
        </w:rPr>
      </w:pPr>
      <w:r w:rsidRPr="00516E0D">
        <w:rPr>
          <w:rFonts w:ascii="Tahoma" w:eastAsiaTheme="minorHAnsi" w:hAnsi="Tahoma" w:cs="Tahoma"/>
          <w:sz w:val="18"/>
          <w:szCs w:val="18"/>
        </w:rPr>
        <w:t>C</w:t>
      </w:r>
      <w:r w:rsidR="00AC0043" w:rsidRPr="00516E0D">
        <w:rPr>
          <w:rFonts w:ascii="Tahoma" w:eastAsiaTheme="minorHAnsi" w:hAnsi="Tahoma" w:cs="Tahoma"/>
          <w:sz w:val="18"/>
          <w:szCs w:val="18"/>
        </w:rPr>
        <w:t xml:space="preserve">. </w:t>
      </w:r>
      <w:r w:rsidR="00AC0043" w:rsidRPr="00516E0D">
        <w:rPr>
          <w:rFonts w:ascii="Tahoma" w:eastAsiaTheme="minorHAnsi" w:hAnsi="Tahoma" w:cs="Tahoma"/>
          <w:bCs/>
          <w:sz w:val="18"/>
          <w:szCs w:val="18"/>
        </w:rPr>
        <w:t xml:space="preserve">Confirmed case: </w:t>
      </w:r>
      <w:r w:rsidR="00AC0043" w:rsidRPr="00516E0D">
        <w:rPr>
          <w:rFonts w:ascii="Tahoma" w:eastAsiaTheme="minorHAnsi" w:hAnsi="Tahoma" w:cs="Tahoma"/>
          <w:sz w:val="18"/>
          <w:szCs w:val="18"/>
        </w:rPr>
        <w:t>Any</w:t>
      </w:r>
      <w:r w:rsidR="00AC0043" w:rsidRPr="00516E0D">
        <w:rPr>
          <w:rFonts w:ascii="Tahoma" w:eastAsiaTheme="minorHAnsi" w:hAnsi="Tahoma"/>
          <w:sz w:val="18"/>
          <w:szCs w:val="18"/>
        </w:rPr>
        <w:t xml:space="preserve"> infant meeting the laboratory criteria</w:t>
      </w:r>
    </w:p>
    <w:p w14:paraId="7B18B064" w14:textId="77777777" w:rsidR="00AC0043" w:rsidRPr="00516E0D" w:rsidRDefault="00AC0043" w:rsidP="00AC0043">
      <w:pPr>
        <w:pStyle w:val="Default"/>
        <w:rPr>
          <w:rFonts w:ascii="Tahoma" w:eastAsiaTheme="minorHAnsi" w:hAnsi="Tahoma" w:cs="Tahoma"/>
          <w:sz w:val="18"/>
          <w:szCs w:val="18"/>
          <w:lang w:eastAsia="en-US"/>
        </w:rPr>
      </w:pPr>
    </w:p>
    <w:p w14:paraId="374EAE82" w14:textId="255604C2" w:rsidR="00516E0D" w:rsidRPr="00516E0D" w:rsidRDefault="00516E0D" w:rsidP="00AC0043">
      <w:pPr>
        <w:autoSpaceDE w:val="0"/>
        <w:autoSpaceDN w:val="0"/>
        <w:adjustRightInd w:val="0"/>
        <w:rPr>
          <w:rFonts w:cs="Tahoma"/>
          <w:szCs w:val="18"/>
        </w:rPr>
      </w:pPr>
      <w:r w:rsidRPr="00516E0D">
        <w:rPr>
          <w:rFonts w:cs="Tahoma"/>
          <w:szCs w:val="18"/>
        </w:rPr>
        <w:t>------------------------------</w:t>
      </w:r>
    </w:p>
    <w:p w14:paraId="7D33E4CF" w14:textId="17A6C6DA" w:rsidR="00AC0043" w:rsidRDefault="00516E0D" w:rsidP="00AC0043">
      <w:pPr>
        <w:autoSpaceDE w:val="0"/>
        <w:autoSpaceDN w:val="0"/>
        <w:adjustRightInd w:val="0"/>
        <w:rPr>
          <w:rFonts w:eastAsiaTheme="minorHAnsi" w:cs="Tahoma"/>
          <w:szCs w:val="18"/>
        </w:rPr>
      </w:pPr>
      <w:r w:rsidRPr="00516E0D">
        <w:rPr>
          <w:rFonts w:cs="Tahoma"/>
          <w:szCs w:val="18"/>
        </w:rPr>
        <w:t>(</w:t>
      </w:r>
      <w:r w:rsidR="00AC0043" w:rsidRPr="00516E0D">
        <w:rPr>
          <w:rFonts w:cs="Tahoma"/>
          <w:szCs w:val="18"/>
        </w:rPr>
        <w:t>There are no differences between the 201</w:t>
      </w:r>
      <w:r w:rsidRPr="00516E0D">
        <w:rPr>
          <w:rFonts w:cs="Tahoma"/>
          <w:szCs w:val="18"/>
        </w:rPr>
        <w:t>8 EU case definition and those of 2008 and 2012</w:t>
      </w:r>
      <w:r w:rsidR="00AC0043" w:rsidRPr="00516E0D">
        <w:rPr>
          <w:rFonts w:cs="Tahoma"/>
          <w:szCs w:val="18"/>
        </w:rPr>
        <w:t>.</w:t>
      </w:r>
      <w:r w:rsidRPr="00516E0D">
        <w:rPr>
          <w:rFonts w:cs="Tahoma"/>
          <w:szCs w:val="18"/>
        </w:rPr>
        <w:t>)</w:t>
      </w:r>
    </w:p>
    <w:p w14:paraId="4ADDDC66" w14:textId="77777777" w:rsidR="00AC0043" w:rsidRDefault="00AC0043" w:rsidP="00AC0043">
      <w:pPr>
        <w:pStyle w:val="EC-Para"/>
        <w:spacing w:after="0" w:line="240" w:lineRule="auto"/>
        <w:jc w:val="both"/>
        <w:rPr>
          <w:color w:val="FF0000"/>
          <w:lang w:eastAsia="en-US"/>
        </w:rPr>
      </w:pPr>
    </w:p>
    <w:p w14:paraId="3C5D10FE" w14:textId="77777777" w:rsidR="00AC0043" w:rsidRPr="00452AF8" w:rsidRDefault="00AC0043" w:rsidP="0061144E">
      <w:pPr>
        <w:pStyle w:val="EC-Title-6"/>
      </w:pPr>
      <w:r w:rsidRPr="00BD0ACE">
        <w:t xml:space="preserve">Data collection </w:t>
      </w:r>
      <w:r w:rsidRPr="0061144E">
        <w:t>and</w:t>
      </w:r>
      <w:r w:rsidRPr="00BD0ACE">
        <w:t xml:space="preserve"> analysis </w:t>
      </w:r>
    </w:p>
    <w:p w14:paraId="5961B53E" w14:textId="1300055D" w:rsidR="00AC0043" w:rsidRDefault="00AC0043" w:rsidP="00AC004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C345F5">
        <w:rPr>
          <w:rFonts w:cs="Tahoma"/>
        </w:rPr>
        <w:t>EU/EEA countries</w:t>
      </w:r>
      <w:r>
        <w:rPr>
          <w:rFonts w:cs="Tahoma"/>
        </w:rPr>
        <w:t>. C</w:t>
      </w:r>
      <w:r>
        <w:t>ountry population denominators by age group for the calculation of notification rates were obtained from Eurostat</w:t>
      </w:r>
      <w:r>
        <w:rPr>
          <w:rStyle w:val="FootnoteReference"/>
        </w:rPr>
        <w:footnoteReference w:id="37"/>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1472E49E" w14:textId="77777777" w:rsidR="00AC0043" w:rsidRDefault="00AC0043" w:rsidP="00AC0043">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 </w:t>
      </w:r>
    </w:p>
    <w:p w14:paraId="16B933C1" w14:textId="52C35020" w:rsidR="00AC0043" w:rsidRDefault="00AC0043" w:rsidP="00AC0043">
      <w:pPr>
        <w:pStyle w:val="EC-Para"/>
        <w:spacing w:line="240" w:lineRule="auto"/>
        <w:jc w:val="both"/>
        <w:rPr>
          <w:rFonts w:cs="Tahoma"/>
        </w:rPr>
      </w:pPr>
      <w:r>
        <w:rPr>
          <w:rFonts w:cs="Tahoma"/>
        </w:rPr>
        <w:t>Surveillance systems across the EU/EEA countries are heterogeneous</w:t>
      </w:r>
      <w:r w:rsidR="00753DB2">
        <w:rPr>
          <w:rFonts w:cs="Tahoma"/>
        </w:rPr>
        <w:t>. Overviews of</w:t>
      </w:r>
      <w:r>
        <w:rPr>
          <w:rFonts w:cs="Tahoma"/>
        </w:rPr>
        <w:t xml:space="preserve"> surveillance systems </w:t>
      </w:r>
      <w:r w:rsidR="00753DB2">
        <w:rPr>
          <w:rFonts w:cs="Tahoma"/>
        </w:rPr>
        <w:t>and of the screening policies for pregnant women are</w:t>
      </w:r>
      <w:r>
        <w:rPr>
          <w:rFonts w:cs="Tahoma"/>
        </w:rPr>
        <w:t xml:space="preserve"> displayed in Annex</w:t>
      </w:r>
      <w:r w:rsidR="00753DB2">
        <w:rPr>
          <w:rFonts w:cs="Tahoma"/>
        </w:rPr>
        <w:t>es</w:t>
      </w:r>
      <w:r>
        <w:rPr>
          <w:rFonts w:cs="Tahoma"/>
        </w:rPr>
        <w:t xml:space="preserve"> 1</w:t>
      </w:r>
      <w:r w:rsidR="00753DB2">
        <w:rPr>
          <w:rFonts w:cs="Tahoma"/>
        </w:rPr>
        <w:t>&amp;2</w:t>
      </w:r>
      <w:r>
        <w:rPr>
          <w:rFonts w:cs="Tahoma"/>
        </w:rPr>
        <w:t>.</w:t>
      </w:r>
    </w:p>
    <w:p w14:paraId="34AF000A" w14:textId="77777777" w:rsidR="0061144E" w:rsidRDefault="0061144E" w:rsidP="00AC0043">
      <w:pPr>
        <w:pStyle w:val="EC-Para"/>
        <w:spacing w:line="240" w:lineRule="auto"/>
        <w:jc w:val="both"/>
        <w:rPr>
          <w:rFonts w:cs="Tahoma"/>
        </w:rPr>
      </w:pPr>
    </w:p>
    <w:p w14:paraId="5A0328FC" w14:textId="77777777" w:rsidR="00AC0043" w:rsidRPr="0072746F" w:rsidRDefault="00AC0043" w:rsidP="0061144E">
      <w:pPr>
        <w:pStyle w:val="EC-Title-6"/>
      </w:pPr>
      <w:r w:rsidRPr="0061144E">
        <w:t>Surveillance</w:t>
      </w:r>
      <w:r w:rsidRPr="0072746F">
        <w:t xml:space="preserve"> Atlas indicators</w:t>
      </w:r>
    </w:p>
    <w:p w14:paraId="46483C64" w14:textId="77777777" w:rsidR="00AC0043" w:rsidRDefault="00AC0043" w:rsidP="00AC0043">
      <w:pPr>
        <w:pStyle w:val="EC-Para"/>
        <w:rPr>
          <w:rFonts w:cs="Tahoma"/>
        </w:rPr>
      </w:pPr>
      <w:r w:rsidRPr="005E139C">
        <w:rPr>
          <w:rFonts w:cs="Tahoma"/>
        </w:rPr>
        <w:lastRenderedPageBreak/>
        <w:t>The Surveillan</w:t>
      </w:r>
      <w:r>
        <w:rPr>
          <w:rFonts w:cs="Tahoma"/>
        </w:rPr>
        <w:t>ce Atlas indicators for confirmed congenital toxoplasmosis</w:t>
      </w:r>
      <w:r w:rsidRPr="005E139C">
        <w:rPr>
          <w:rFonts w:cs="Tahoma"/>
        </w:rPr>
        <w:t xml:space="preserve"> are:</w:t>
      </w:r>
    </w:p>
    <w:p w14:paraId="5C4190EF" w14:textId="77777777" w:rsidR="00AC0043" w:rsidRPr="007B34B1" w:rsidRDefault="00AC0043" w:rsidP="000617B1">
      <w:pPr>
        <w:numPr>
          <w:ilvl w:val="0"/>
          <w:numId w:val="2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5A61FB09" w14:textId="77777777" w:rsidR="00AC0043" w:rsidRDefault="00AC0043" w:rsidP="000617B1">
      <w:pPr>
        <w:numPr>
          <w:ilvl w:val="0"/>
          <w:numId w:val="2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r>
        <w:rPr>
          <w:rFonts w:eastAsia="Arial Unicode MS" w:cs="Tahoma"/>
          <w:kern w:val="22"/>
          <w:szCs w:val="18"/>
        </w:rPr>
        <w:t xml:space="preserve">live </w:t>
      </w:r>
      <w:proofErr w:type="gramStart"/>
      <w:r>
        <w:rPr>
          <w:rFonts w:eastAsia="Arial Unicode MS" w:cs="Tahoma"/>
          <w:kern w:val="22"/>
          <w:szCs w:val="18"/>
        </w:rPr>
        <w:t>birth;</w:t>
      </w:r>
      <w:proofErr w:type="gramEnd"/>
    </w:p>
    <w:p w14:paraId="7BE87CC8" w14:textId="77777777" w:rsidR="00AC0043" w:rsidRPr="007B34B1" w:rsidRDefault="00AC0043" w:rsidP="000617B1">
      <w:pPr>
        <w:numPr>
          <w:ilvl w:val="0"/>
          <w:numId w:val="2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2107EFCE" w14:textId="77777777" w:rsidR="00AC0043" w:rsidRPr="007B34B1" w:rsidRDefault="00AC0043" w:rsidP="000617B1">
      <w:pPr>
        <w:numPr>
          <w:ilvl w:val="0"/>
          <w:numId w:val="2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Case fatality calculated as proportion of deaths among confirmed cases with known disease 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48878215"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11964E14"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4E3DFEB3" w14:textId="77777777" w:rsidR="00AC0043" w:rsidRPr="007B34B1"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3B610407" w14:textId="77777777" w:rsidR="00AC0043" w:rsidRDefault="00AC0043" w:rsidP="00AC0043">
      <w:pPr>
        <w:kinsoku w:val="0"/>
        <w:autoSpaceDE w:val="0"/>
        <w:autoSpaceDN w:val="0"/>
        <w:adjustRightInd w:val="0"/>
        <w:spacing w:line="200" w:lineRule="atLeast"/>
        <w:rPr>
          <w:rFonts w:eastAsia="Arial Unicode MS" w:cs="Tahoma"/>
          <w:kern w:val="22"/>
          <w:szCs w:val="18"/>
        </w:rPr>
      </w:pPr>
    </w:p>
    <w:p w14:paraId="13E442B5" w14:textId="77777777" w:rsidR="00AC0043" w:rsidRPr="007B34B1" w:rsidRDefault="00AC0043" w:rsidP="00AC004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36DFDC24" w14:textId="77777777" w:rsidR="00AC0043" w:rsidRDefault="00AC004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w:t>
      </w:r>
    </w:p>
    <w:p w14:paraId="450D285F" w14:textId="77777777" w:rsidR="00AC0043" w:rsidRPr="00E8283A" w:rsidRDefault="00AC0043" w:rsidP="00AC0043">
      <w:pPr>
        <w:kinsoku w:val="0"/>
        <w:autoSpaceDE w:val="0"/>
        <w:autoSpaceDN w:val="0"/>
        <w:adjustRightInd w:val="0"/>
        <w:spacing w:line="200" w:lineRule="atLeast"/>
        <w:rPr>
          <w:rFonts w:eastAsia="Arial Unicode MS" w:cs="Tahoma"/>
          <w:color w:val="000000"/>
          <w:kern w:val="22"/>
          <w:szCs w:val="18"/>
        </w:rPr>
      </w:pPr>
    </w:p>
    <w:p w14:paraId="24D28F71" w14:textId="77777777" w:rsidR="00AC0043" w:rsidRDefault="00AC0043" w:rsidP="00AC004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AC0043" w14:paraId="45DC4B02"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3CD5AE1B" w14:textId="77777777" w:rsidR="00AC0043" w:rsidRDefault="00AC0043" w:rsidP="00AC004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6C85034B" w14:textId="77777777" w:rsidR="00AC0043" w:rsidRDefault="00AC0043" w:rsidP="00AC0043">
            <w:pPr>
              <w:pStyle w:val="EC-Para"/>
              <w:rPr>
                <w:lang w:eastAsia="en-US"/>
              </w:rPr>
            </w:pPr>
            <w:r>
              <w:rPr>
                <w:lang w:eastAsia="en-US"/>
              </w:rPr>
              <w:t>Comment</w:t>
            </w:r>
          </w:p>
        </w:tc>
      </w:tr>
      <w:tr w:rsidR="00AC0043" w14:paraId="22F4AA31"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2F3661D2" w14:textId="77777777" w:rsidR="00AC0043" w:rsidRDefault="00AC0043" w:rsidP="00AC004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45383D0" w14:textId="77777777" w:rsidR="00AC0043" w:rsidRDefault="00AC0043" w:rsidP="00AC004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AC0043" w14:paraId="3AE366EC" w14:textId="77777777" w:rsidTr="00AC0043">
        <w:tc>
          <w:tcPr>
            <w:tcW w:w="1101" w:type="dxa"/>
            <w:tcBorders>
              <w:top w:val="single" w:sz="4" w:space="0" w:color="000000"/>
              <w:left w:val="single" w:sz="4" w:space="0" w:color="000000"/>
              <w:bottom w:val="single" w:sz="4" w:space="0" w:color="000000"/>
              <w:right w:val="single" w:sz="4" w:space="0" w:color="000000"/>
            </w:tcBorders>
            <w:hideMark/>
          </w:tcPr>
          <w:p w14:paraId="1F31D54C" w14:textId="77777777" w:rsidR="00AC0043" w:rsidRDefault="00AC0043" w:rsidP="00AC004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5D080A0" w14:textId="77777777" w:rsidR="00AC0043" w:rsidRDefault="00AC0043" w:rsidP="00AC004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40F03BAF" w14:textId="77777777" w:rsidR="00AC0043" w:rsidRDefault="00AC0043" w:rsidP="00AC0043">
      <w:pPr>
        <w:pStyle w:val="EC-Para"/>
        <w:rPr>
          <w:lang w:eastAsia="en-US"/>
        </w:rPr>
      </w:pPr>
    </w:p>
    <w:p w14:paraId="5B2E7B25" w14:textId="5188AD68" w:rsidR="00AC0043" w:rsidRPr="0072746F" w:rsidRDefault="0055139E" w:rsidP="0061144E">
      <w:pPr>
        <w:pStyle w:val="EC-Title-6"/>
      </w:pPr>
      <w:r>
        <w:t>Data quality</w:t>
      </w:r>
    </w:p>
    <w:p w14:paraId="7ED1E0C3" w14:textId="6213F6E4" w:rsidR="0097253D" w:rsidRDefault="0097253D" w:rsidP="0097253D">
      <w:pPr>
        <w:autoSpaceDE w:val="0"/>
        <w:autoSpaceDN w:val="0"/>
        <w:adjustRightInd w:val="0"/>
        <w:jc w:val="both"/>
        <w:rPr>
          <w:rFonts w:eastAsia="Arial Unicode MS" w:cs="Tahoma"/>
          <w:kern w:val="22"/>
          <w:szCs w:val="18"/>
        </w:rPr>
      </w:pPr>
      <w:bookmarkStart w:id="83" w:name="_Toc437442030"/>
      <w:r w:rsidRPr="009E3B9F">
        <w:rPr>
          <w:rFonts w:eastAsia="Arial Unicode MS" w:cs="Tahoma"/>
          <w:kern w:val="22"/>
          <w:szCs w:val="18"/>
        </w:rPr>
        <w:t xml:space="preserve">EU/EEA countries reporting data on </w:t>
      </w:r>
      <w:r w:rsidR="00733597" w:rsidRPr="00733597">
        <w:rPr>
          <w:rFonts w:cs="Tahoma"/>
          <w:szCs w:val="18"/>
        </w:rPr>
        <w:t>congenital toxoplasmosis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64FB2D1D" w14:textId="19B6612F"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Pr="00E95571">
        <w:rPr>
          <w:rFonts w:eastAsia="Arial Unicode MS" w:cs="Tahoma"/>
          <w:kern w:val="22"/>
          <w:szCs w:val="18"/>
        </w:rPr>
        <w:t xml:space="preserve">confirmed </w:t>
      </w:r>
      <w:r w:rsidR="00733597" w:rsidRPr="00733597">
        <w:rPr>
          <w:rFonts w:cs="Tahoma"/>
          <w:szCs w:val="18"/>
        </w:rPr>
        <w:t>congenital toxoplasmosis</w:t>
      </w:r>
      <w:r w:rsidR="00733597">
        <w:rPr>
          <w:rFonts w:cs="Tahoma"/>
          <w:szCs w:val="18"/>
        </w:rPr>
        <w:t xml:space="preserve"> cases</w:t>
      </w:r>
      <w:r>
        <w:rPr>
          <w:rFonts w:eastAsia="Arial Unicode MS" w:cs="Tahoma"/>
          <w:kern w:val="22"/>
          <w:szCs w:val="18"/>
        </w:rPr>
        <w:t xml:space="preserve"> are:</w:t>
      </w:r>
    </w:p>
    <w:p w14:paraId="4AFC0A9F" w14:textId="36678FD2"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423065B4" w14:textId="45C36662"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743B9557" w14:textId="77777777" w:rsidR="009D56FF" w:rsidRDefault="009D56FF" w:rsidP="009D56FF">
      <w:pPr>
        <w:pStyle w:val="ListParagraph"/>
        <w:autoSpaceDE w:val="0"/>
        <w:autoSpaceDN w:val="0"/>
        <w:adjustRightInd w:val="0"/>
        <w:jc w:val="both"/>
        <w:rPr>
          <w:rFonts w:eastAsia="Arial Unicode MS" w:cs="Tahoma"/>
          <w:kern w:val="22"/>
          <w:szCs w:val="18"/>
        </w:rPr>
      </w:pPr>
    </w:p>
    <w:p w14:paraId="7389159D" w14:textId="77777777" w:rsidR="00AC0043" w:rsidRDefault="00AC0043" w:rsidP="00AC0043">
      <w:pPr>
        <w:pStyle w:val="EC-Title-6"/>
        <w:outlineLvl w:val="1"/>
        <w:rPr>
          <w:rFonts w:cs="Tahoma"/>
        </w:rPr>
      </w:pPr>
      <w:r w:rsidRPr="00C82DDE">
        <w:rPr>
          <w:rFonts w:cs="Tahoma"/>
        </w:rPr>
        <w:t>Interpretation</w:t>
      </w:r>
      <w:bookmarkEnd w:id="83"/>
      <w:r w:rsidRPr="00C82DDE">
        <w:rPr>
          <w:rFonts w:cs="Tahoma"/>
        </w:rPr>
        <w:t xml:space="preserve"> </w:t>
      </w:r>
    </w:p>
    <w:p w14:paraId="28ED55A8" w14:textId="77777777" w:rsidR="0081679F" w:rsidRDefault="00AC0043" w:rsidP="00AC0043">
      <w:pPr>
        <w:pStyle w:val="EC-Para"/>
        <w:jc w:val="both"/>
        <w:rPr>
          <w:rFonts w:cs="Tahoma"/>
          <w:lang w:eastAsia="en-US"/>
        </w:rPr>
      </w:pPr>
      <w:r w:rsidRPr="00D45E3C">
        <w:rPr>
          <w:rFonts w:eastAsiaTheme="minorHAnsi" w:cs="Tahoma"/>
          <w:lang w:eastAsia="en-US"/>
        </w:rPr>
        <w:t xml:space="preserve">The </w:t>
      </w:r>
      <w:r>
        <w:rPr>
          <w:rFonts w:eastAsiaTheme="minorHAnsi" w:cs="Tahoma"/>
          <w:lang w:eastAsia="en-US"/>
        </w:rPr>
        <w:t>data</w:t>
      </w:r>
      <w:r w:rsidRPr="00D45E3C">
        <w:rPr>
          <w:rFonts w:eastAsiaTheme="minorHAnsi" w:cs="Tahoma"/>
          <w:lang w:eastAsia="en-US"/>
        </w:rPr>
        <w:t xml:space="preserve">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differ from each other</w:t>
      </w:r>
      <w:r w:rsidRPr="00B93201">
        <w:rPr>
          <w:rFonts w:cs="Tahoma"/>
        </w:rPr>
        <w:t xml:space="preserve"> </w:t>
      </w:r>
      <w:r>
        <w:rPr>
          <w:rFonts w:cs="Tahoma"/>
        </w:rPr>
        <w:t>and so does</w:t>
      </w:r>
      <w:r w:rsidRPr="00B93201">
        <w:rPr>
          <w:rFonts w:cs="Tahoma"/>
        </w:rPr>
        <w:t xml:space="preserve"> </w:t>
      </w:r>
      <w:r w:rsidRPr="00B93201">
        <w:rPr>
          <w:rFonts w:cs="Tahoma"/>
          <w:lang w:eastAsia="en-US"/>
        </w:rPr>
        <w:t xml:space="preserve">case under-ascertainment between countries. </w:t>
      </w:r>
    </w:p>
    <w:p w14:paraId="6D0F108F" w14:textId="18F29B65" w:rsidR="00AC0043" w:rsidRDefault="001F1837" w:rsidP="00AC0043">
      <w:pPr>
        <w:pStyle w:val="EC-Para"/>
        <w:jc w:val="both"/>
        <w:rPr>
          <w:rFonts w:cs="Tahoma"/>
          <w:lang w:eastAsia="en-US"/>
        </w:rPr>
      </w:pPr>
      <w:r w:rsidRPr="0066201E">
        <w:t xml:space="preserve">The notification of </w:t>
      </w:r>
      <w:r w:rsidRPr="00F83C4E">
        <w:rPr>
          <w:b/>
          <w:bCs/>
        </w:rPr>
        <w:t>toxoplasmosis</w:t>
      </w:r>
      <w:r w:rsidRPr="0066201E">
        <w:t xml:space="preserve"> is mandatory in </w:t>
      </w:r>
      <w:r>
        <w:t>2</w:t>
      </w:r>
      <w:r w:rsidR="00165461">
        <w:t>1</w:t>
      </w:r>
      <w:r w:rsidRPr="0066201E">
        <w:t xml:space="preserve"> EU</w:t>
      </w:r>
      <w:r>
        <w:t>/EEA</w:t>
      </w:r>
      <w:r w:rsidRPr="0066201E">
        <w:t xml:space="preserve"> </w:t>
      </w:r>
      <w:r>
        <w:t>countries</w:t>
      </w:r>
      <w:r w:rsidR="00B55135">
        <w:t>.</w:t>
      </w:r>
      <w:r w:rsidR="007312FF">
        <w:rPr>
          <w:rStyle w:val="normaltextrun"/>
          <w:rFonts w:cs="Tahoma"/>
          <w:color w:val="000000"/>
          <w:bdr w:val="none" w:sz="0" w:space="0" w:color="auto" w:frame="1"/>
        </w:rPr>
        <w:t xml:space="preserve"> </w:t>
      </w:r>
      <w:r w:rsidR="00B55135">
        <w:rPr>
          <w:rFonts w:cs="Tahoma"/>
          <w:lang w:eastAsia="en-US"/>
        </w:rPr>
        <w:t>Austria, Belgium,</w:t>
      </w:r>
      <w:r w:rsidR="00B55135">
        <w:rPr>
          <w:rStyle w:val="normaltextrun"/>
          <w:rFonts w:cs="Tahoma"/>
          <w:color w:val="000000"/>
          <w:bdr w:val="none" w:sz="0" w:space="0" w:color="auto" w:frame="1"/>
        </w:rPr>
        <w:t xml:space="preserve"> </w:t>
      </w:r>
      <w:r w:rsidR="003207BA">
        <w:rPr>
          <w:rStyle w:val="normaltextrun"/>
          <w:rFonts w:cs="Tahoma"/>
          <w:color w:val="000000"/>
          <w:bdr w:val="none" w:sz="0" w:space="0" w:color="auto" w:frame="1"/>
        </w:rPr>
        <w:t xml:space="preserve">Denmark, Greece, </w:t>
      </w:r>
      <w:r w:rsidR="00B55135">
        <w:rPr>
          <w:rStyle w:val="normaltextrun"/>
          <w:rFonts w:cs="Tahoma"/>
          <w:color w:val="000000"/>
          <w:bdr w:val="none" w:sz="0" w:space="0" w:color="auto" w:frame="1"/>
        </w:rPr>
        <w:t xml:space="preserve">Italy, </w:t>
      </w:r>
      <w:r w:rsidR="00B55135">
        <w:rPr>
          <w:rFonts w:cs="Tahoma"/>
          <w:lang w:eastAsia="en-US"/>
        </w:rPr>
        <w:t xml:space="preserve">Liechtenstein, </w:t>
      </w:r>
      <w:r w:rsidR="007312FF">
        <w:rPr>
          <w:rStyle w:val="normaltextrun"/>
          <w:rFonts w:cs="Tahoma"/>
          <w:color w:val="000000"/>
          <w:bdr w:val="none" w:sz="0" w:space="0" w:color="auto" w:frame="1"/>
        </w:rPr>
        <w:t>the Netherlands, Norway and Sweden d</w:t>
      </w:r>
      <w:r w:rsidR="00B55135">
        <w:rPr>
          <w:rStyle w:val="normaltextrun"/>
          <w:rFonts w:cs="Tahoma"/>
          <w:color w:val="000000"/>
          <w:bdr w:val="none" w:sz="0" w:space="0" w:color="auto" w:frame="1"/>
        </w:rPr>
        <w:t>o</w:t>
      </w:r>
      <w:r w:rsidR="007312FF">
        <w:rPr>
          <w:rStyle w:val="normaltextrun"/>
          <w:rFonts w:cs="Tahoma"/>
          <w:color w:val="000000"/>
          <w:bdr w:val="none" w:sz="0" w:space="0" w:color="auto" w:frame="1"/>
        </w:rPr>
        <w:t xml:space="preserve"> not have surveillance systems for toxoplasmosis</w:t>
      </w:r>
      <w:r w:rsidR="00615E81">
        <w:rPr>
          <w:rStyle w:val="normaltextrun"/>
          <w:rFonts w:cs="Tahoma"/>
          <w:color w:val="000000"/>
          <w:bdr w:val="none" w:sz="0" w:space="0" w:color="auto" w:frame="1"/>
        </w:rPr>
        <w:t xml:space="preserve"> </w:t>
      </w:r>
      <w:r w:rsidR="00615E81">
        <w:rPr>
          <w:rFonts w:eastAsiaTheme="minorHAnsi" w:cs="Tahoma"/>
          <w:lang w:eastAsia="en-US"/>
        </w:rPr>
        <w:t>(Annex 1)</w:t>
      </w:r>
      <w:r w:rsidR="007312FF">
        <w:rPr>
          <w:rStyle w:val="normaltextrun"/>
          <w:rFonts w:cs="Tahoma"/>
          <w:color w:val="000000"/>
          <w:bdr w:val="none" w:sz="0" w:space="0" w:color="auto" w:frame="1"/>
        </w:rPr>
        <w:t xml:space="preserve">. </w:t>
      </w:r>
      <w:r w:rsidR="00087326" w:rsidRPr="00CB0956">
        <w:rPr>
          <w:rFonts w:cs="Tahoma"/>
          <w:lang w:eastAsia="en-US"/>
        </w:rPr>
        <w:t>The s</w:t>
      </w:r>
      <w:r w:rsidR="00087326">
        <w:rPr>
          <w:rFonts w:cs="Tahoma"/>
          <w:lang w:eastAsia="en-US"/>
        </w:rPr>
        <w:t>urveillance systems for toxoplasmosis</w:t>
      </w:r>
      <w:r w:rsidR="00087326" w:rsidRPr="00CB0956">
        <w:rPr>
          <w:rFonts w:cs="Tahoma"/>
          <w:lang w:eastAsia="en-US"/>
        </w:rPr>
        <w:t xml:space="preserve"> have </w:t>
      </w:r>
      <w:r w:rsidR="00087326">
        <w:rPr>
          <w:rFonts w:cs="Tahoma"/>
          <w:lang w:eastAsia="en-US"/>
        </w:rPr>
        <w:t>full national coverage in all reporting countries</w:t>
      </w:r>
      <w:r w:rsidR="0063383D">
        <w:rPr>
          <w:rFonts w:eastAsiaTheme="minorHAnsi" w:cs="Tahoma"/>
          <w:lang w:eastAsia="en-US"/>
        </w:rPr>
        <w:t>.</w:t>
      </w:r>
      <w:r w:rsidR="002E0A33">
        <w:rPr>
          <w:rFonts w:eastAsiaTheme="minorHAnsi" w:cs="Tahoma"/>
          <w:lang w:eastAsia="en-US"/>
        </w:rPr>
        <w:t xml:space="preserve"> </w:t>
      </w:r>
      <w:r w:rsidR="00F039F7">
        <w:rPr>
          <w:rFonts w:cs="Tahoma"/>
        </w:rPr>
        <w:t>In Spain, full national coverage was established in 2023 and rates before this date are not displayed</w:t>
      </w:r>
      <w:r w:rsidR="002E0A33">
        <w:rPr>
          <w:rFonts w:eastAsiaTheme="minorHAnsi" w:cs="Tahoma"/>
          <w:lang w:eastAsia="en-US"/>
        </w:rPr>
        <w:t xml:space="preserve">. </w:t>
      </w:r>
      <w:r w:rsidR="002E0A33">
        <w:rPr>
          <w:rFonts w:cs="Tahoma"/>
          <w:lang w:eastAsia="en-US"/>
        </w:rPr>
        <w:t>S</w:t>
      </w:r>
      <w:r w:rsidR="000C3DB7">
        <w:rPr>
          <w:rFonts w:eastAsiaTheme="minorHAnsi" w:cs="Tahoma"/>
          <w:lang w:eastAsia="en-US"/>
        </w:rPr>
        <w:t>ix</w:t>
      </w:r>
      <w:r w:rsidR="00AC0043" w:rsidRPr="00B93201">
        <w:rPr>
          <w:rFonts w:eastAsiaTheme="minorHAnsi" w:cs="Tahoma"/>
          <w:lang w:eastAsia="en-US"/>
        </w:rPr>
        <w:t xml:space="preserve"> countries (</w:t>
      </w:r>
      <w:r w:rsidR="001E4E8F">
        <w:rPr>
          <w:rFonts w:eastAsiaTheme="minorHAnsi" w:cs="Tahoma"/>
          <w:lang w:eastAsia="en-US"/>
        </w:rPr>
        <w:t xml:space="preserve">Austria, Belgium, </w:t>
      </w:r>
      <w:r w:rsidR="001D012E">
        <w:rPr>
          <w:rFonts w:eastAsiaTheme="minorHAnsi" w:cs="Tahoma"/>
          <w:lang w:eastAsia="en-US"/>
        </w:rPr>
        <w:t xml:space="preserve">Greece, </w:t>
      </w:r>
      <w:r w:rsidR="00AC0043" w:rsidRPr="00B93201">
        <w:rPr>
          <w:rFonts w:eastAsiaTheme="minorHAnsi" w:cs="Tahoma"/>
          <w:lang w:eastAsia="en-US"/>
        </w:rPr>
        <w:t>France</w:t>
      </w:r>
      <w:r w:rsidR="001E4E8F">
        <w:rPr>
          <w:rFonts w:eastAsiaTheme="minorHAnsi" w:cs="Tahoma"/>
          <w:lang w:eastAsia="en-US"/>
        </w:rPr>
        <w:t xml:space="preserve">, </w:t>
      </w:r>
      <w:r w:rsidR="00AC0043" w:rsidRPr="00B93201">
        <w:rPr>
          <w:rFonts w:eastAsiaTheme="minorHAnsi" w:cs="Tahoma"/>
          <w:lang w:eastAsia="en-US"/>
        </w:rPr>
        <w:t>Slovakia</w:t>
      </w:r>
      <w:r w:rsidR="001E4E8F">
        <w:rPr>
          <w:rFonts w:eastAsiaTheme="minorHAnsi" w:cs="Tahoma"/>
          <w:lang w:eastAsia="en-US"/>
        </w:rPr>
        <w:t xml:space="preserve"> and Slovenia</w:t>
      </w:r>
      <w:r w:rsidR="00AC0043" w:rsidRPr="00B93201">
        <w:rPr>
          <w:rFonts w:eastAsiaTheme="minorHAnsi" w:cs="Tahoma"/>
          <w:lang w:eastAsia="en-US"/>
        </w:rPr>
        <w:t xml:space="preserve">) have active surveillance of </w:t>
      </w:r>
      <w:r w:rsidR="00AC0043" w:rsidRPr="0051267E">
        <w:rPr>
          <w:rFonts w:eastAsiaTheme="minorHAnsi" w:cs="Tahoma"/>
          <w:b/>
          <w:bCs/>
          <w:lang w:eastAsia="en-US"/>
        </w:rPr>
        <w:t>congenital</w:t>
      </w:r>
      <w:r w:rsidR="0051267E">
        <w:rPr>
          <w:rFonts w:eastAsiaTheme="minorHAnsi" w:cs="Tahoma"/>
          <w:b/>
          <w:bCs/>
          <w:lang w:eastAsia="en-US"/>
        </w:rPr>
        <w:t xml:space="preserve"> </w:t>
      </w:r>
      <w:r w:rsidR="0051267E" w:rsidRPr="003773CD">
        <w:rPr>
          <w:rFonts w:eastAsiaTheme="minorHAnsi" w:cs="Tahoma"/>
          <w:b/>
          <w:bCs/>
          <w:lang w:eastAsia="en-US"/>
        </w:rPr>
        <w:t>toxoplasmosis</w:t>
      </w:r>
      <w:r w:rsidR="00AC0043" w:rsidRPr="00B93201">
        <w:rPr>
          <w:rFonts w:eastAsiaTheme="minorHAnsi" w:cs="Tahoma"/>
          <w:lang w:eastAsia="en-US"/>
        </w:rPr>
        <w:t xml:space="preserve"> cases</w:t>
      </w:r>
      <w:r w:rsidR="008A6F85">
        <w:rPr>
          <w:rFonts w:eastAsiaTheme="minorHAnsi" w:cs="Tahoma"/>
          <w:lang w:eastAsia="en-US"/>
        </w:rPr>
        <w:t xml:space="preserve"> with compulsory screening of pregnant women (Annex 2)</w:t>
      </w:r>
      <w:r w:rsidR="00FF26F8">
        <w:rPr>
          <w:rFonts w:eastAsiaTheme="minorHAnsi" w:cs="Tahoma"/>
          <w:lang w:eastAsia="en-US"/>
        </w:rPr>
        <w:t>. Austria</w:t>
      </w:r>
      <w:r w:rsidR="001D012E">
        <w:rPr>
          <w:rFonts w:eastAsiaTheme="minorHAnsi" w:cs="Tahoma"/>
          <w:lang w:eastAsia="en-US"/>
        </w:rPr>
        <w:t>,</w:t>
      </w:r>
      <w:r w:rsidR="00FF26F8">
        <w:rPr>
          <w:rFonts w:eastAsiaTheme="minorHAnsi" w:cs="Tahoma"/>
          <w:lang w:eastAsia="en-US"/>
        </w:rPr>
        <w:t xml:space="preserve"> Belgium </w:t>
      </w:r>
      <w:r w:rsidR="001D012E">
        <w:rPr>
          <w:rFonts w:eastAsiaTheme="minorHAnsi" w:cs="Tahoma"/>
          <w:lang w:eastAsia="en-US"/>
        </w:rPr>
        <w:t xml:space="preserve">and Greece </w:t>
      </w:r>
      <w:r w:rsidR="00FF26F8">
        <w:rPr>
          <w:rFonts w:eastAsiaTheme="minorHAnsi" w:cs="Tahoma"/>
          <w:lang w:eastAsia="en-US"/>
        </w:rPr>
        <w:t xml:space="preserve">however </w:t>
      </w:r>
      <w:r w:rsidR="00CE342B">
        <w:rPr>
          <w:rFonts w:eastAsiaTheme="minorHAnsi" w:cs="Tahoma"/>
          <w:lang w:eastAsia="en-US"/>
        </w:rPr>
        <w:t xml:space="preserve">do </w:t>
      </w:r>
      <w:r w:rsidR="00FF26F8">
        <w:rPr>
          <w:rFonts w:eastAsiaTheme="minorHAnsi" w:cs="Tahoma"/>
          <w:lang w:eastAsia="en-US"/>
        </w:rPr>
        <w:t xml:space="preserve">not report to </w:t>
      </w:r>
      <w:proofErr w:type="spellStart"/>
      <w:r w:rsidR="00FF26F8">
        <w:rPr>
          <w:rFonts w:eastAsiaTheme="minorHAnsi" w:cs="Tahoma"/>
          <w:lang w:eastAsia="en-US"/>
        </w:rPr>
        <w:t>TESSy</w:t>
      </w:r>
      <w:proofErr w:type="spellEnd"/>
      <w:r w:rsidR="00FF26F8">
        <w:rPr>
          <w:rFonts w:eastAsiaTheme="minorHAnsi" w:cs="Tahoma"/>
          <w:lang w:eastAsia="en-US"/>
        </w:rPr>
        <w:t>.</w:t>
      </w:r>
      <w:r w:rsidR="000005B7">
        <w:rPr>
          <w:rFonts w:eastAsiaTheme="minorHAnsi" w:cs="Tahoma"/>
          <w:lang w:eastAsia="en-US"/>
        </w:rPr>
        <w:t xml:space="preserve"> </w:t>
      </w:r>
      <w:r w:rsidR="008A6F85">
        <w:rPr>
          <w:rFonts w:eastAsiaTheme="minorHAnsi" w:cs="Tahoma"/>
          <w:lang w:eastAsia="en-US"/>
        </w:rPr>
        <w:t>Four countries have voluntary screening while another eight has no screening policies and/or surveillance of congenital toxoplasmosis.</w:t>
      </w:r>
      <w:r w:rsidR="00AC0043" w:rsidRPr="00B93201">
        <w:rPr>
          <w:rFonts w:eastAsiaTheme="minorHAnsi" w:cs="Tahoma"/>
          <w:lang w:eastAsia="en-US"/>
        </w:rPr>
        <w:t xml:space="preserve"> France</w:t>
      </w:r>
      <w:r w:rsidR="00AC0043">
        <w:rPr>
          <w:rFonts w:eastAsiaTheme="minorHAnsi" w:cs="Tahoma"/>
          <w:lang w:eastAsia="en-US"/>
        </w:rPr>
        <w:t xml:space="preserve"> regularly</w:t>
      </w:r>
      <w:r w:rsidR="00AC0043" w:rsidRPr="00B93201">
        <w:rPr>
          <w:rFonts w:eastAsiaTheme="minorHAnsi" w:cs="Tahoma"/>
          <w:lang w:eastAsia="en-US"/>
        </w:rPr>
        <w:t xml:space="preserve"> reports the highest number of cases</w:t>
      </w:r>
      <w:r w:rsidR="0064495F">
        <w:rPr>
          <w:rFonts w:eastAsiaTheme="minorHAnsi" w:cs="Tahoma"/>
          <w:lang w:eastAsia="en-US"/>
        </w:rPr>
        <w:t xml:space="preserve"> in the EU</w:t>
      </w:r>
      <w:r w:rsidR="00AC0043">
        <w:rPr>
          <w:rFonts w:eastAsiaTheme="minorHAnsi" w:cs="Tahoma"/>
          <w:lang w:eastAsia="en-US"/>
        </w:rPr>
        <w:t>, most likely</w:t>
      </w:r>
      <w:r w:rsidR="00AC0043" w:rsidRPr="00B93201">
        <w:rPr>
          <w:rFonts w:eastAsiaTheme="minorHAnsi" w:cs="Tahoma"/>
          <w:lang w:eastAsia="en-US"/>
        </w:rPr>
        <w:t xml:space="preserve"> </w:t>
      </w:r>
      <w:r w:rsidR="00AC0043">
        <w:rPr>
          <w:rFonts w:eastAsiaTheme="minorHAnsi" w:cs="Tahoma"/>
          <w:lang w:eastAsia="en-US"/>
        </w:rPr>
        <w:t xml:space="preserve">due to its sensitive surveillance system which </w:t>
      </w:r>
      <w:r w:rsidR="00AC0043" w:rsidRPr="00B93201">
        <w:rPr>
          <w:rFonts w:cs="Tahoma"/>
          <w:lang w:eastAsia="en-GB"/>
        </w:rPr>
        <w:t>includes screening of pregnant women, follow</w:t>
      </w:r>
      <w:r w:rsidR="00AC0043">
        <w:rPr>
          <w:rFonts w:cs="Tahoma"/>
          <w:lang w:eastAsia="en-GB"/>
        </w:rPr>
        <w:t>-</w:t>
      </w:r>
      <w:r w:rsidR="00AC0043" w:rsidRPr="00B93201">
        <w:rPr>
          <w:rFonts w:cs="Tahoma"/>
          <w:lang w:eastAsia="en-GB"/>
        </w:rPr>
        <w:t>up o</w:t>
      </w:r>
      <w:r w:rsidR="00AC0043">
        <w:rPr>
          <w:rFonts w:cs="Tahoma"/>
          <w:lang w:eastAsia="en-GB"/>
        </w:rPr>
        <w:t>f</w:t>
      </w:r>
      <w:r w:rsidR="00AC0043" w:rsidRPr="00B93201">
        <w:rPr>
          <w:rFonts w:cs="Tahoma"/>
          <w:lang w:eastAsia="en-GB"/>
        </w:rPr>
        <w:t xml:space="preserve"> </w:t>
      </w:r>
      <w:r w:rsidR="00AC0043">
        <w:rPr>
          <w:rFonts w:cs="Tahoma"/>
          <w:lang w:eastAsia="en-GB"/>
        </w:rPr>
        <w:t>those</w:t>
      </w:r>
      <w:r w:rsidR="00AC0043" w:rsidRPr="00B93201">
        <w:rPr>
          <w:rFonts w:cs="Tahoma"/>
          <w:lang w:eastAsia="en-GB"/>
        </w:rPr>
        <w:t xml:space="preserve"> </w:t>
      </w:r>
      <w:r w:rsidR="00AC0043">
        <w:rPr>
          <w:rFonts w:cs="Tahoma"/>
          <w:lang w:eastAsia="en-GB"/>
        </w:rPr>
        <w:t xml:space="preserve">that are negative to detect infection during </w:t>
      </w:r>
      <w:r w:rsidR="00AC0043" w:rsidRPr="00B93201">
        <w:rPr>
          <w:rFonts w:cs="Tahoma"/>
          <w:lang w:eastAsia="en-GB"/>
        </w:rPr>
        <w:t>pregnancy and lab</w:t>
      </w:r>
      <w:r w:rsidR="006F5E28">
        <w:rPr>
          <w:rFonts w:cs="Tahoma"/>
          <w:lang w:eastAsia="en-GB"/>
        </w:rPr>
        <w:t>oratory</w:t>
      </w:r>
      <w:r w:rsidR="00AC0043" w:rsidRPr="00B93201">
        <w:rPr>
          <w:rFonts w:cs="Tahoma"/>
          <w:lang w:eastAsia="en-GB"/>
        </w:rPr>
        <w:t xml:space="preserve"> confirmation of any congenital toxoplasmosis cases detected during this process, </w:t>
      </w:r>
      <w:r w:rsidR="00AC0043">
        <w:rPr>
          <w:rFonts w:cs="Tahoma"/>
          <w:lang w:eastAsia="en-GB"/>
        </w:rPr>
        <w:t>including</w:t>
      </w:r>
      <w:r w:rsidR="00AC0043" w:rsidRPr="00B93201">
        <w:rPr>
          <w:rFonts w:cs="Tahoma"/>
          <w:lang w:eastAsia="en-GB"/>
        </w:rPr>
        <w:t xml:space="preserve"> asymptomatic cases.</w:t>
      </w:r>
      <w:r w:rsidR="00AC0043">
        <w:rPr>
          <w:rFonts w:eastAsiaTheme="minorHAnsi" w:cs="Tahoma"/>
          <w:lang w:eastAsia="en-US"/>
        </w:rPr>
        <w:t xml:space="preserve"> </w:t>
      </w:r>
      <w:r w:rsidR="000005B7">
        <w:rPr>
          <w:rFonts w:eastAsiaTheme="minorHAnsi" w:cs="Tahoma"/>
          <w:lang w:eastAsia="en-US"/>
        </w:rPr>
        <w:t xml:space="preserve">The French data are reported to </w:t>
      </w:r>
      <w:proofErr w:type="spellStart"/>
      <w:r w:rsidR="000005B7">
        <w:rPr>
          <w:rFonts w:eastAsiaTheme="minorHAnsi" w:cs="Tahoma"/>
          <w:lang w:eastAsia="en-US"/>
        </w:rPr>
        <w:t>TESSy</w:t>
      </w:r>
      <w:proofErr w:type="spellEnd"/>
      <w:r w:rsidR="000005B7">
        <w:rPr>
          <w:rFonts w:eastAsiaTheme="minorHAnsi" w:cs="Tahoma"/>
          <w:lang w:eastAsia="en-US"/>
        </w:rPr>
        <w:t xml:space="preserve"> with one year delay compared to other countries.</w:t>
      </w:r>
      <w:r w:rsidR="00AC0043">
        <w:rPr>
          <w:rFonts w:eastAsiaTheme="minorHAnsi" w:cs="Tahoma"/>
          <w:lang w:eastAsia="en-US"/>
        </w:rPr>
        <w:t xml:space="preserve"> </w:t>
      </w:r>
    </w:p>
    <w:p w14:paraId="75FB26C5" w14:textId="77777777" w:rsidR="00AC0043" w:rsidRDefault="00AC0043" w:rsidP="00AC0043">
      <w:pPr>
        <w:pStyle w:val="EC-Para"/>
        <w:jc w:val="both"/>
        <w:rPr>
          <w:rFonts w:cs="Tahoma"/>
          <w:lang w:eastAsia="en-US"/>
        </w:rPr>
      </w:pPr>
      <w:r w:rsidRPr="00EA31E5">
        <w:rPr>
          <w:rFonts w:cs="Tahoma"/>
          <w:lang w:eastAsia="en-US"/>
        </w:rPr>
        <w:t>The completeness of some variable</w:t>
      </w:r>
      <w:r>
        <w:rPr>
          <w:rFonts w:cs="Tahoma"/>
          <w:lang w:eastAsia="en-US"/>
        </w:rPr>
        <w:t xml:space="preserve">s such as outcome </w:t>
      </w:r>
      <w:r w:rsidRPr="00EA31E5">
        <w:rPr>
          <w:rFonts w:cs="Tahoma"/>
          <w:lang w:eastAsia="en-US"/>
        </w:rPr>
        <w:t>var</w:t>
      </w:r>
      <w:r>
        <w:rPr>
          <w:rFonts w:cs="Tahoma"/>
          <w:lang w:eastAsia="en-US"/>
        </w:rPr>
        <w:t>ies</w:t>
      </w:r>
      <w:r w:rsidRPr="00EA31E5">
        <w:rPr>
          <w:rFonts w:cs="Tahoma"/>
          <w:lang w:eastAsia="en-US"/>
        </w:rPr>
        <w:t xml:space="preserve"> between countries and years; some countries </w:t>
      </w:r>
      <w:proofErr w:type="gramStart"/>
      <w:r w:rsidRPr="00EA31E5">
        <w:rPr>
          <w:rFonts w:cs="Tahoma"/>
          <w:lang w:eastAsia="en-US"/>
        </w:rPr>
        <w:t>are able to</w:t>
      </w:r>
      <w:proofErr w:type="gramEnd"/>
      <w:r w:rsidRPr="00EA31E5">
        <w:rPr>
          <w:rFonts w:cs="Tahoma"/>
          <w:lang w:eastAsia="en-US"/>
        </w:rPr>
        <w:t xml:space="preserve"> collect and integrate this type of information from different sources, other countries are not. </w:t>
      </w:r>
      <w:r w:rsidRPr="00C845AB">
        <w:rPr>
          <w:rFonts w:cs="Tahoma"/>
          <w:lang w:eastAsia="en-US"/>
        </w:rPr>
        <w:t>Even if overall data completeness is high for some variables, the reader should refrain from direct</w:t>
      </w:r>
      <w:r>
        <w:rPr>
          <w:rFonts w:cs="Tahoma"/>
          <w:lang w:eastAsia="en-US"/>
        </w:rPr>
        <w:t>ly</w:t>
      </w:r>
      <w:r w:rsidRPr="00C845AB">
        <w:rPr>
          <w:rFonts w:cs="Tahoma"/>
          <w:lang w:eastAsia="en-US"/>
        </w:rPr>
        <w:t xml:space="preserve"> compari</w:t>
      </w:r>
      <w:r>
        <w:rPr>
          <w:rFonts w:cs="Tahoma"/>
          <w:lang w:eastAsia="en-US"/>
        </w:rPr>
        <w:t>ng</w:t>
      </w:r>
      <w:r w:rsidRPr="00C845AB">
        <w:rPr>
          <w:rFonts w:cs="Tahoma"/>
          <w:lang w:eastAsia="en-US"/>
        </w:rPr>
        <w:t xml:space="preserve"> countries witho</w:t>
      </w:r>
      <w:r>
        <w:rPr>
          <w:rFonts w:cs="Tahoma"/>
          <w:lang w:eastAsia="en-US"/>
        </w:rPr>
        <w:t xml:space="preserve">ut </w:t>
      </w:r>
      <w:proofErr w:type="gramStart"/>
      <w:r>
        <w:rPr>
          <w:rFonts w:cs="Tahoma"/>
          <w:lang w:eastAsia="en-US"/>
        </w:rPr>
        <w:t>taking into account</w:t>
      </w:r>
      <w:proofErr w:type="gramEnd"/>
      <w:r>
        <w:rPr>
          <w:rFonts w:cs="Tahoma"/>
          <w:lang w:eastAsia="en-US"/>
        </w:rPr>
        <w:t xml:space="preserve"> </w:t>
      </w:r>
      <w:r w:rsidRPr="00C845AB">
        <w:rPr>
          <w:rFonts w:cs="Tahoma"/>
          <w:lang w:eastAsia="en-US"/>
        </w:rPr>
        <w:t>limitations.</w:t>
      </w:r>
    </w:p>
    <w:p w14:paraId="63656B2F" w14:textId="77777777" w:rsidR="00545695" w:rsidRPr="00EA31E5" w:rsidRDefault="00545695" w:rsidP="00AC0043">
      <w:pPr>
        <w:pStyle w:val="EC-Para"/>
        <w:jc w:val="both"/>
        <w:rPr>
          <w:rFonts w:cs="Tahoma"/>
          <w:lang w:eastAsia="en-US"/>
        </w:rPr>
      </w:pPr>
    </w:p>
    <w:p w14:paraId="3F0B5844" w14:textId="3D9FBAA1" w:rsidR="00AC0043" w:rsidRDefault="00AC0043" w:rsidP="00B3152F">
      <w:pPr>
        <w:pStyle w:val="EC-Title-6"/>
        <w:outlineLvl w:val="1"/>
        <w:rPr>
          <w:rFonts w:cs="Tahoma"/>
          <w:color w:val="FF0000"/>
          <w:sz w:val="20"/>
          <w:szCs w:val="20"/>
        </w:rPr>
      </w:pPr>
      <w:r>
        <w:t xml:space="preserve">Reports published by ECDC on </w:t>
      </w:r>
      <w:r w:rsidR="00054744">
        <w:t xml:space="preserve">congenital </w:t>
      </w:r>
      <w:r>
        <w:t xml:space="preserve">toxoplasmosis </w:t>
      </w:r>
    </w:p>
    <w:p w14:paraId="3145F68E" w14:textId="15186BA9" w:rsidR="00AC0043" w:rsidRDefault="00AC0043" w:rsidP="00AC0043">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64E00B3F" w14:textId="77777777" w:rsidR="00D3494B" w:rsidRDefault="00D3494B" w:rsidP="001F47D7">
      <w:pPr>
        <w:pStyle w:val="EC-Para"/>
        <w:spacing w:after="0"/>
        <w:rPr>
          <w:rFonts w:eastAsiaTheme="minorHAnsi" w:cs="Tahoma"/>
          <w:b/>
          <w:lang w:eastAsia="en-US"/>
        </w:rPr>
      </w:pPr>
    </w:p>
    <w:p w14:paraId="43316EB9" w14:textId="099100C3" w:rsidR="001F47D7" w:rsidRPr="009D4D86" w:rsidRDefault="001F47D7" w:rsidP="001F47D7">
      <w:pPr>
        <w:pStyle w:val="EC-Para"/>
        <w:spacing w:after="0"/>
        <w:rPr>
          <w:rFonts w:eastAsiaTheme="minorHAnsi" w:cs="Tahoma"/>
          <w:b/>
          <w:lang w:eastAsia="en-US"/>
        </w:rPr>
      </w:pPr>
      <w:r w:rsidRPr="009D4D86">
        <w:rPr>
          <w:rFonts w:eastAsiaTheme="minorHAnsi" w:cs="Tahoma"/>
          <w:b/>
          <w:lang w:eastAsia="en-US"/>
        </w:rPr>
        <w:t>Annual epidemiological report for 20</w:t>
      </w:r>
      <w:r>
        <w:rPr>
          <w:rFonts w:eastAsiaTheme="minorHAnsi" w:cs="Tahoma"/>
          <w:b/>
          <w:lang w:eastAsia="en-US"/>
        </w:rPr>
        <w:t>2</w:t>
      </w:r>
      <w:r w:rsidR="00E7277D">
        <w:rPr>
          <w:rFonts w:eastAsiaTheme="minorHAnsi" w:cs="Tahoma"/>
          <w:b/>
          <w:lang w:eastAsia="en-US"/>
        </w:rPr>
        <w:t>1</w:t>
      </w:r>
      <w:r w:rsidRPr="009D4D86">
        <w:rPr>
          <w:rFonts w:eastAsiaTheme="minorHAnsi" w:cs="Tahoma"/>
          <w:b/>
          <w:lang w:eastAsia="en-US"/>
        </w:rPr>
        <w:t xml:space="preserve"> – Congenital toxoplasmosis:</w:t>
      </w:r>
    </w:p>
    <w:p w14:paraId="6F5BA818" w14:textId="20F8D2C6" w:rsidR="009B5C9A" w:rsidRDefault="00000000" w:rsidP="00E92928">
      <w:pPr>
        <w:pStyle w:val="EC-Para"/>
        <w:spacing w:after="0"/>
        <w:jc w:val="both"/>
      </w:pPr>
      <w:hyperlink r:id="rId90" w:history="1">
        <w:r w:rsidR="009B5C9A" w:rsidRPr="009E48C7">
          <w:rPr>
            <w:rStyle w:val="Hyperlink"/>
            <w:sz w:val="18"/>
          </w:rPr>
          <w:t>https://www.ecdc.europa.eu/sites/default/files/documents/congenital-toxoplasmosis-annual-epidemiological-report-2021.pdf</w:t>
        </w:r>
      </w:hyperlink>
    </w:p>
    <w:p w14:paraId="51BE6610" w14:textId="77777777" w:rsidR="009B5C9A" w:rsidRDefault="009B5C9A" w:rsidP="00E92928">
      <w:pPr>
        <w:pStyle w:val="EC-Para"/>
        <w:spacing w:after="0"/>
        <w:jc w:val="both"/>
      </w:pPr>
    </w:p>
    <w:p w14:paraId="0A3B401C" w14:textId="019940E8" w:rsidR="00E92928" w:rsidRPr="009D4D86" w:rsidRDefault="00E92928" w:rsidP="00E92928">
      <w:pPr>
        <w:pStyle w:val="EC-Para"/>
        <w:spacing w:after="0"/>
        <w:jc w:val="both"/>
        <w:rPr>
          <w:b/>
        </w:rPr>
      </w:pPr>
      <w:r w:rsidRPr="009D4D86">
        <w:rPr>
          <w:b/>
        </w:rPr>
        <w:t>EFSA and ECDC (European Food Safety Authority and European Centre for Disease Prevention and Control), 202</w:t>
      </w:r>
      <w:r w:rsidR="00023009" w:rsidRPr="009D4D86">
        <w:rPr>
          <w:b/>
        </w:rPr>
        <w:t>2</w:t>
      </w:r>
      <w:r w:rsidRPr="009D4D86">
        <w:rPr>
          <w:b/>
        </w:rPr>
        <w:t>. The European Union One Health 202</w:t>
      </w:r>
      <w:r w:rsidR="00023009" w:rsidRPr="009D4D86">
        <w:rPr>
          <w:b/>
        </w:rPr>
        <w:t>1</w:t>
      </w:r>
      <w:r w:rsidRPr="009D4D86">
        <w:rPr>
          <w:b/>
        </w:rPr>
        <w:t xml:space="preserve"> Zoonoses Report</w:t>
      </w:r>
      <w:r w:rsidR="001F47D7">
        <w:rPr>
          <w:b/>
        </w:rPr>
        <w:t xml:space="preserve"> (December 2023)</w:t>
      </w:r>
      <w:r w:rsidRPr="009D4D86">
        <w:rPr>
          <w:b/>
        </w:rPr>
        <w:t>:</w:t>
      </w:r>
    </w:p>
    <w:p w14:paraId="64E6EDBC" w14:textId="09317748" w:rsidR="00E92928" w:rsidRDefault="00000000" w:rsidP="00E92928">
      <w:pPr>
        <w:pStyle w:val="EC-Para"/>
        <w:rPr>
          <w:rStyle w:val="Hyperlink"/>
          <w:sz w:val="18"/>
        </w:rPr>
      </w:pPr>
      <w:hyperlink r:id="rId91" w:history="1">
        <w:r w:rsidR="00D81150" w:rsidRPr="009D4D86">
          <w:rPr>
            <w:rStyle w:val="Hyperlink"/>
            <w:sz w:val="18"/>
          </w:rPr>
          <w:t>https://www.ecdc.europa.eu/sites/default/files/documents/EFS2_7666_Rev3.pdf</w:t>
        </w:r>
      </w:hyperlink>
      <w:r w:rsidR="00D81150" w:rsidRPr="009D4D86">
        <w:rPr>
          <w:rStyle w:val="Hyperlink"/>
          <w:sz w:val="18"/>
        </w:rPr>
        <w:t xml:space="preserve"> </w:t>
      </w:r>
    </w:p>
    <w:p w14:paraId="79651643" w14:textId="77777777" w:rsidR="002D44DE" w:rsidRDefault="002D44DE" w:rsidP="00FD4D99">
      <w:pPr>
        <w:pStyle w:val="EC-Para"/>
        <w:spacing w:after="0" w:line="240" w:lineRule="auto"/>
        <w:rPr>
          <w:b/>
          <w:bCs/>
        </w:rPr>
      </w:pPr>
    </w:p>
    <w:p w14:paraId="77FEBEB6" w14:textId="77777777" w:rsidR="00D93E86" w:rsidRPr="00B36CF2" w:rsidRDefault="00D93E86" w:rsidP="00B36CF2">
      <w:pPr>
        <w:pStyle w:val="EC-Para"/>
      </w:pPr>
    </w:p>
    <w:p w14:paraId="2A9A92A9" w14:textId="05012170" w:rsidR="00AC0043" w:rsidRDefault="00AC0043" w:rsidP="00B3152F">
      <w:pPr>
        <w:pStyle w:val="EC-Title-6"/>
        <w:outlineLvl w:val="1"/>
      </w:pPr>
      <w:r>
        <w:t xml:space="preserve">Annex 1. Surveillance systems overview, </w:t>
      </w:r>
      <w:r w:rsidR="00A16A13">
        <w:t>202</w:t>
      </w:r>
      <w:r w:rsidR="009B5C9A">
        <w:t>3</w:t>
      </w:r>
    </w:p>
    <w:tbl>
      <w:tblPr>
        <w:tblW w:w="10152" w:type="dxa"/>
        <w:tblLook w:val="04A0" w:firstRow="1" w:lastRow="0" w:firstColumn="1" w:lastColumn="0" w:noHBand="0" w:noVBand="1"/>
      </w:tblPr>
      <w:tblGrid>
        <w:gridCol w:w="1208"/>
        <w:gridCol w:w="2650"/>
        <w:gridCol w:w="570"/>
        <w:gridCol w:w="570"/>
        <w:gridCol w:w="570"/>
        <w:gridCol w:w="570"/>
        <w:gridCol w:w="570"/>
        <w:gridCol w:w="570"/>
        <w:gridCol w:w="570"/>
        <w:gridCol w:w="570"/>
        <w:gridCol w:w="1734"/>
      </w:tblGrid>
      <w:tr w:rsidR="000051B8" w:rsidRPr="00614C6B" w14:paraId="03677586" w14:textId="77777777" w:rsidTr="00564A1D">
        <w:trPr>
          <w:trHeight w:val="297"/>
        </w:trPr>
        <w:tc>
          <w:tcPr>
            <w:tcW w:w="1208"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7CBF54F9" w14:textId="77777777" w:rsidR="000051B8" w:rsidRPr="00614C6B" w:rsidRDefault="000051B8" w:rsidP="000051B8">
            <w:pPr>
              <w:rPr>
                <w:rFonts w:eastAsia="Times New Roman" w:cs="Tahoma"/>
                <w:b/>
                <w:bCs/>
                <w:color w:val="FFFFFF"/>
                <w:sz w:val="14"/>
                <w:szCs w:val="14"/>
                <w:lang w:eastAsia="en-GB"/>
              </w:rPr>
            </w:pPr>
            <w:r w:rsidRPr="00614C6B">
              <w:rPr>
                <w:rFonts w:eastAsia="Times New Roman" w:cs="Tahoma"/>
                <w:b/>
                <w:bCs/>
                <w:color w:val="FFFFFF"/>
                <w:sz w:val="14"/>
                <w:szCs w:val="14"/>
                <w:lang w:eastAsia="en-GB"/>
              </w:rPr>
              <w:t>Country</w:t>
            </w:r>
          </w:p>
        </w:tc>
        <w:tc>
          <w:tcPr>
            <w:tcW w:w="265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32BCA8B" w14:textId="77777777" w:rsidR="000051B8" w:rsidRPr="00614C6B" w:rsidRDefault="000051B8" w:rsidP="000051B8">
            <w:pPr>
              <w:rPr>
                <w:rFonts w:eastAsia="Times New Roman" w:cs="Tahoma"/>
                <w:b/>
                <w:bCs/>
                <w:color w:val="FFFFFF"/>
                <w:sz w:val="14"/>
                <w:szCs w:val="14"/>
                <w:lang w:eastAsia="en-GB"/>
              </w:rPr>
            </w:pPr>
            <w:r w:rsidRPr="00614C6B">
              <w:rPr>
                <w:rFonts w:eastAsia="Times New Roman" w:cs="Tahoma"/>
                <w:b/>
                <w:bCs/>
                <w:color w:val="FFFFFF"/>
                <w:sz w:val="14"/>
                <w:szCs w:val="14"/>
                <w:lang w:eastAsia="en-GB"/>
              </w:rPr>
              <w:t>Data source</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52061A86" w14:textId="77777777" w:rsidR="000051B8" w:rsidRPr="00614C6B" w:rsidRDefault="000051B8" w:rsidP="000051B8">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F347353" w14:textId="77777777" w:rsidR="000051B8" w:rsidRPr="00614C6B" w:rsidRDefault="000051B8" w:rsidP="000051B8">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2A391F87" w14:textId="77777777" w:rsidR="000051B8" w:rsidRPr="00614C6B" w:rsidRDefault="000051B8" w:rsidP="000051B8">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C7B58DB" w14:textId="77777777" w:rsidR="000051B8" w:rsidRPr="00614C6B" w:rsidRDefault="000051B8" w:rsidP="000051B8">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530CA917" w14:textId="77777777" w:rsidR="000051B8" w:rsidRPr="00614C6B" w:rsidRDefault="000051B8" w:rsidP="000051B8">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Data reported by</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27BFC7F9" w14:textId="77777777" w:rsidR="000051B8" w:rsidRPr="00614C6B" w:rsidRDefault="000051B8" w:rsidP="000051B8">
            <w:pPr>
              <w:rPr>
                <w:rFonts w:eastAsia="Times New Roman" w:cs="Tahoma"/>
                <w:b/>
                <w:bCs/>
                <w:color w:val="FFFFFF"/>
                <w:sz w:val="14"/>
                <w:szCs w:val="14"/>
                <w:lang w:eastAsia="en-GB"/>
              </w:rPr>
            </w:pPr>
            <w:r w:rsidRPr="00614C6B">
              <w:rPr>
                <w:rFonts w:eastAsia="Times New Roman" w:cs="Tahoma"/>
                <w:b/>
                <w:bCs/>
                <w:color w:val="FFFFFF"/>
                <w:sz w:val="14"/>
                <w:szCs w:val="14"/>
                <w:lang w:eastAsia="en-GB"/>
              </w:rPr>
              <w:t>Case definition used</w:t>
            </w:r>
          </w:p>
        </w:tc>
      </w:tr>
      <w:tr w:rsidR="000051B8" w:rsidRPr="00614C6B" w14:paraId="5B150AA0" w14:textId="77777777" w:rsidTr="00564A1D">
        <w:trPr>
          <w:trHeight w:val="2826"/>
        </w:trPr>
        <w:tc>
          <w:tcPr>
            <w:tcW w:w="1208" w:type="dxa"/>
            <w:vMerge/>
            <w:tcBorders>
              <w:top w:val="single" w:sz="4" w:space="0" w:color="auto"/>
              <w:left w:val="single" w:sz="4" w:space="0" w:color="auto"/>
              <w:bottom w:val="single" w:sz="4" w:space="0" w:color="auto"/>
              <w:right w:val="single" w:sz="4" w:space="0" w:color="auto"/>
            </w:tcBorders>
            <w:vAlign w:val="center"/>
            <w:hideMark/>
          </w:tcPr>
          <w:p w14:paraId="331455E5" w14:textId="77777777" w:rsidR="000051B8" w:rsidRPr="00614C6B" w:rsidRDefault="000051B8" w:rsidP="000051B8">
            <w:pPr>
              <w:rPr>
                <w:rFonts w:eastAsia="Times New Roman" w:cs="Tahoma"/>
                <w:b/>
                <w:bCs/>
                <w:color w:val="FFFFFF"/>
                <w:sz w:val="14"/>
                <w:szCs w:val="14"/>
                <w:lang w:eastAsia="en-GB"/>
              </w:rPr>
            </w:pPr>
          </w:p>
        </w:tc>
        <w:tc>
          <w:tcPr>
            <w:tcW w:w="2650" w:type="dxa"/>
            <w:vMerge/>
            <w:tcBorders>
              <w:top w:val="single" w:sz="4" w:space="0" w:color="auto"/>
              <w:left w:val="single" w:sz="4" w:space="0" w:color="auto"/>
              <w:bottom w:val="single" w:sz="4" w:space="0" w:color="auto"/>
              <w:right w:val="single" w:sz="4" w:space="0" w:color="auto"/>
            </w:tcBorders>
            <w:vAlign w:val="center"/>
            <w:hideMark/>
          </w:tcPr>
          <w:p w14:paraId="2E2FFF38" w14:textId="77777777" w:rsidR="000051B8" w:rsidRPr="00614C6B" w:rsidRDefault="000051B8" w:rsidP="000051B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25ED6B2" w14:textId="77777777" w:rsidR="000051B8" w:rsidRPr="00614C6B" w:rsidRDefault="000051B8" w:rsidP="000051B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B5F2BDB" w14:textId="77777777" w:rsidR="000051B8" w:rsidRPr="00614C6B" w:rsidRDefault="000051B8" w:rsidP="000051B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5D222516" w14:textId="77777777" w:rsidR="000051B8" w:rsidRPr="00614C6B" w:rsidRDefault="000051B8" w:rsidP="000051B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1F59421" w14:textId="77777777" w:rsidR="000051B8" w:rsidRPr="00614C6B" w:rsidRDefault="000051B8" w:rsidP="000051B8">
            <w:pPr>
              <w:rPr>
                <w:rFonts w:eastAsia="Times New Roman" w:cs="Tahoma"/>
                <w:b/>
                <w:bCs/>
                <w:color w:val="FFFFFF"/>
                <w:sz w:val="14"/>
                <w:szCs w:val="14"/>
                <w:lang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454063B2" w14:textId="77777777" w:rsidR="000051B8" w:rsidRPr="00614C6B" w:rsidRDefault="000051B8" w:rsidP="000051B8">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523D75DD" w14:textId="77777777" w:rsidR="000051B8" w:rsidRPr="00614C6B" w:rsidRDefault="000051B8" w:rsidP="000051B8">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1ADF73BB" w14:textId="77777777" w:rsidR="000051B8" w:rsidRPr="00614C6B" w:rsidRDefault="000051B8" w:rsidP="000051B8">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09679B9D" w14:textId="77777777" w:rsidR="000051B8" w:rsidRPr="00614C6B" w:rsidRDefault="000051B8" w:rsidP="000051B8">
            <w:pPr>
              <w:jc w:val="center"/>
              <w:rPr>
                <w:rFonts w:eastAsia="Times New Roman" w:cs="Tahoma"/>
                <w:b/>
                <w:bCs/>
                <w:color w:val="FFFFFF"/>
                <w:sz w:val="14"/>
                <w:szCs w:val="14"/>
                <w:lang w:eastAsia="en-GB"/>
              </w:rPr>
            </w:pPr>
            <w:r w:rsidRPr="00614C6B">
              <w:rPr>
                <w:rFonts w:eastAsia="Times New Roman" w:cs="Tahoma"/>
                <w:b/>
                <w:bCs/>
                <w:color w:val="FFFFFF"/>
                <w:sz w:val="14"/>
                <w:szCs w:val="14"/>
                <w:lang w:eastAsia="en-GB"/>
              </w:rPr>
              <w:t>Others</w:t>
            </w: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66C97EDE" w14:textId="77777777" w:rsidR="000051B8" w:rsidRPr="00614C6B" w:rsidRDefault="000051B8" w:rsidP="000051B8">
            <w:pPr>
              <w:rPr>
                <w:rFonts w:eastAsia="Times New Roman" w:cs="Tahoma"/>
                <w:b/>
                <w:bCs/>
                <w:color w:val="FFFFFF"/>
                <w:sz w:val="14"/>
                <w:szCs w:val="14"/>
                <w:lang w:eastAsia="en-GB"/>
              </w:rPr>
            </w:pPr>
          </w:p>
        </w:tc>
      </w:tr>
      <w:tr w:rsidR="000051B8" w:rsidRPr="00614C6B" w14:paraId="06D83C72" w14:textId="77777777" w:rsidTr="00564A1D">
        <w:trPr>
          <w:trHeight w:val="238"/>
        </w:trPr>
        <w:tc>
          <w:tcPr>
            <w:tcW w:w="1208" w:type="dxa"/>
            <w:tcBorders>
              <w:top w:val="single" w:sz="4" w:space="0" w:color="000000"/>
              <w:left w:val="single" w:sz="4" w:space="0" w:color="000000"/>
              <w:bottom w:val="nil"/>
              <w:right w:val="single" w:sz="4" w:space="0" w:color="auto"/>
            </w:tcBorders>
            <w:shd w:val="clear" w:color="000000" w:fill="D9D9D9"/>
            <w:noWrap/>
            <w:vAlign w:val="bottom"/>
            <w:hideMark/>
          </w:tcPr>
          <w:p w14:paraId="51457F41"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Bulgaria</w:t>
            </w:r>
          </w:p>
        </w:tc>
        <w:tc>
          <w:tcPr>
            <w:tcW w:w="2650" w:type="dxa"/>
            <w:tcBorders>
              <w:top w:val="single" w:sz="4" w:space="0" w:color="000000"/>
              <w:left w:val="nil"/>
              <w:bottom w:val="nil"/>
              <w:right w:val="single" w:sz="4" w:space="0" w:color="auto"/>
            </w:tcBorders>
            <w:shd w:val="clear" w:color="000000" w:fill="D9D9D9"/>
            <w:noWrap/>
            <w:vAlign w:val="bottom"/>
            <w:hideMark/>
          </w:tcPr>
          <w:p w14:paraId="722FC65D"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BG-NATIONAL_SURVEILLANCE</w:t>
            </w:r>
          </w:p>
        </w:tc>
        <w:tc>
          <w:tcPr>
            <w:tcW w:w="570" w:type="dxa"/>
            <w:tcBorders>
              <w:top w:val="single" w:sz="4" w:space="0" w:color="000000"/>
              <w:left w:val="nil"/>
              <w:bottom w:val="nil"/>
              <w:right w:val="single" w:sz="4" w:space="0" w:color="auto"/>
            </w:tcBorders>
            <w:shd w:val="clear" w:color="000000" w:fill="D9D9D9"/>
            <w:noWrap/>
            <w:vAlign w:val="bottom"/>
            <w:hideMark/>
          </w:tcPr>
          <w:p w14:paraId="2DD9D140"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single" w:sz="4" w:space="0" w:color="000000"/>
              <w:left w:val="nil"/>
              <w:bottom w:val="nil"/>
              <w:right w:val="single" w:sz="4" w:space="0" w:color="auto"/>
            </w:tcBorders>
            <w:shd w:val="clear" w:color="000000" w:fill="D9D9D9"/>
            <w:noWrap/>
            <w:vAlign w:val="bottom"/>
            <w:hideMark/>
          </w:tcPr>
          <w:p w14:paraId="183D5AA5"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single" w:sz="4" w:space="0" w:color="000000"/>
              <w:left w:val="nil"/>
              <w:bottom w:val="nil"/>
              <w:right w:val="single" w:sz="4" w:space="0" w:color="auto"/>
            </w:tcBorders>
            <w:shd w:val="clear" w:color="000000" w:fill="D9D9D9"/>
            <w:noWrap/>
            <w:vAlign w:val="bottom"/>
            <w:hideMark/>
          </w:tcPr>
          <w:p w14:paraId="04CB2FFB"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single" w:sz="4" w:space="0" w:color="000000"/>
              <w:left w:val="nil"/>
              <w:bottom w:val="nil"/>
              <w:right w:val="single" w:sz="4" w:space="0" w:color="auto"/>
            </w:tcBorders>
            <w:shd w:val="clear" w:color="000000" w:fill="D9D9D9"/>
            <w:noWrap/>
            <w:vAlign w:val="bottom"/>
            <w:hideMark/>
          </w:tcPr>
          <w:p w14:paraId="01FC60F7"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single" w:sz="4" w:space="0" w:color="000000"/>
              <w:left w:val="nil"/>
              <w:bottom w:val="nil"/>
              <w:right w:val="single" w:sz="4" w:space="0" w:color="auto"/>
            </w:tcBorders>
            <w:shd w:val="clear" w:color="000000" w:fill="D9D9D9"/>
            <w:noWrap/>
            <w:vAlign w:val="bottom"/>
            <w:hideMark/>
          </w:tcPr>
          <w:p w14:paraId="4A20A0B9"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60C2AD81"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2787059B"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single" w:sz="4" w:space="0" w:color="000000"/>
              <w:left w:val="nil"/>
              <w:bottom w:val="nil"/>
              <w:right w:val="single" w:sz="4" w:space="0" w:color="auto"/>
            </w:tcBorders>
            <w:shd w:val="clear" w:color="000000" w:fill="D9D9D9"/>
            <w:noWrap/>
            <w:vAlign w:val="bottom"/>
            <w:hideMark/>
          </w:tcPr>
          <w:p w14:paraId="01EED9B0"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1734" w:type="dxa"/>
            <w:tcBorders>
              <w:top w:val="single" w:sz="4" w:space="0" w:color="000000"/>
              <w:left w:val="nil"/>
              <w:bottom w:val="nil"/>
              <w:right w:val="single" w:sz="4" w:space="0" w:color="000000"/>
            </w:tcBorders>
            <w:shd w:val="clear" w:color="000000" w:fill="D9D9D9"/>
            <w:noWrap/>
            <w:vAlign w:val="bottom"/>
            <w:hideMark/>
          </w:tcPr>
          <w:p w14:paraId="4321E843"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0051B8" w:rsidRPr="00614C6B" w14:paraId="5687E1FF" w14:textId="77777777" w:rsidTr="00564A1D">
        <w:trPr>
          <w:trHeight w:val="238"/>
        </w:trPr>
        <w:tc>
          <w:tcPr>
            <w:tcW w:w="1208" w:type="dxa"/>
            <w:tcBorders>
              <w:top w:val="nil"/>
              <w:left w:val="single" w:sz="4" w:space="0" w:color="000000"/>
              <w:bottom w:val="nil"/>
              <w:right w:val="single" w:sz="4" w:space="0" w:color="auto"/>
            </w:tcBorders>
            <w:shd w:val="clear" w:color="auto" w:fill="auto"/>
            <w:noWrap/>
            <w:vAlign w:val="bottom"/>
            <w:hideMark/>
          </w:tcPr>
          <w:p w14:paraId="30938D53"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Croatia</w:t>
            </w:r>
          </w:p>
        </w:tc>
        <w:tc>
          <w:tcPr>
            <w:tcW w:w="2650" w:type="dxa"/>
            <w:tcBorders>
              <w:top w:val="nil"/>
              <w:left w:val="nil"/>
              <w:bottom w:val="nil"/>
              <w:right w:val="single" w:sz="4" w:space="0" w:color="auto"/>
            </w:tcBorders>
            <w:shd w:val="clear" w:color="auto" w:fill="auto"/>
            <w:noWrap/>
            <w:vAlign w:val="bottom"/>
            <w:hideMark/>
          </w:tcPr>
          <w:p w14:paraId="27A16D90"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HR-CNIPH</w:t>
            </w:r>
          </w:p>
        </w:tc>
        <w:tc>
          <w:tcPr>
            <w:tcW w:w="570" w:type="dxa"/>
            <w:tcBorders>
              <w:top w:val="nil"/>
              <w:left w:val="nil"/>
              <w:bottom w:val="nil"/>
              <w:right w:val="single" w:sz="4" w:space="0" w:color="auto"/>
            </w:tcBorders>
            <w:shd w:val="clear" w:color="auto" w:fill="auto"/>
            <w:noWrap/>
            <w:vAlign w:val="bottom"/>
            <w:hideMark/>
          </w:tcPr>
          <w:p w14:paraId="76F500EE"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30319F93"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AC3A0A4"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DF6B667"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CC06CF4"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D2096D2"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646C963"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4A89F4E"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1734" w:type="dxa"/>
            <w:tcBorders>
              <w:top w:val="nil"/>
              <w:left w:val="nil"/>
              <w:bottom w:val="nil"/>
              <w:right w:val="single" w:sz="4" w:space="0" w:color="000000"/>
            </w:tcBorders>
            <w:shd w:val="clear" w:color="auto" w:fill="auto"/>
            <w:noWrap/>
            <w:vAlign w:val="bottom"/>
            <w:hideMark/>
          </w:tcPr>
          <w:p w14:paraId="53F419A0"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EU-2012</w:t>
            </w:r>
          </w:p>
        </w:tc>
      </w:tr>
      <w:tr w:rsidR="000051B8" w:rsidRPr="00614C6B" w14:paraId="11814CDB" w14:textId="77777777" w:rsidTr="00564A1D">
        <w:trPr>
          <w:trHeight w:val="238"/>
        </w:trPr>
        <w:tc>
          <w:tcPr>
            <w:tcW w:w="1208" w:type="dxa"/>
            <w:tcBorders>
              <w:top w:val="nil"/>
              <w:left w:val="single" w:sz="4" w:space="0" w:color="000000"/>
              <w:bottom w:val="nil"/>
              <w:right w:val="single" w:sz="4" w:space="0" w:color="auto"/>
            </w:tcBorders>
            <w:shd w:val="clear" w:color="000000" w:fill="D9D9D9"/>
            <w:noWrap/>
            <w:vAlign w:val="bottom"/>
            <w:hideMark/>
          </w:tcPr>
          <w:p w14:paraId="35F5C96E"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Cyprus</w:t>
            </w:r>
          </w:p>
        </w:tc>
        <w:tc>
          <w:tcPr>
            <w:tcW w:w="2650" w:type="dxa"/>
            <w:tcBorders>
              <w:top w:val="nil"/>
              <w:left w:val="nil"/>
              <w:bottom w:val="nil"/>
              <w:right w:val="single" w:sz="4" w:space="0" w:color="auto"/>
            </w:tcBorders>
            <w:shd w:val="clear" w:color="000000" w:fill="D9D9D9"/>
            <w:noWrap/>
            <w:vAlign w:val="bottom"/>
            <w:hideMark/>
          </w:tcPr>
          <w:p w14:paraId="313D59FA"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CY-NOTIFIED_DISEASES</w:t>
            </w:r>
          </w:p>
        </w:tc>
        <w:tc>
          <w:tcPr>
            <w:tcW w:w="570" w:type="dxa"/>
            <w:tcBorders>
              <w:top w:val="nil"/>
              <w:left w:val="nil"/>
              <w:bottom w:val="nil"/>
              <w:right w:val="single" w:sz="4" w:space="0" w:color="auto"/>
            </w:tcBorders>
            <w:shd w:val="clear" w:color="000000" w:fill="D9D9D9"/>
            <w:noWrap/>
            <w:vAlign w:val="bottom"/>
            <w:hideMark/>
          </w:tcPr>
          <w:p w14:paraId="19B19D92"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4DF6A408"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09FFB761"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322AAA01"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29C8B0D2"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13343492"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54D17511"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hideMark/>
          </w:tcPr>
          <w:p w14:paraId="0284F794"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000000" w:fill="D9D9D9"/>
            <w:noWrap/>
            <w:vAlign w:val="bottom"/>
            <w:hideMark/>
          </w:tcPr>
          <w:p w14:paraId="421A998B"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EU-2008</w:t>
            </w:r>
          </w:p>
        </w:tc>
      </w:tr>
      <w:tr w:rsidR="000051B8" w:rsidRPr="00614C6B" w14:paraId="72FC24A5" w14:textId="77777777" w:rsidTr="00564A1D">
        <w:trPr>
          <w:trHeight w:val="238"/>
        </w:trPr>
        <w:tc>
          <w:tcPr>
            <w:tcW w:w="1208" w:type="dxa"/>
            <w:tcBorders>
              <w:top w:val="nil"/>
              <w:left w:val="single" w:sz="4" w:space="0" w:color="000000"/>
              <w:bottom w:val="nil"/>
              <w:right w:val="single" w:sz="4" w:space="0" w:color="auto"/>
            </w:tcBorders>
            <w:shd w:val="clear" w:color="auto" w:fill="auto"/>
            <w:noWrap/>
            <w:vAlign w:val="bottom"/>
            <w:hideMark/>
          </w:tcPr>
          <w:p w14:paraId="286E327F"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Czechia</w:t>
            </w:r>
          </w:p>
        </w:tc>
        <w:tc>
          <w:tcPr>
            <w:tcW w:w="2650" w:type="dxa"/>
            <w:tcBorders>
              <w:top w:val="nil"/>
              <w:left w:val="nil"/>
              <w:bottom w:val="nil"/>
              <w:right w:val="single" w:sz="4" w:space="0" w:color="auto"/>
            </w:tcBorders>
            <w:shd w:val="clear" w:color="auto" w:fill="auto"/>
            <w:noWrap/>
            <w:vAlign w:val="bottom"/>
            <w:hideMark/>
          </w:tcPr>
          <w:p w14:paraId="2693E9CF"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CZ-ISIN</w:t>
            </w:r>
          </w:p>
        </w:tc>
        <w:tc>
          <w:tcPr>
            <w:tcW w:w="570" w:type="dxa"/>
            <w:tcBorders>
              <w:top w:val="nil"/>
              <w:left w:val="nil"/>
              <w:bottom w:val="nil"/>
              <w:right w:val="single" w:sz="4" w:space="0" w:color="auto"/>
            </w:tcBorders>
            <w:shd w:val="clear" w:color="auto" w:fill="auto"/>
            <w:noWrap/>
            <w:vAlign w:val="bottom"/>
            <w:hideMark/>
          </w:tcPr>
          <w:p w14:paraId="137D8278"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5102E805"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78BEB05"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4DC40B89"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4FB762F"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DF1ED18"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521B404"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903F8DD"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auto" w:fill="auto"/>
            <w:noWrap/>
            <w:vAlign w:val="bottom"/>
            <w:hideMark/>
          </w:tcPr>
          <w:p w14:paraId="186EF00F"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EU-2008</w:t>
            </w:r>
          </w:p>
        </w:tc>
      </w:tr>
      <w:tr w:rsidR="000051B8" w:rsidRPr="00614C6B" w14:paraId="1D1719C8" w14:textId="77777777" w:rsidTr="00564A1D">
        <w:trPr>
          <w:trHeight w:val="238"/>
        </w:trPr>
        <w:tc>
          <w:tcPr>
            <w:tcW w:w="1208" w:type="dxa"/>
            <w:tcBorders>
              <w:top w:val="nil"/>
              <w:left w:val="single" w:sz="4" w:space="0" w:color="000000"/>
              <w:bottom w:val="nil"/>
              <w:right w:val="single" w:sz="4" w:space="0" w:color="auto"/>
            </w:tcBorders>
            <w:shd w:val="clear" w:color="000000" w:fill="D9D9D9"/>
            <w:noWrap/>
            <w:vAlign w:val="bottom"/>
            <w:hideMark/>
          </w:tcPr>
          <w:p w14:paraId="4E16CCCB"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Estonia</w:t>
            </w:r>
          </w:p>
        </w:tc>
        <w:tc>
          <w:tcPr>
            <w:tcW w:w="2650" w:type="dxa"/>
            <w:tcBorders>
              <w:top w:val="nil"/>
              <w:left w:val="nil"/>
              <w:bottom w:val="nil"/>
              <w:right w:val="single" w:sz="4" w:space="0" w:color="auto"/>
            </w:tcBorders>
            <w:shd w:val="clear" w:color="000000" w:fill="D9D9D9"/>
            <w:noWrap/>
            <w:vAlign w:val="bottom"/>
            <w:hideMark/>
          </w:tcPr>
          <w:p w14:paraId="5BBB7584"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EE-NAKIS</w:t>
            </w:r>
          </w:p>
        </w:tc>
        <w:tc>
          <w:tcPr>
            <w:tcW w:w="570" w:type="dxa"/>
            <w:tcBorders>
              <w:top w:val="nil"/>
              <w:left w:val="nil"/>
              <w:bottom w:val="nil"/>
              <w:right w:val="single" w:sz="4" w:space="0" w:color="auto"/>
            </w:tcBorders>
            <w:shd w:val="clear" w:color="000000" w:fill="D9D9D9"/>
            <w:noWrap/>
            <w:vAlign w:val="bottom"/>
            <w:hideMark/>
          </w:tcPr>
          <w:p w14:paraId="419826C3"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hideMark/>
          </w:tcPr>
          <w:p w14:paraId="0513F091"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hideMark/>
          </w:tcPr>
          <w:p w14:paraId="6900A977"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hideMark/>
          </w:tcPr>
          <w:p w14:paraId="59721C4F"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hideMark/>
          </w:tcPr>
          <w:p w14:paraId="09B4F9FD"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7EE718FA"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02B62643"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hideMark/>
          </w:tcPr>
          <w:p w14:paraId="20E67A22"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000000" w:fill="D9D9D9"/>
            <w:noWrap/>
            <w:vAlign w:val="bottom"/>
            <w:hideMark/>
          </w:tcPr>
          <w:p w14:paraId="44E8411F"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0051B8" w:rsidRPr="00614C6B" w14:paraId="748F8CA5" w14:textId="77777777" w:rsidTr="00564A1D">
        <w:trPr>
          <w:trHeight w:val="238"/>
        </w:trPr>
        <w:tc>
          <w:tcPr>
            <w:tcW w:w="1208" w:type="dxa"/>
            <w:tcBorders>
              <w:top w:val="nil"/>
              <w:left w:val="single" w:sz="4" w:space="0" w:color="000000"/>
              <w:bottom w:val="nil"/>
              <w:right w:val="single" w:sz="4" w:space="0" w:color="auto"/>
            </w:tcBorders>
            <w:shd w:val="clear" w:color="auto" w:fill="auto"/>
            <w:noWrap/>
            <w:vAlign w:val="bottom"/>
            <w:hideMark/>
          </w:tcPr>
          <w:p w14:paraId="1A44C721"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Finland</w:t>
            </w:r>
          </w:p>
        </w:tc>
        <w:tc>
          <w:tcPr>
            <w:tcW w:w="2650" w:type="dxa"/>
            <w:tcBorders>
              <w:top w:val="nil"/>
              <w:left w:val="nil"/>
              <w:bottom w:val="nil"/>
              <w:right w:val="single" w:sz="4" w:space="0" w:color="auto"/>
            </w:tcBorders>
            <w:shd w:val="clear" w:color="auto" w:fill="auto"/>
            <w:noWrap/>
            <w:vAlign w:val="bottom"/>
            <w:hideMark/>
          </w:tcPr>
          <w:p w14:paraId="5B97FCAD"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FI-NIDR</w:t>
            </w:r>
          </w:p>
        </w:tc>
        <w:tc>
          <w:tcPr>
            <w:tcW w:w="570" w:type="dxa"/>
            <w:tcBorders>
              <w:top w:val="nil"/>
              <w:left w:val="nil"/>
              <w:bottom w:val="nil"/>
              <w:right w:val="single" w:sz="4" w:space="0" w:color="auto"/>
            </w:tcBorders>
            <w:shd w:val="clear" w:color="auto" w:fill="auto"/>
            <w:noWrap/>
            <w:vAlign w:val="bottom"/>
            <w:hideMark/>
          </w:tcPr>
          <w:p w14:paraId="70C561D2"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5F46A17C"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3ADF6FA"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3E8A1FF"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E9B90EB"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1138D0B"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5616BAA2"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4102B84F"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auto" w:fill="auto"/>
            <w:noWrap/>
            <w:vAlign w:val="bottom"/>
            <w:hideMark/>
          </w:tcPr>
          <w:p w14:paraId="20659847" w14:textId="77777777" w:rsidR="000051B8" w:rsidRPr="00614C6B" w:rsidRDefault="000051B8" w:rsidP="00614C6B">
            <w:pPr>
              <w:spacing w:before="120" w:after="0"/>
              <w:rPr>
                <w:rFonts w:eastAsia="Times New Roman" w:cs="Tahoma"/>
                <w:sz w:val="14"/>
                <w:szCs w:val="14"/>
                <w:lang w:eastAsia="en-GB"/>
              </w:rPr>
            </w:pPr>
            <w:r w:rsidRPr="00614C6B">
              <w:rPr>
                <w:rFonts w:eastAsia="Times New Roman" w:cs="Tahoma"/>
                <w:sz w:val="14"/>
                <w:szCs w:val="14"/>
                <w:lang w:eastAsia="en-GB"/>
              </w:rPr>
              <w:t>EU-2012</w:t>
            </w:r>
          </w:p>
        </w:tc>
      </w:tr>
      <w:tr w:rsidR="00967892" w:rsidRPr="00614C6B" w14:paraId="0B5EDF37" w14:textId="77777777" w:rsidTr="002801C5">
        <w:trPr>
          <w:trHeight w:val="238"/>
        </w:trPr>
        <w:tc>
          <w:tcPr>
            <w:tcW w:w="1208" w:type="dxa"/>
            <w:tcBorders>
              <w:top w:val="nil"/>
              <w:left w:val="single" w:sz="4" w:space="0" w:color="000000"/>
              <w:right w:val="single" w:sz="4" w:space="0" w:color="auto"/>
            </w:tcBorders>
            <w:shd w:val="clear" w:color="000000" w:fill="D9D9D9"/>
            <w:noWrap/>
            <w:vAlign w:val="bottom"/>
          </w:tcPr>
          <w:p w14:paraId="42138044" w14:textId="578E603A" w:rsidR="00967892" w:rsidRPr="00614C6B" w:rsidRDefault="00967892" w:rsidP="00967892">
            <w:pPr>
              <w:spacing w:before="120" w:after="0"/>
              <w:rPr>
                <w:rFonts w:eastAsia="Times New Roman" w:cs="Tahoma"/>
                <w:sz w:val="14"/>
                <w:szCs w:val="14"/>
                <w:lang w:eastAsia="en-GB"/>
              </w:rPr>
            </w:pPr>
            <w:r>
              <w:rPr>
                <w:rFonts w:eastAsia="Times New Roman" w:cs="Tahoma"/>
                <w:sz w:val="14"/>
                <w:szCs w:val="14"/>
                <w:lang w:eastAsia="en-GB"/>
              </w:rPr>
              <w:t>France</w:t>
            </w:r>
          </w:p>
        </w:tc>
        <w:tc>
          <w:tcPr>
            <w:tcW w:w="2650" w:type="dxa"/>
            <w:tcBorders>
              <w:top w:val="nil"/>
              <w:left w:val="nil"/>
              <w:right w:val="single" w:sz="4" w:space="0" w:color="auto"/>
            </w:tcBorders>
            <w:shd w:val="clear" w:color="000000" w:fill="D9D9D9"/>
            <w:noWrap/>
          </w:tcPr>
          <w:p w14:paraId="012C80F5" w14:textId="0F661DCF"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FR-NATIONAL_REFERENCE_CENTRES</w:t>
            </w:r>
          </w:p>
        </w:tc>
        <w:tc>
          <w:tcPr>
            <w:tcW w:w="570" w:type="dxa"/>
            <w:tcBorders>
              <w:top w:val="nil"/>
              <w:left w:val="nil"/>
              <w:right w:val="single" w:sz="4" w:space="0" w:color="auto"/>
            </w:tcBorders>
            <w:shd w:val="clear" w:color="000000" w:fill="D9D9D9"/>
            <w:noWrap/>
          </w:tcPr>
          <w:p w14:paraId="235BD8B9" w14:textId="5B923F80"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VOLO</w:t>
            </w:r>
          </w:p>
        </w:tc>
        <w:tc>
          <w:tcPr>
            <w:tcW w:w="570" w:type="dxa"/>
            <w:tcBorders>
              <w:top w:val="nil"/>
              <w:left w:val="nil"/>
              <w:right w:val="single" w:sz="4" w:space="0" w:color="auto"/>
            </w:tcBorders>
            <w:shd w:val="clear" w:color="000000" w:fill="D9D9D9"/>
            <w:noWrap/>
          </w:tcPr>
          <w:p w14:paraId="15960102" w14:textId="149AFF46"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Co</w:t>
            </w:r>
          </w:p>
        </w:tc>
        <w:tc>
          <w:tcPr>
            <w:tcW w:w="570" w:type="dxa"/>
            <w:tcBorders>
              <w:top w:val="nil"/>
              <w:left w:val="nil"/>
              <w:right w:val="single" w:sz="4" w:space="0" w:color="auto"/>
            </w:tcBorders>
            <w:shd w:val="clear" w:color="000000" w:fill="D9D9D9"/>
            <w:noWrap/>
          </w:tcPr>
          <w:p w14:paraId="36B179DD" w14:textId="193FD7E1"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A</w:t>
            </w:r>
          </w:p>
        </w:tc>
        <w:tc>
          <w:tcPr>
            <w:tcW w:w="570" w:type="dxa"/>
            <w:tcBorders>
              <w:top w:val="nil"/>
              <w:left w:val="nil"/>
              <w:right w:val="single" w:sz="4" w:space="0" w:color="auto"/>
            </w:tcBorders>
            <w:shd w:val="clear" w:color="000000" w:fill="D9D9D9"/>
            <w:noWrap/>
          </w:tcPr>
          <w:p w14:paraId="519CE418" w14:textId="41499619"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C</w:t>
            </w:r>
          </w:p>
        </w:tc>
        <w:tc>
          <w:tcPr>
            <w:tcW w:w="570" w:type="dxa"/>
            <w:tcBorders>
              <w:top w:val="nil"/>
              <w:left w:val="nil"/>
              <w:right w:val="single" w:sz="4" w:space="0" w:color="auto"/>
            </w:tcBorders>
            <w:shd w:val="clear" w:color="000000" w:fill="D9D9D9"/>
            <w:noWrap/>
          </w:tcPr>
          <w:p w14:paraId="0AE755EC" w14:textId="3F10223C"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Y</w:t>
            </w:r>
          </w:p>
        </w:tc>
        <w:tc>
          <w:tcPr>
            <w:tcW w:w="570" w:type="dxa"/>
            <w:tcBorders>
              <w:top w:val="nil"/>
              <w:left w:val="nil"/>
              <w:right w:val="single" w:sz="4" w:space="0" w:color="auto"/>
            </w:tcBorders>
            <w:shd w:val="clear" w:color="000000" w:fill="D9D9D9"/>
            <w:noWrap/>
          </w:tcPr>
          <w:p w14:paraId="67D7F31B" w14:textId="68FE39E0"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N</w:t>
            </w:r>
          </w:p>
        </w:tc>
        <w:tc>
          <w:tcPr>
            <w:tcW w:w="570" w:type="dxa"/>
            <w:tcBorders>
              <w:top w:val="nil"/>
              <w:left w:val="nil"/>
              <w:right w:val="single" w:sz="4" w:space="0" w:color="auto"/>
            </w:tcBorders>
            <w:shd w:val="clear" w:color="000000" w:fill="D9D9D9"/>
            <w:noWrap/>
          </w:tcPr>
          <w:p w14:paraId="629651BC" w14:textId="7BFF3DA8"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N</w:t>
            </w:r>
          </w:p>
        </w:tc>
        <w:tc>
          <w:tcPr>
            <w:tcW w:w="570" w:type="dxa"/>
            <w:tcBorders>
              <w:top w:val="nil"/>
              <w:left w:val="nil"/>
              <w:right w:val="single" w:sz="4" w:space="0" w:color="auto"/>
            </w:tcBorders>
            <w:shd w:val="clear" w:color="000000" w:fill="D9D9D9"/>
            <w:noWrap/>
          </w:tcPr>
          <w:p w14:paraId="3BCA8DF6" w14:textId="09ED5CD5"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N</w:t>
            </w:r>
          </w:p>
        </w:tc>
        <w:tc>
          <w:tcPr>
            <w:tcW w:w="1734" w:type="dxa"/>
            <w:tcBorders>
              <w:top w:val="nil"/>
              <w:left w:val="nil"/>
              <w:right w:val="single" w:sz="4" w:space="0" w:color="000000"/>
            </w:tcBorders>
            <w:shd w:val="clear" w:color="000000" w:fill="D9D9D9"/>
            <w:noWrap/>
          </w:tcPr>
          <w:p w14:paraId="64B4E916" w14:textId="720F0229" w:rsidR="00967892" w:rsidRPr="00967892" w:rsidRDefault="00967892" w:rsidP="00967892">
            <w:pPr>
              <w:spacing w:before="120" w:after="0"/>
              <w:rPr>
                <w:rFonts w:eastAsia="Times New Roman" w:cs="Tahoma"/>
                <w:sz w:val="14"/>
                <w:szCs w:val="14"/>
                <w:lang w:eastAsia="en-GB"/>
              </w:rPr>
            </w:pPr>
            <w:r w:rsidRPr="00967892">
              <w:rPr>
                <w:rFonts w:cs="Tahoma"/>
                <w:color w:val="000000"/>
                <w:sz w:val="14"/>
                <w:szCs w:val="14"/>
              </w:rPr>
              <w:t>Other</w:t>
            </w:r>
          </w:p>
        </w:tc>
      </w:tr>
      <w:tr w:rsidR="00AA0DCA" w:rsidRPr="00614C6B" w14:paraId="618844D5" w14:textId="77777777" w:rsidTr="002801C5">
        <w:trPr>
          <w:trHeight w:val="238"/>
        </w:trPr>
        <w:tc>
          <w:tcPr>
            <w:tcW w:w="1208" w:type="dxa"/>
            <w:tcBorders>
              <w:top w:val="nil"/>
              <w:left w:val="single" w:sz="4" w:space="0" w:color="000000"/>
              <w:bottom w:val="nil"/>
              <w:right w:val="single" w:sz="4" w:space="0" w:color="auto"/>
            </w:tcBorders>
            <w:shd w:val="clear" w:color="000000" w:fill="FFFFFF" w:themeFill="background1"/>
            <w:noWrap/>
            <w:vAlign w:val="bottom"/>
          </w:tcPr>
          <w:p w14:paraId="39149C0E" w14:textId="2D339E23" w:rsidR="00AA0DCA" w:rsidRDefault="00AA0DCA" w:rsidP="00AA0DCA">
            <w:pPr>
              <w:spacing w:before="120" w:after="0"/>
              <w:rPr>
                <w:rFonts w:eastAsia="Times New Roman" w:cs="Tahoma"/>
                <w:sz w:val="14"/>
                <w:szCs w:val="14"/>
                <w:lang w:eastAsia="en-GB"/>
              </w:rPr>
            </w:pPr>
            <w:r>
              <w:rPr>
                <w:rFonts w:eastAsia="Times New Roman" w:cs="Tahoma"/>
                <w:sz w:val="14"/>
                <w:szCs w:val="14"/>
                <w:lang w:eastAsia="en-GB"/>
              </w:rPr>
              <w:t>Germany</w:t>
            </w:r>
          </w:p>
        </w:tc>
        <w:tc>
          <w:tcPr>
            <w:tcW w:w="2650" w:type="dxa"/>
            <w:tcBorders>
              <w:top w:val="nil"/>
              <w:left w:val="nil"/>
              <w:bottom w:val="nil"/>
              <w:right w:val="single" w:sz="4" w:space="0" w:color="auto"/>
            </w:tcBorders>
            <w:shd w:val="clear" w:color="000000" w:fill="FFFFFF" w:themeFill="background1"/>
            <w:noWrap/>
          </w:tcPr>
          <w:p w14:paraId="66B39D0D" w14:textId="20A803FB"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DE-SURVNET@RKI-7.1</w:t>
            </w:r>
          </w:p>
        </w:tc>
        <w:tc>
          <w:tcPr>
            <w:tcW w:w="570" w:type="dxa"/>
            <w:tcBorders>
              <w:top w:val="nil"/>
              <w:left w:val="nil"/>
              <w:bottom w:val="nil"/>
              <w:right w:val="single" w:sz="4" w:space="0" w:color="auto"/>
            </w:tcBorders>
            <w:shd w:val="clear" w:color="000000" w:fill="FFFFFF" w:themeFill="background1"/>
            <w:noWrap/>
          </w:tcPr>
          <w:p w14:paraId="139CEA78" w14:textId="68AD8481"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Cp</w:t>
            </w:r>
          </w:p>
        </w:tc>
        <w:tc>
          <w:tcPr>
            <w:tcW w:w="570" w:type="dxa"/>
            <w:tcBorders>
              <w:top w:val="nil"/>
              <w:left w:val="nil"/>
              <w:bottom w:val="nil"/>
              <w:right w:val="single" w:sz="4" w:space="0" w:color="auto"/>
            </w:tcBorders>
            <w:shd w:val="clear" w:color="000000" w:fill="FFFFFF" w:themeFill="background1"/>
            <w:noWrap/>
          </w:tcPr>
          <w:p w14:paraId="05DBC2E8" w14:textId="63C13E46"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Co</w:t>
            </w:r>
          </w:p>
        </w:tc>
        <w:tc>
          <w:tcPr>
            <w:tcW w:w="570" w:type="dxa"/>
            <w:tcBorders>
              <w:top w:val="nil"/>
              <w:left w:val="nil"/>
              <w:bottom w:val="nil"/>
              <w:right w:val="single" w:sz="4" w:space="0" w:color="auto"/>
            </w:tcBorders>
            <w:shd w:val="clear" w:color="000000" w:fill="FFFFFF" w:themeFill="background1"/>
            <w:noWrap/>
          </w:tcPr>
          <w:p w14:paraId="5AD0F26E" w14:textId="077EF579"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P</w:t>
            </w:r>
          </w:p>
        </w:tc>
        <w:tc>
          <w:tcPr>
            <w:tcW w:w="570" w:type="dxa"/>
            <w:tcBorders>
              <w:top w:val="nil"/>
              <w:left w:val="nil"/>
              <w:bottom w:val="nil"/>
              <w:right w:val="single" w:sz="4" w:space="0" w:color="auto"/>
            </w:tcBorders>
            <w:shd w:val="clear" w:color="000000" w:fill="FFFFFF" w:themeFill="background1"/>
            <w:noWrap/>
          </w:tcPr>
          <w:p w14:paraId="1CF14FFD" w14:textId="2C9BE7F8"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C</w:t>
            </w:r>
          </w:p>
        </w:tc>
        <w:tc>
          <w:tcPr>
            <w:tcW w:w="570" w:type="dxa"/>
            <w:tcBorders>
              <w:top w:val="nil"/>
              <w:left w:val="nil"/>
              <w:bottom w:val="nil"/>
              <w:right w:val="single" w:sz="4" w:space="0" w:color="auto"/>
            </w:tcBorders>
            <w:shd w:val="clear" w:color="000000" w:fill="FFFFFF" w:themeFill="background1"/>
            <w:noWrap/>
          </w:tcPr>
          <w:p w14:paraId="70965135" w14:textId="741ED3BB"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Y</w:t>
            </w:r>
          </w:p>
        </w:tc>
        <w:tc>
          <w:tcPr>
            <w:tcW w:w="570" w:type="dxa"/>
            <w:tcBorders>
              <w:top w:val="nil"/>
              <w:left w:val="nil"/>
              <w:bottom w:val="nil"/>
              <w:right w:val="single" w:sz="4" w:space="0" w:color="auto"/>
            </w:tcBorders>
            <w:shd w:val="clear" w:color="000000" w:fill="FFFFFF" w:themeFill="background1"/>
            <w:noWrap/>
          </w:tcPr>
          <w:p w14:paraId="51B65637" w14:textId="5DADA771"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N</w:t>
            </w:r>
          </w:p>
        </w:tc>
        <w:tc>
          <w:tcPr>
            <w:tcW w:w="570" w:type="dxa"/>
            <w:tcBorders>
              <w:top w:val="nil"/>
              <w:left w:val="nil"/>
              <w:bottom w:val="nil"/>
              <w:right w:val="single" w:sz="4" w:space="0" w:color="auto"/>
            </w:tcBorders>
            <w:shd w:val="clear" w:color="000000" w:fill="FFFFFF" w:themeFill="background1"/>
            <w:noWrap/>
          </w:tcPr>
          <w:p w14:paraId="5B164E7A" w14:textId="69FD734A"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N</w:t>
            </w:r>
          </w:p>
        </w:tc>
        <w:tc>
          <w:tcPr>
            <w:tcW w:w="570" w:type="dxa"/>
            <w:tcBorders>
              <w:top w:val="nil"/>
              <w:left w:val="nil"/>
              <w:bottom w:val="nil"/>
              <w:right w:val="single" w:sz="4" w:space="0" w:color="auto"/>
            </w:tcBorders>
            <w:shd w:val="clear" w:color="000000" w:fill="FFFFFF" w:themeFill="background1"/>
            <w:noWrap/>
          </w:tcPr>
          <w:p w14:paraId="01CD77A4" w14:textId="3B3CC489"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N</w:t>
            </w:r>
          </w:p>
        </w:tc>
        <w:tc>
          <w:tcPr>
            <w:tcW w:w="1734" w:type="dxa"/>
            <w:tcBorders>
              <w:top w:val="nil"/>
              <w:left w:val="nil"/>
              <w:bottom w:val="nil"/>
              <w:right w:val="single" w:sz="4" w:space="0" w:color="000000"/>
            </w:tcBorders>
            <w:shd w:val="clear" w:color="000000" w:fill="FFFFFF" w:themeFill="background1"/>
            <w:noWrap/>
          </w:tcPr>
          <w:p w14:paraId="42736F79" w14:textId="254C8FC4" w:rsidR="00AA0DCA" w:rsidRPr="00AA0DCA" w:rsidRDefault="00AA0DCA" w:rsidP="00AA0DCA">
            <w:pPr>
              <w:spacing w:before="120" w:after="0"/>
              <w:rPr>
                <w:rFonts w:cs="Tahoma"/>
                <w:color w:val="000000"/>
                <w:sz w:val="14"/>
                <w:szCs w:val="14"/>
              </w:rPr>
            </w:pPr>
            <w:r w:rsidRPr="00AA0DCA">
              <w:rPr>
                <w:rFonts w:ascii="Arial" w:hAnsi="Arial" w:cs="Arial"/>
                <w:color w:val="000000"/>
                <w:sz w:val="14"/>
                <w:szCs w:val="14"/>
              </w:rPr>
              <w:t>Other</w:t>
            </w:r>
          </w:p>
        </w:tc>
      </w:tr>
      <w:tr w:rsidR="000D49AF" w:rsidRPr="00614C6B" w14:paraId="3FAE25C2" w14:textId="77777777" w:rsidTr="001F5829">
        <w:trPr>
          <w:trHeight w:val="238"/>
        </w:trPr>
        <w:tc>
          <w:tcPr>
            <w:tcW w:w="1208" w:type="dxa"/>
            <w:tcBorders>
              <w:top w:val="nil"/>
              <w:left w:val="single" w:sz="4" w:space="0" w:color="000000"/>
              <w:bottom w:val="nil"/>
              <w:right w:val="single" w:sz="4" w:space="0" w:color="auto"/>
            </w:tcBorders>
            <w:shd w:val="clear" w:color="000000" w:fill="D9D9D9"/>
            <w:noWrap/>
            <w:vAlign w:val="bottom"/>
          </w:tcPr>
          <w:p w14:paraId="6E0AAD78" w14:textId="6ED40920" w:rsidR="000D49AF"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Hungary</w:t>
            </w:r>
          </w:p>
        </w:tc>
        <w:tc>
          <w:tcPr>
            <w:tcW w:w="2650" w:type="dxa"/>
            <w:tcBorders>
              <w:top w:val="nil"/>
              <w:left w:val="nil"/>
              <w:bottom w:val="nil"/>
              <w:right w:val="single" w:sz="4" w:space="0" w:color="auto"/>
            </w:tcBorders>
            <w:shd w:val="clear" w:color="000000" w:fill="D9D9D9"/>
            <w:noWrap/>
            <w:vAlign w:val="bottom"/>
          </w:tcPr>
          <w:p w14:paraId="2AADC729" w14:textId="576F1133"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HU-EFRIR</w:t>
            </w:r>
          </w:p>
        </w:tc>
        <w:tc>
          <w:tcPr>
            <w:tcW w:w="570" w:type="dxa"/>
            <w:tcBorders>
              <w:top w:val="nil"/>
              <w:left w:val="nil"/>
              <w:bottom w:val="nil"/>
              <w:right w:val="single" w:sz="4" w:space="0" w:color="auto"/>
            </w:tcBorders>
            <w:shd w:val="clear" w:color="000000" w:fill="D9D9D9"/>
            <w:noWrap/>
            <w:vAlign w:val="bottom"/>
          </w:tcPr>
          <w:p w14:paraId="67BE3F64" w14:textId="5AF3C60A"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0892D4D2" w14:textId="550158C8"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03FB2893" w14:textId="2FB7C0C2"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5550504A" w14:textId="376A8C9F"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05250C44" w14:textId="0DA187CE"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95436F6" w14:textId="08E3ADBA"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2ECD664B" w14:textId="218C5B6A"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18DA0684" w14:textId="209BB6BE"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000000" w:fill="D9D9D9"/>
            <w:noWrap/>
            <w:vAlign w:val="bottom"/>
          </w:tcPr>
          <w:p w14:paraId="7F38C36D" w14:textId="10BE6A92" w:rsidR="000D49AF" w:rsidRPr="00967892" w:rsidRDefault="000D49AF" w:rsidP="000D49AF">
            <w:pPr>
              <w:spacing w:before="120" w:after="0"/>
              <w:rPr>
                <w:rFonts w:cs="Tahoma"/>
                <w:color w:val="000000"/>
                <w:sz w:val="14"/>
                <w:szCs w:val="14"/>
              </w:rPr>
            </w:pPr>
            <w:r w:rsidRPr="00614C6B">
              <w:rPr>
                <w:rFonts w:eastAsia="Times New Roman" w:cs="Tahoma"/>
                <w:sz w:val="14"/>
                <w:szCs w:val="14"/>
                <w:lang w:eastAsia="en-GB"/>
              </w:rPr>
              <w:t>EU-20</w:t>
            </w:r>
            <w:r>
              <w:rPr>
                <w:rFonts w:eastAsia="Times New Roman" w:cs="Tahoma"/>
                <w:sz w:val="14"/>
                <w:szCs w:val="14"/>
                <w:lang w:eastAsia="en-GB"/>
              </w:rPr>
              <w:t>12</w:t>
            </w:r>
          </w:p>
        </w:tc>
      </w:tr>
      <w:tr w:rsidR="000D49AF" w:rsidRPr="00614C6B" w14:paraId="3F5DB9AC" w14:textId="77777777" w:rsidTr="000D49AF">
        <w:trPr>
          <w:trHeight w:val="238"/>
        </w:trPr>
        <w:tc>
          <w:tcPr>
            <w:tcW w:w="1208" w:type="dxa"/>
            <w:tcBorders>
              <w:top w:val="nil"/>
              <w:left w:val="single" w:sz="4" w:space="0" w:color="000000"/>
              <w:bottom w:val="nil"/>
              <w:right w:val="single" w:sz="4" w:space="0" w:color="auto"/>
            </w:tcBorders>
            <w:shd w:val="clear" w:color="auto" w:fill="auto"/>
            <w:noWrap/>
            <w:vAlign w:val="bottom"/>
          </w:tcPr>
          <w:p w14:paraId="51A5FBE0" w14:textId="740B2AD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Iceland</w:t>
            </w:r>
          </w:p>
        </w:tc>
        <w:tc>
          <w:tcPr>
            <w:tcW w:w="2650" w:type="dxa"/>
            <w:tcBorders>
              <w:top w:val="nil"/>
              <w:left w:val="nil"/>
              <w:bottom w:val="nil"/>
              <w:right w:val="single" w:sz="4" w:space="0" w:color="auto"/>
            </w:tcBorders>
            <w:shd w:val="clear" w:color="auto" w:fill="auto"/>
            <w:noWrap/>
            <w:vAlign w:val="bottom"/>
          </w:tcPr>
          <w:p w14:paraId="67BC915F" w14:textId="6B769493"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IS-SUBJECT_TO_REGISTRATION</w:t>
            </w:r>
          </w:p>
        </w:tc>
        <w:tc>
          <w:tcPr>
            <w:tcW w:w="570" w:type="dxa"/>
            <w:tcBorders>
              <w:top w:val="nil"/>
              <w:left w:val="nil"/>
              <w:bottom w:val="nil"/>
              <w:right w:val="single" w:sz="4" w:space="0" w:color="auto"/>
            </w:tcBorders>
            <w:shd w:val="clear" w:color="auto" w:fill="auto"/>
            <w:noWrap/>
            <w:vAlign w:val="bottom"/>
          </w:tcPr>
          <w:p w14:paraId="4821D0EA" w14:textId="3F2EC6F6"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54586DF5" w14:textId="00939314"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w:t>
            </w:r>
          </w:p>
        </w:tc>
        <w:tc>
          <w:tcPr>
            <w:tcW w:w="570" w:type="dxa"/>
            <w:tcBorders>
              <w:top w:val="nil"/>
              <w:left w:val="nil"/>
              <w:bottom w:val="nil"/>
              <w:right w:val="single" w:sz="4" w:space="0" w:color="auto"/>
            </w:tcBorders>
            <w:shd w:val="clear" w:color="auto" w:fill="auto"/>
            <w:noWrap/>
            <w:vAlign w:val="bottom"/>
          </w:tcPr>
          <w:p w14:paraId="5F7F3EBF" w14:textId="387E1339"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2F97110F" w14:textId="57B44AF2"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517646F6" w14:textId="3AAC180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418D3564" w14:textId="7722B6E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614617FD" w14:textId="09CEDCFD"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w:t>
            </w:r>
          </w:p>
        </w:tc>
        <w:tc>
          <w:tcPr>
            <w:tcW w:w="570" w:type="dxa"/>
            <w:tcBorders>
              <w:top w:val="nil"/>
              <w:left w:val="nil"/>
              <w:bottom w:val="nil"/>
              <w:right w:val="single" w:sz="4" w:space="0" w:color="auto"/>
            </w:tcBorders>
            <w:shd w:val="clear" w:color="auto" w:fill="auto"/>
            <w:noWrap/>
            <w:vAlign w:val="bottom"/>
          </w:tcPr>
          <w:p w14:paraId="59133CDF" w14:textId="60008424"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w:t>
            </w:r>
          </w:p>
        </w:tc>
        <w:tc>
          <w:tcPr>
            <w:tcW w:w="1734" w:type="dxa"/>
            <w:tcBorders>
              <w:top w:val="nil"/>
              <w:left w:val="nil"/>
              <w:bottom w:val="nil"/>
              <w:right w:val="single" w:sz="4" w:space="0" w:color="000000"/>
            </w:tcBorders>
            <w:shd w:val="clear" w:color="auto" w:fill="auto"/>
            <w:noWrap/>
            <w:vAlign w:val="bottom"/>
          </w:tcPr>
          <w:p w14:paraId="5213096F" w14:textId="0EDA35B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0D49AF" w:rsidRPr="00614C6B" w14:paraId="45596351" w14:textId="77777777" w:rsidTr="000D49AF">
        <w:trPr>
          <w:trHeight w:val="238"/>
        </w:trPr>
        <w:tc>
          <w:tcPr>
            <w:tcW w:w="1208" w:type="dxa"/>
            <w:tcBorders>
              <w:top w:val="nil"/>
              <w:left w:val="single" w:sz="4" w:space="0" w:color="000000"/>
              <w:bottom w:val="nil"/>
              <w:right w:val="single" w:sz="4" w:space="0" w:color="auto"/>
            </w:tcBorders>
            <w:shd w:val="clear" w:color="000000" w:fill="D9D9D9"/>
            <w:noWrap/>
            <w:vAlign w:val="bottom"/>
          </w:tcPr>
          <w:p w14:paraId="09A8C6DE" w14:textId="644A8E42"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Ireland</w:t>
            </w:r>
          </w:p>
        </w:tc>
        <w:tc>
          <w:tcPr>
            <w:tcW w:w="2650" w:type="dxa"/>
            <w:tcBorders>
              <w:top w:val="nil"/>
              <w:left w:val="nil"/>
              <w:bottom w:val="nil"/>
              <w:right w:val="single" w:sz="4" w:space="0" w:color="auto"/>
            </w:tcBorders>
            <w:shd w:val="clear" w:color="000000" w:fill="D9D9D9"/>
            <w:noWrap/>
            <w:vAlign w:val="bottom"/>
          </w:tcPr>
          <w:p w14:paraId="2AE1DBC9" w14:textId="1B40545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IE-CIDR</w:t>
            </w:r>
          </w:p>
        </w:tc>
        <w:tc>
          <w:tcPr>
            <w:tcW w:w="570" w:type="dxa"/>
            <w:tcBorders>
              <w:top w:val="nil"/>
              <w:left w:val="nil"/>
              <w:bottom w:val="nil"/>
              <w:right w:val="single" w:sz="4" w:space="0" w:color="auto"/>
            </w:tcBorders>
            <w:shd w:val="clear" w:color="000000" w:fill="D9D9D9"/>
            <w:noWrap/>
            <w:vAlign w:val="bottom"/>
          </w:tcPr>
          <w:p w14:paraId="35B97D25" w14:textId="0DF069B2"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2802C717" w14:textId="5B138E34"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0D9C7E3F" w14:textId="1843581B"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47A3F5E7" w14:textId="6A97B6E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781D6F8A" w14:textId="5950DDD6"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1C4CEC0F" w14:textId="0E5B48BE"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4E08B6B8" w14:textId="5F024703"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3F567E52" w14:textId="756B1B73"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000000" w:fill="D9D9D9"/>
            <w:noWrap/>
            <w:vAlign w:val="bottom"/>
          </w:tcPr>
          <w:p w14:paraId="7438E295" w14:textId="2908F10E"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EU-2008</w:t>
            </w:r>
          </w:p>
        </w:tc>
      </w:tr>
      <w:tr w:rsidR="000D49AF" w:rsidRPr="00614C6B" w14:paraId="47E3CD16" w14:textId="77777777" w:rsidTr="000D49AF">
        <w:trPr>
          <w:trHeight w:val="238"/>
        </w:trPr>
        <w:tc>
          <w:tcPr>
            <w:tcW w:w="1208" w:type="dxa"/>
            <w:tcBorders>
              <w:top w:val="nil"/>
              <w:left w:val="single" w:sz="4" w:space="0" w:color="000000"/>
              <w:bottom w:val="nil"/>
              <w:right w:val="single" w:sz="4" w:space="0" w:color="auto"/>
            </w:tcBorders>
            <w:shd w:val="clear" w:color="auto" w:fill="auto"/>
            <w:noWrap/>
            <w:vAlign w:val="bottom"/>
          </w:tcPr>
          <w:p w14:paraId="1143F791" w14:textId="57147DAD"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Latvia</w:t>
            </w:r>
          </w:p>
        </w:tc>
        <w:tc>
          <w:tcPr>
            <w:tcW w:w="2650" w:type="dxa"/>
            <w:tcBorders>
              <w:top w:val="nil"/>
              <w:left w:val="nil"/>
              <w:bottom w:val="nil"/>
              <w:right w:val="single" w:sz="4" w:space="0" w:color="auto"/>
            </w:tcBorders>
            <w:shd w:val="clear" w:color="auto" w:fill="auto"/>
            <w:noWrap/>
            <w:vAlign w:val="bottom"/>
          </w:tcPr>
          <w:p w14:paraId="777D20AE" w14:textId="48263CA6"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LV-BSN</w:t>
            </w:r>
          </w:p>
        </w:tc>
        <w:tc>
          <w:tcPr>
            <w:tcW w:w="570" w:type="dxa"/>
            <w:tcBorders>
              <w:top w:val="nil"/>
              <w:left w:val="nil"/>
              <w:bottom w:val="nil"/>
              <w:right w:val="single" w:sz="4" w:space="0" w:color="auto"/>
            </w:tcBorders>
            <w:shd w:val="clear" w:color="auto" w:fill="auto"/>
            <w:noWrap/>
            <w:vAlign w:val="bottom"/>
          </w:tcPr>
          <w:p w14:paraId="165BBD75" w14:textId="7DF18E3C"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587FE9EC" w14:textId="36EA7D26"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3E3DFA52" w14:textId="5CCFDD44"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6AB8F1BB" w14:textId="2D6857F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541E79E2" w14:textId="1703658A"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3036C2F9" w14:textId="785B2B8E"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3FE28533" w14:textId="5CA2F14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01CDEF3" w14:textId="720F1305"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auto" w:fill="auto"/>
            <w:noWrap/>
            <w:vAlign w:val="bottom"/>
          </w:tcPr>
          <w:p w14:paraId="1EA1FFEC" w14:textId="4FAEB78B"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w:t>
            </w:r>
            <w:r>
              <w:rPr>
                <w:rFonts w:eastAsia="Times New Roman" w:cs="Tahoma"/>
                <w:sz w:val="14"/>
                <w:szCs w:val="14"/>
                <w:lang w:eastAsia="en-GB"/>
              </w:rPr>
              <w:t>8</w:t>
            </w:r>
          </w:p>
        </w:tc>
      </w:tr>
      <w:tr w:rsidR="000D49AF" w:rsidRPr="00614C6B" w14:paraId="41045936" w14:textId="77777777" w:rsidTr="000D49AF">
        <w:trPr>
          <w:trHeight w:val="238"/>
        </w:trPr>
        <w:tc>
          <w:tcPr>
            <w:tcW w:w="1208" w:type="dxa"/>
            <w:tcBorders>
              <w:top w:val="nil"/>
              <w:left w:val="single" w:sz="4" w:space="0" w:color="000000"/>
              <w:bottom w:val="nil"/>
              <w:right w:val="single" w:sz="4" w:space="0" w:color="auto"/>
            </w:tcBorders>
            <w:shd w:val="clear" w:color="000000" w:fill="D9D9D9"/>
            <w:noWrap/>
            <w:vAlign w:val="bottom"/>
          </w:tcPr>
          <w:p w14:paraId="093FA25B" w14:textId="5629D3F9"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Lithuania</w:t>
            </w:r>
          </w:p>
        </w:tc>
        <w:tc>
          <w:tcPr>
            <w:tcW w:w="2650" w:type="dxa"/>
            <w:tcBorders>
              <w:top w:val="nil"/>
              <w:left w:val="nil"/>
              <w:bottom w:val="nil"/>
              <w:right w:val="single" w:sz="4" w:space="0" w:color="auto"/>
            </w:tcBorders>
            <w:shd w:val="clear" w:color="000000" w:fill="D9D9D9"/>
            <w:noWrap/>
            <w:vAlign w:val="bottom"/>
          </w:tcPr>
          <w:p w14:paraId="69443CF8" w14:textId="1DB5D73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LT-COMMUNICABLE_DISEASES</w:t>
            </w:r>
          </w:p>
        </w:tc>
        <w:tc>
          <w:tcPr>
            <w:tcW w:w="570" w:type="dxa"/>
            <w:tcBorders>
              <w:top w:val="nil"/>
              <w:left w:val="nil"/>
              <w:bottom w:val="nil"/>
              <w:right w:val="single" w:sz="4" w:space="0" w:color="auto"/>
            </w:tcBorders>
            <w:shd w:val="clear" w:color="000000" w:fill="D9D9D9"/>
            <w:noWrap/>
            <w:vAlign w:val="bottom"/>
          </w:tcPr>
          <w:p w14:paraId="79E3F3F8" w14:textId="640E3810"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3913774B" w14:textId="1089AAE9"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3AD43803" w14:textId="0C6E721B"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7A7594AB" w14:textId="041C37E6"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0BD54C33" w14:textId="49992DF9"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10D8FF8C" w14:textId="148584DF"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6FD0481E" w14:textId="61472990"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000000" w:fill="D9D9D9"/>
            <w:noWrap/>
            <w:vAlign w:val="bottom"/>
          </w:tcPr>
          <w:p w14:paraId="246B91D3" w14:textId="02126F4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000000" w:fill="D9D9D9"/>
            <w:noWrap/>
            <w:vAlign w:val="bottom"/>
          </w:tcPr>
          <w:p w14:paraId="4DC606EC" w14:textId="1842C05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0D49AF" w:rsidRPr="00614C6B" w14:paraId="190D0880" w14:textId="77777777" w:rsidTr="000D49AF">
        <w:trPr>
          <w:trHeight w:val="238"/>
        </w:trPr>
        <w:tc>
          <w:tcPr>
            <w:tcW w:w="1208" w:type="dxa"/>
            <w:tcBorders>
              <w:top w:val="nil"/>
              <w:left w:val="single" w:sz="4" w:space="0" w:color="000000"/>
              <w:bottom w:val="nil"/>
              <w:right w:val="single" w:sz="4" w:space="0" w:color="auto"/>
            </w:tcBorders>
            <w:shd w:val="clear" w:color="auto" w:fill="auto"/>
            <w:noWrap/>
            <w:vAlign w:val="bottom"/>
          </w:tcPr>
          <w:p w14:paraId="5EDF3F69" w14:textId="53D9BE7F"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Luxembourg</w:t>
            </w:r>
          </w:p>
        </w:tc>
        <w:tc>
          <w:tcPr>
            <w:tcW w:w="2650" w:type="dxa"/>
            <w:tcBorders>
              <w:top w:val="nil"/>
              <w:left w:val="nil"/>
              <w:bottom w:val="nil"/>
              <w:right w:val="single" w:sz="4" w:space="0" w:color="auto"/>
            </w:tcBorders>
            <w:shd w:val="clear" w:color="auto" w:fill="auto"/>
            <w:noWrap/>
            <w:vAlign w:val="bottom"/>
          </w:tcPr>
          <w:p w14:paraId="35909455" w14:textId="636DE66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LU-SYSTEM1</w:t>
            </w:r>
          </w:p>
        </w:tc>
        <w:tc>
          <w:tcPr>
            <w:tcW w:w="570" w:type="dxa"/>
            <w:tcBorders>
              <w:top w:val="nil"/>
              <w:left w:val="nil"/>
              <w:bottom w:val="nil"/>
              <w:right w:val="single" w:sz="4" w:space="0" w:color="auto"/>
            </w:tcBorders>
            <w:shd w:val="clear" w:color="auto" w:fill="auto"/>
            <w:noWrap/>
            <w:vAlign w:val="bottom"/>
          </w:tcPr>
          <w:p w14:paraId="06975E05" w14:textId="0A2CD636"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77FE90D2" w14:textId="75229275"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7C06D287" w14:textId="4A597F39"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2CC78A31" w14:textId="66729D20"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7E0D4B18" w14:textId="5602B249"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5F06DAFE" w14:textId="407E764F"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250C251B" w14:textId="4E8D7BBB"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5DF846B0" w14:textId="24D09644"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auto" w:fill="auto"/>
            <w:noWrap/>
            <w:vAlign w:val="bottom"/>
          </w:tcPr>
          <w:p w14:paraId="18BCAB87" w14:textId="712186AB"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0D49AF" w:rsidRPr="00614C6B" w14:paraId="2B7EE747" w14:textId="77777777" w:rsidTr="000D49AF">
        <w:trPr>
          <w:trHeight w:val="238"/>
        </w:trPr>
        <w:tc>
          <w:tcPr>
            <w:tcW w:w="1208" w:type="dxa"/>
            <w:tcBorders>
              <w:top w:val="nil"/>
              <w:left w:val="single" w:sz="4" w:space="0" w:color="000000"/>
              <w:bottom w:val="nil"/>
              <w:right w:val="single" w:sz="4" w:space="0" w:color="auto"/>
            </w:tcBorders>
            <w:shd w:val="clear" w:color="000000" w:fill="D9D9D9"/>
            <w:noWrap/>
            <w:vAlign w:val="bottom"/>
          </w:tcPr>
          <w:p w14:paraId="240BE1A8" w14:textId="2E38316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Malta</w:t>
            </w:r>
          </w:p>
        </w:tc>
        <w:tc>
          <w:tcPr>
            <w:tcW w:w="2650" w:type="dxa"/>
            <w:tcBorders>
              <w:top w:val="nil"/>
              <w:left w:val="nil"/>
              <w:bottom w:val="nil"/>
              <w:right w:val="single" w:sz="4" w:space="0" w:color="auto"/>
            </w:tcBorders>
            <w:shd w:val="clear" w:color="000000" w:fill="D9D9D9"/>
            <w:noWrap/>
            <w:vAlign w:val="bottom"/>
          </w:tcPr>
          <w:p w14:paraId="76DCA49F" w14:textId="3CCC09D2"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MT-DISEASE_SURVEILLANCE</w:t>
            </w:r>
          </w:p>
        </w:tc>
        <w:tc>
          <w:tcPr>
            <w:tcW w:w="570" w:type="dxa"/>
            <w:tcBorders>
              <w:top w:val="nil"/>
              <w:left w:val="nil"/>
              <w:bottom w:val="nil"/>
              <w:right w:val="single" w:sz="4" w:space="0" w:color="auto"/>
            </w:tcBorders>
            <w:shd w:val="clear" w:color="000000" w:fill="D9D9D9"/>
            <w:noWrap/>
            <w:vAlign w:val="bottom"/>
          </w:tcPr>
          <w:p w14:paraId="09A4699E" w14:textId="7AA1891D"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03747DA3" w14:textId="221616D9"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27048246" w14:textId="4477394E"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730689C6" w14:textId="2CDE4133"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5CE062AB" w14:textId="65780F8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27363023" w14:textId="49F88B4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64E16569" w14:textId="5F0314F4"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35FC5DEA" w14:textId="1447B46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1734" w:type="dxa"/>
            <w:tcBorders>
              <w:top w:val="nil"/>
              <w:left w:val="nil"/>
              <w:bottom w:val="nil"/>
              <w:right w:val="single" w:sz="4" w:space="0" w:color="000000"/>
            </w:tcBorders>
            <w:shd w:val="clear" w:color="000000" w:fill="D9D9D9"/>
            <w:noWrap/>
            <w:vAlign w:val="bottom"/>
          </w:tcPr>
          <w:p w14:paraId="2DAB9BA5" w14:textId="1DE08C24"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0D49AF" w:rsidRPr="00614C6B" w14:paraId="5ED674AF" w14:textId="77777777" w:rsidTr="000D49AF">
        <w:trPr>
          <w:trHeight w:val="238"/>
        </w:trPr>
        <w:tc>
          <w:tcPr>
            <w:tcW w:w="1208" w:type="dxa"/>
            <w:tcBorders>
              <w:top w:val="nil"/>
              <w:left w:val="single" w:sz="4" w:space="0" w:color="000000"/>
              <w:bottom w:val="nil"/>
              <w:right w:val="single" w:sz="4" w:space="0" w:color="auto"/>
            </w:tcBorders>
            <w:shd w:val="clear" w:color="auto" w:fill="auto"/>
            <w:noWrap/>
            <w:vAlign w:val="bottom"/>
          </w:tcPr>
          <w:p w14:paraId="3E7B5C92" w14:textId="4A6D07CF"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Poland</w:t>
            </w:r>
          </w:p>
        </w:tc>
        <w:tc>
          <w:tcPr>
            <w:tcW w:w="2650" w:type="dxa"/>
            <w:tcBorders>
              <w:top w:val="nil"/>
              <w:left w:val="nil"/>
              <w:bottom w:val="nil"/>
              <w:right w:val="single" w:sz="4" w:space="0" w:color="auto"/>
            </w:tcBorders>
            <w:shd w:val="clear" w:color="auto" w:fill="auto"/>
            <w:noWrap/>
            <w:vAlign w:val="bottom"/>
          </w:tcPr>
          <w:p w14:paraId="1D9B1559" w14:textId="53D17C05"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PL-NATIONAL_SURVEILLANCE</w:t>
            </w:r>
          </w:p>
        </w:tc>
        <w:tc>
          <w:tcPr>
            <w:tcW w:w="570" w:type="dxa"/>
            <w:tcBorders>
              <w:top w:val="nil"/>
              <w:left w:val="nil"/>
              <w:bottom w:val="nil"/>
              <w:right w:val="single" w:sz="4" w:space="0" w:color="auto"/>
            </w:tcBorders>
            <w:shd w:val="clear" w:color="auto" w:fill="auto"/>
            <w:noWrap/>
            <w:vAlign w:val="bottom"/>
          </w:tcPr>
          <w:p w14:paraId="618EB5AC" w14:textId="268FB445"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3ADC661F" w14:textId="7203767B"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3446768C" w14:textId="09E54E7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0E3EB70C" w14:textId="3CFFCF6C"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17010733" w14:textId="3CC531CF"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1D7E0014" w14:textId="7414A84A"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05D5BCDC" w14:textId="578913C5"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3BB033C" w14:textId="40C8543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auto" w:fill="auto"/>
            <w:noWrap/>
            <w:vAlign w:val="bottom"/>
          </w:tcPr>
          <w:p w14:paraId="6878014A" w14:textId="6052BDA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0D49AF" w:rsidRPr="00614C6B" w14:paraId="3594E5B2" w14:textId="77777777" w:rsidTr="000D49AF">
        <w:trPr>
          <w:trHeight w:val="238"/>
        </w:trPr>
        <w:tc>
          <w:tcPr>
            <w:tcW w:w="1208" w:type="dxa"/>
            <w:tcBorders>
              <w:top w:val="nil"/>
              <w:left w:val="single" w:sz="4" w:space="0" w:color="000000"/>
              <w:bottom w:val="nil"/>
              <w:right w:val="single" w:sz="4" w:space="0" w:color="auto"/>
            </w:tcBorders>
            <w:shd w:val="clear" w:color="000000" w:fill="D9D9D9"/>
            <w:noWrap/>
            <w:vAlign w:val="bottom"/>
          </w:tcPr>
          <w:p w14:paraId="644740A1" w14:textId="6142B869"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Portugal</w:t>
            </w:r>
          </w:p>
        </w:tc>
        <w:tc>
          <w:tcPr>
            <w:tcW w:w="2650" w:type="dxa"/>
            <w:tcBorders>
              <w:top w:val="nil"/>
              <w:left w:val="nil"/>
              <w:bottom w:val="nil"/>
              <w:right w:val="single" w:sz="4" w:space="0" w:color="auto"/>
            </w:tcBorders>
            <w:shd w:val="clear" w:color="000000" w:fill="D9D9D9"/>
            <w:noWrap/>
            <w:vAlign w:val="bottom"/>
          </w:tcPr>
          <w:p w14:paraId="1C873F46" w14:textId="57A980F0"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PT-TOXO</w:t>
            </w:r>
          </w:p>
        </w:tc>
        <w:tc>
          <w:tcPr>
            <w:tcW w:w="570" w:type="dxa"/>
            <w:tcBorders>
              <w:top w:val="nil"/>
              <w:left w:val="nil"/>
              <w:bottom w:val="nil"/>
              <w:right w:val="single" w:sz="4" w:space="0" w:color="auto"/>
            </w:tcBorders>
            <w:shd w:val="clear" w:color="000000" w:fill="D9D9D9"/>
            <w:noWrap/>
            <w:vAlign w:val="bottom"/>
          </w:tcPr>
          <w:p w14:paraId="0B9331A8" w14:textId="1CC46D80"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28E4A99D" w14:textId="36A99A12"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674BAC9F" w14:textId="238884D3" w:rsidR="000D49AF" w:rsidRPr="00614C6B" w:rsidRDefault="000D49AF" w:rsidP="000D49AF">
            <w:pPr>
              <w:spacing w:before="120" w:after="0"/>
              <w:rPr>
                <w:rFonts w:eastAsia="Times New Roman" w:cs="Tahoma"/>
                <w:sz w:val="14"/>
                <w:szCs w:val="14"/>
                <w:lang w:eastAsia="en-GB"/>
              </w:rPr>
            </w:pPr>
            <w:r>
              <w:rPr>
                <w:rFonts w:eastAsia="Times New Roman" w:cs="Tahoma"/>
                <w:sz w:val="14"/>
                <w:szCs w:val="14"/>
                <w:lang w:eastAsia="en-GB"/>
              </w:rPr>
              <w:t>P</w:t>
            </w:r>
          </w:p>
        </w:tc>
        <w:tc>
          <w:tcPr>
            <w:tcW w:w="570" w:type="dxa"/>
            <w:tcBorders>
              <w:top w:val="nil"/>
              <w:left w:val="nil"/>
              <w:bottom w:val="nil"/>
              <w:right w:val="single" w:sz="4" w:space="0" w:color="auto"/>
            </w:tcBorders>
            <w:shd w:val="clear" w:color="000000" w:fill="D9D9D9"/>
            <w:noWrap/>
            <w:vAlign w:val="bottom"/>
          </w:tcPr>
          <w:p w14:paraId="5D2A3FA1" w14:textId="475C55CA"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38D7E499" w14:textId="3C53F6A2"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4D6984A4" w14:textId="7C296CEE"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64127738" w14:textId="5C44DC9F"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w:t>
            </w:r>
          </w:p>
        </w:tc>
        <w:tc>
          <w:tcPr>
            <w:tcW w:w="570" w:type="dxa"/>
            <w:tcBorders>
              <w:top w:val="nil"/>
              <w:left w:val="nil"/>
              <w:bottom w:val="nil"/>
              <w:right w:val="single" w:sz="4" w:space="0" w:color="auto"/>
            </w:tcBorders>
            <w:shd w:val="clear" w:color="000000" w:fill="D9D9D9"/>
            <w:noWrap/>
            <w:vAlign w:val="bottom"/>
          </w:tcPr>
          <w:p w14:paraId="337491E9" w14:textId="58D0AAD5"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w:t>
            </w:r>
          </w:p>
        </w:tc>
        <w:tc>
          <w:tcPr>
            <w:tcW w:w="1734" w:type="dxa"/>
            <w:tcBorders>
              <w:top w:val="nil"/>
              <w:left w:val="nil"/>
              <w:bottom w:val="nil"/>
              <w:right w:val="single" w:sz="4" w:space="0" w:color="000000"/>
            </w:tcBorders>
            <w:shd w:val="clear" w:color="000000" w:fill="D9D9D9"/>
            <w:noWrap/>
            <w:vAlign w:val="bottom"/>
          </w:tcPr>
          <w:p w14:paraId="1A0E6712" w14:textId="58369CDF"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0D49AF" w:rsidRPr="00614C6B" w14:paraId="57BB8E74" w14:textId="77777777" w:rsidTr="00564A1D">
        <w:trPr>
          <w:trHeight w:val="238"/>
        </w:trPr>
        <w:tc>
          <w:tcPr>
            <w:tcW w:w="1208" w:type="dxa"/>
            <w:tcBorders>
              <w:top w:val="nil"/>
              <w:left w:val="single" w:sz="4" w:space="0" w:color="000000"/>
              <w:bottom w:val="nil"/>
              <w:right w:val="single" w:sz="4" w:space="0" w:color="auto"/>
            </w:tcBorders>
            <w:shd w:val="clear" w:color="auto" w:fill="auto"/>
            <w:noWrap/>
            <w:vAlign w:val="bottom"/>
          </w:tcPr>
          <w:p w14:paraId="5D096CE4" w14:textId="422CFBA4"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Romania</w:t>
            </w:r>
          </w:p>
        </w:tc>
        <w:tc>
          <w:tcPr>
            <w:tcW w:w="2650" w:type="dxa"/>
            <w:tcBorders>
              <w:top w:val="nil"/>
              <w:left w:val="nil"/>
              <w:bottom w:val="nil"/>
              <w:right w:val="single" w:sz="4" w:space="0" w:color="auto"/>
            </w:tcBorders>
            <w:shd w:val="clear" w:color="auto" w:fill="auto"/>
            <w:noWrap/>
            <w:vAlign w:val="bottom"/>
          </w:tcPr>
          <w:p w14:paraId="4DA355F2" w14:textId="52BE9A3E"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RO-</w:t>
            </w:r>
            <w:proofErr w:type="spellStart"/>
            <w:r w:rsidRPr="00614C6B">
              <w:rPr>
                <w:rFonts w:eastAsia="Times New Roman" w:cs="Tahoma"/>
                <w:sz w:val="14"/>
                <w:szCs w:val="14"/>
                <w:lang w:eastAsia="en-GB"/>
              </w:rPr>
              <w:t>RNSSy</w:t>
            </w:r>
            <w:proofErr w:type="spellEnd"/>
          </w:p>
        </w:tc>
        <w:tc>
          <w:tcPr>
            <w:tcW w:w="570" w:type="dxa"/>
            <w:tcBorders>
              <w:top w:val="nil"/>
              <w:left w:val="nil"/>
              <w:bottom w:val="nil"/>
              <w:right w:val="single" w:sz="4" w:space="0" w:color="auto"/>
            </w:tcBorders>
            <w:shd w:val="clear" w:color="auto" w:fill="auto"/>
            <w:noWrap/>
            <w:vAlign w:val="bottom"/>
          </w:tcPr>
          <w:p w14:paraId="0E250D11" w14:textId="75302A4A"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3E730B16" w14:textId="53D35D0E"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5E7D1086" w14:textId="6EA5CBCF"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7EEFD418" w14:textId="6988A95A"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51A8A0BE" w14:textId="3AD5C3ED"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4D2B74F6" w14:textId="35CA39F5"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tcPr>
          <w:p w14:paraId="1732D657" w14:textId="2A1E4432"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14557A56" w14:textId="662B03FC"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auto" w:fill="auto"/>
            <w:noWrap/>
            <w:vAlign w:val="bottom"/>
          </w:tcPr>
          <w:p w14:paraId="2E42E798" w14:textId="1B44C1E0"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r w:rsidR="000D49AF" w:rsidRPr="00614C6B" w14:paraId="14686AD7" w14:textId="77777777" w:rsidTr="00564A1D">
        <w:trPr>
          <w:trHeight w:val="238"/>
        </w:trPr>
        <w:tc>
          <w:tcPr>
            <w:tcW w:w="1208" w:type="dxa"/>
            <w:tcBorders>
              <w:top w:val="nil"/>
              <w:left w:val="single" w:sz="4" w:space="0" w:color="000000"/>
              <w:bottom w:val="nil"/>
              <w:right w:val="single" w:sz="4" w:space="0" w:color="auto"/>
            </w:tcBorders>
            <w:shd w:val="clear" w:color="000000" w:fill="D9D9D9"/>
            <w:noWrap/>
            <w:vAlign w:val="bottom"/>
          </w:tcPr>
          <w:p w14:paraId="19782001" w14:textId="37CE745C"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Slovakia</w:t>
            </w:r>
          </w:p>
        </w:tc>
        <w:tc>
          <w:tcPr>
            <w:tcW w:w="2650" w:type="dxa"/>
            <w:tcBorders>
              <w:top w:val="nil"/>
              <w:left w:val="nil"/>
              <w:bottom w:val="nil"/>
              <w:right w:val="single" w:sz="4" w:space="0" w:color="auto"/>
            </w:tcBorders>
            <w:shd w:val="clear" w:color="000000" w:fill="D9D9D9"/>
            <w:noWrap/>
            <w:vAlign w:val="bottom"/>
          </w:tcPr>
          <w:p w14:paraId="30708155" w14:textId="0652B9ED"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SK-EPIS</w:t>
            </w:r>
          </w:p>
        </w:tc>
        <w:tc>
          <w:tcPr>
            <w:tcW w:w="570" w:type="dxa"/>
            <w:tcBorders>
              <w:top w:val="nil"/>
              <w:left w:val="nil"/>
              <w:bottom w:val="nil"/>
              <w:right w:val="single" w:sz="4" w:space="0" w:color="auto"/>
            </w:tcBorders>
            <w:shd w:val="clear" w:color="000000" w:fill="D9D9D9"/>
            <w:noWrap/>
            <w:vAlign w:val="bottom"/>
          </w:tcPr>
          <w:p w14:paraId="671E71D8" w14:textId="2EB37E0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nil"/>
              <w:right w:val="single" w:sz="4" w:space="0" w:color="auto"/>
            </w:tcBorders>
            <w:shd w:val="clear" w:color="000000" w:fill="D9D9D9"/>
            <w:noWrap/>
            <w:vAlign w:val="bottom"/>
          </w:tcPr>
          <w:p w14:paraId="16024EC0" w14:textId="36F6D6F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nil"/>
              <w:right w:val="single" w:sz="4" w:space="0" w:color="auto"/>
            </w:tcBorders>
            <w:shd w:val="clear" w:color="000000" w:fill="D9D9D9"/>
            <w:noWrap/>
            <w:vAlign w:val="bottom"/>
          </w:tcPr>
          <w:p w14:paraId="7193E913" w14:textId="36A0B3D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A</w:t>
            </w:r>
          </w:p>
        </w:tc>
        <w:tc>
          <w:tcPr>
            <w:tcW w:w="570" w:type="dxa"/>
            <w:tcBorders>
              <w:top w:val="nil"/>
              <w:left w:val="nil"/>
              <w:bottom w:val="nil"/>
              <w:right w:val="single" w:sz="4" w:space="0" w:color="auto"/>
            </w:tcBorders>
            <w:shd w:val="clear" w:color="000000" w:fill="D9D9D9"/>
            <w:noWrap/>
            <w:vAlign w:val="bottom"/>
          </w:tcPr>
          <w:p w14:paraId="52616920" w14:textId="4E1F31B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nil"/>
              <w:right w:val="single" w:sz="4" w:space="0" w:color="auto"/>
            </w:tcBorders>
            <w:shd w:val="clear" w:color="000000" w:fill="D9D9D9"/>
            <w:noWrap/>
            <w:vAlign w:val="bottom"/>
          </w:tcPr>
          <w:p w14:paraId="7E0AC7C3" w14:textId="1DC31CB0"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7E9E8D8E" w14:textId="6130524B"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23A97B65" w14:textId="15D1F69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nil"/>
              <w:right w:val="single" w:sz="4" w:space="0" w:color="auto"/>
            </w:tcBorders>
            <w:shd w:val="clear" w:color="000000" w:fill="D9D9D9"/>
            <w:noWrap/>
            <w:vAlign w:val="bottom"/>
          </w:tcPr>
          <w:p w14:paraId="37EFA071" w14:textId="32EDD58C"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nil"/>
              <w:right w:val="single" w:sz="4" w:space="0" w:color="000000"/>
            </w:tcBorders>
            <w:shd w:val="clear" w:color="000000" w:fill="D9D9D9"/>
            <w:noWrap/>
            <w:vAlign w:val="bottom"/>
          </w:tcPr>
          <w:p w14:paraId="7EEAE537" w14:textId="69263BC4"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w:t>
            </w:r>
            <w:r>
              <w:rPr>
                <w:rFonts w:eastAsia="Times New Roman" w:cs="Tahoma"/>
                <w:sz w:val="14"/>
                <w:szCs w:val="14"/>
                <w:lang w:eastAsia="en-GB"/>
              </w:rPr>
              <w:t>8</w:t>
            </w:r>
          </w:p>
        </w:tc>
      </w:tr>
      <w:tr w:rsidR="000D49AF" w:rsidRPr="00614C6B" w14:paraId="20FA6A79" w14:textId="77777777" w:rsidTr="000D49AF">
        <w:trPr>
          <w:trHeight w:val="238"/>
        </w:trPr>
        <w:tc>
          <w:tcPr>
            <w:tcW w:w="1208" w:type="dxa"/>
            <w:tcBorders>
              <w:top w:val="nil"/>
              <w:left w:val="single" w:sz="4" w:space="0" w:color="000000"/>
              <w:right w:val="single" w:sz="4" w:space="0" w:color="auto"/>
            </w:tcBorders>
            <w:shd w:val="clear" w:color="auto" w:fill="auto"/>
            <w:noWrap/>
            <w:vAlign w:val="bottom"/>
          </w:tcPr>
          <w:p w14:paraId="6D92DCD6" w14:textId="7ACFBB3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Slovenia</w:t>
            </w:r>
          </w:p>
        </w:tc>
        <w:tc>
          <w:tcPr>
            <w:tcW w:w="2650" w:type="dxa"/>
            <w:tcBorders>
              <w:top w:val="nil"/>
              <w:left w:val="nil"/>
              <w:right w:val="single" w:sz="4" w:space="0" w:color="auto"/>
            </w:tcBorders>
            <w:shd w:val="clear" w:color="auto" w:fill="auto"/>
            <w:noWrap/>
            <w:vAlign w:val="bottom"/>
          </w:tcPr>
          <w:p w14:paraId="362EE2AC" w14:textId="0E4E5E90"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SI-SURVIVAL</w:t>
            </w:r>
          </w:p>
        </w:tc>
        <w:tc>
          <w:tcPr>
            <w:tcW w:w="570" w:type="dxa"/>
            <w:tcBorders>
              <w:top w:val="nil"/>
              <w:left w:val="nil"/>
              <w:right w:val="single" w:sz="4" w:space="0" w:color="auto"/>
            </w:tcBorders>
            <w:shd w:val="clear" w:color="auto" w:fill="auto"/>
            <w:noWrap/>
            <w:vAlign w:val="bottom"/>
          </w:tcPr>
          <w:p w14:paraId="3FBAADBC" w14:textId="6F8E80AB"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right w:val="single" w:sz="4" w:space="0" w:color="auto"/>
            </w:tcBorders>
            <w:shd w:val="clear" w:color="auto" w:fill="auto"/>
            <w:noWrap/>
            <w:vAlign w:val="bottom"/>
          </w:tcPr>
          <w:p w14:paraId="77A7E98C" w14:textId="48EB0F7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right w:val="single" w:sz="4" w:space="0" w:color="auto"/>
            </w:tcBorders>
            <w:shd w:val="clear" w:color="auto" w:fill="auto"/>
            <w:noWrap/>
            <w:vAlign w:val="bottom"/>
          </w:tcPr>
          <w:p w14:paraId="7FB7A168" w14:textId="7CBD1F12"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right w:val="single" w:sz="4" w:space="0" w:color="auto"/>
            </w:tcBorders>
            <w:shd w:val="clear" w:color="auto" w:fill="auto"/>
            <w:noWrap/>
            <w:vAlign w:val="bottom"/>
          </w:tcPr>
          <w:p w14:paraId="42B8153B" w14:textId="7E5DE36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right w:val="single" w:sz="4" w:space="0" w:color="auto"/>
            </w:tcBorders>
            <w:shd w:val="clear" w:color="auto" w:fill="auto"/>
            <w:noWrap/>
            <w:vAlign w:val="bottom"/>
          </w:tcPr>
          <w:p w14:paraId="2B135B6A" w14:textId="72E90B8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right w:val="single" w:sz="4" w:space="0" w:color="auto"/>
            </w:tcBorders>
            <w:shd w:val="clear" w:color="auto" w:fill="auto"/>
            <w:noWrap/>
            <w:vAlign w:val="bottom"/>
          </w:tcPr>
          <w:p w14:paraId="20A6C953" w14:textId="716C2DA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right w:val="single" w:sz="4" w:space="0" w:color="auto"/>
            </w:tcBorders>
            <w:shd w:val="clear" w:color="auto" w:fill="auto"/>
            <w:noWrap/>
            <w:vAlign w:val="bottom"/>
          </w:tcPr>
          <w:p w14:paraId="39864A7F" w14:textId="5E206A5C"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right w:val="single" w:sz="4" w:space="0" w:color="auto"/>
            </w:tcBorders>
            <w:shd w:val="clear" w:color="auto" w:fill="auto"/>
            <w:noWrap/>
            <w:vAlign w:val="bottom"/>
          </w:tcPr>
          <w:p w14:paraId="6FE4BFB4" w14:textId="1C9D2DA8"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right w:val="single" w:sz="4" w:space="0" w:color="000000"/>
            </w:tcBorders>
            <w:shd w:val="clear" w:color="auto" w:fill="auto"/>
            <w:noWrap/>
            <w:vAlign w:val="bottom"/>
          </w:tcPr>
          <w:p w14:paraId="359B46DD" w14:textId="54ED3E87"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EU-2008</w:t>
            </w:r>
          </w:p>
        </w:tc>
      </w:tr>
      <w:tr w:rsidR="000D49AF" w:rsidRPr="00614C6B" w14:paraId="5B746617" w14:textId="77777777" w:rsidTr="000D49AF">
        <w:trPr>
          <w:trHeight w:val="238"/>
        </w:trPr>
        <w:tc>
          <w:tcPr>
            <w:tcW w:w="1208" w:type="dxa"/>
            <w:tcBorders>
              <w:top w:val="nil"/>
              <w:left w:val="single" w:sz="4" w:space="0" w:color="000000"/>
              <w:bottom w:val="single" w:sz="4" w:space="0" w:color="000000"/>
              <w:right w:val="single" w:sz="4" w:space="0" w:color="auto"/>
            </w:tcBorders>
            <w:shd w:val="clear" w:color="000000" w:fill="D9D9D9"/>
            <w:noWrap/>
            <w:vAlign w:val="bottom"/>
          </w:tcPr>
          <w:p w14:paraId="7ED64412" w14:textId="2C84993C"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Spain</w:t>
            </w:r>
          </w:p>
        </w:tc>
        <w:tc>
          <w:tcPr>
            <w:tcW w:w="2650" w:type="dxa"/>
            <w:tcBorders>
              <w:top w:val="nil"/>
              <w:left w:val="nil"/>
              <w:bottom w:val="single" w:sz="4" w:space="0" w:color="000000"/>
              <w:right w:val="single" w:sz="4" w:space="0" w:color="auto"/>
            </w:tcBorders>
            <w:shd w:val="clear" w:color="000000" w:fill="D9D9D9"/>
            <w:noWrap/>
            <w:vAlign w:val="bottom"/>
          </w:tcPr>
          <w:p w14:paraId="7CFE6DDB" w14:textId="75F7649E"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ES-STATUTORY_DISEASES</w:t>
            </w:r>
          </w:p>
        </w:tc>
        <w:tc>
          <w:tcPr>
            <w:tcW w:w="570" w:type="dxa"/>
            <w:tcBorders>
              <w:top w:val="nil"/>
              <w:left w:val="nil"/>
              <w:bottom w:val="single" w:sz="4" w:space="0" w:color="000000"/>
              <w:right w:val="single" w:sz="4" w:space="0" w:color="auto"/>
            </w:tcBorders>
            <w:shd w:val="clear" w:color="000000" w:fill="D9D9D9"/>
            <w:noWrap/>
            <w:vAlign w:val="bottom"/>
          </w:tcPr>
          <w:p w14:paraId="47C96C8F" w14:textId="2EDBE8BA"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Cp</w:t>
            </w:r>
          </w:p>
        </w:tc>
        <w:tc>
          <w:tcPr>
            <w:tcW w:w="570" w:type="dxa"/>
            <w:tcBorders>
              <w:top w:val="nil"/>
              <w:left w:val="nil"/>
              <w:bottom w:val="single" w:sz="4" w:space="0" w:color="000000"/>
              <w:right w:val="single" w:sz="4" w:space="0" w:color="auto"/>
            </w:tcBorders>
            <w:shd w:val="clear" w:color="000000" w:fill="D9D9D9"/>
            <w:noWrap/>
            <w:vAlign w:val="bottom"/>
          </w:tcPr>
          <w:p w14:paraId="1556897C" w14:textId="457BEDA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Co</w:t>
            </w:r>
          </w:p>
        </w:tc>
        <w:tc>
          <w:tcPr>
            <w:tcW w:w="570" w:type="dxa"/>
            <w:tcBorders>
              <w:top w:val="nil"/>
              <w:left w:val="nil"/>
              <w:bottom w:val="single" w:sz="4" w:space="0" w:color="000000"/>
              <w:right w:val="single" w:sz="4" w:space="0" w:color="auto"/>
            </w:tcBorders>
            <w:shd w:val="clear" w:color="000000" w:fill="D9D9D9"/>
            <w:noWrap/>
            <w:vAlign w:val="bottom"/>
          </w:tcPr>
          <w:p w14:paraId="33E5243A" w14:textId="3E580CF5"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P</w:t>
            </w:r>
          </w:p>
        </w:tc>
        <w:tc>
          <w:tcPr>
            <w:tcW w:w="570" w:type="dxa"/>
            <w:tcBorders>
              <w:top w:val="nil"/>
              <w:left w:val="nil"/>
              <w:bottom w:val="single" w:sz="4" w:space="0" w:color="000000"/>
              <w:right w:val="single" w:sz="4" w:space="0" w:color="auto"/>
            </w:tcBorders>
            <w:shd w:val="clear" w:color="000000" w:fill="D9D9D9"/>
            <w:noWrap/>
            <w:vAlign w:val="bottom"/>
          </w:tcPr>
          <w:p w14:paraId="78AB982A" w14:textId="52F5FA2E"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C</w:t>
            </w:r>
          </w:p>
        </w:tc>
        <w:tc>
          <w:tcPr>
            <w:tcW w:w="570" w:type="dxa"/>
            <w:tcBorders>
              <w:top w:val="nil"/>
              <w:left w:val="nil"/>
              <w:bottom w:val="single" w:sz="4" w:space="0" w:color="000000"/>
              <w:right w:val="single" w:sz="4" w:space="0" w:color="auto"/>
            </w:tcBorders>
            <w:shd w:val="clear" w:color="000000" w:fill="D9D9D9"/>
            <w:noWrap/>
            <w:vAlign w:val="bottom"/>
          </w:tcPr>
          <w:p w14:paraId="69F96DF4" w14:textId="418B951F"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single" w:sz="4" w:space="0" w:color="000000"/>
              <w:right w:val="single" w:sz="4" w:space="0" w:color="auto"/>
            </w:tcBorders>
            <w:shd w:val="clear" w:color="000000" w:fill="D9D9D9"/>
            <w:noWrap/>
            <w:vAlign w:val="bottom"/>
          </w:tcPr>
          <w:p w14:paraId="20FC1CA8" w14:textId="22E49B02"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single" w:sz="4" w:space="0" w:color="000000"/>
              <w:right w:val="single" w:sz="4" w:space="0" w:color="auto"/>
            </w:tcBorders>
            <w:shd w:val="clear" w:color="000000" w:fill="D9D9D9"/>
            <w:noWrap/>
            <w:vAlign w:val="bottom"/>
          </w:tcPr>
          <w:p w14:paraId="02E42BE8" w14:textId="371B5FEA"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Y</w:t>
            </w:r>
          </w:p>
        </w:tc>
        <w:tc>
          <w:tcPr>
            <w:tcW w:w="570" w:type="dxa"/>
            <w:tcBorders>
              <w:top w:val="nil"/>
              <w:left w:val="nil"/>
              <w:bottom w:val="single" w:sz="4" w:space="0" w:color="000000"/>
              <w:right w:val="single" w:sz="4" w:space="0" w:color="auto"/>
            </w:tcBorders>
            <w:shd w:val="clear" w:color="000000" w:fill="D9D9D9"/>
            <w:noWrap/>
            <w:vAlign w:val="bottom"/>
          </w:tcPr>
          <w:p w14:paraId="067512B7" w14:textId="303B52B9"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N</w:t>
            </w:r>
          </w:p>
        </w:tc>
        <w:tc>
          <w:tcPr>
            <w:tcW w:w="1734" w:type="dxa"/>
            <w:tcBorders>
              <w:top w:val="nil"/>
              <w:left w:val="nil"/>
              <w:bottom w:val="single" w:sz="4" w:space="0" w:color="000000"/>
              <w:right w:val="single" w:sz="4" w:space="0" w:color="000000"/>
            </w:tcBorders>
            <w:shd w:val="clear" w:color="000000" w:fill="D9D9D9"/>
            <w:noWrap/>
            <w:vAlign w:val="bottom"/>
          </w:tcPr>
          <w:p w14:paraId="545BA922" w14:textId="6EE15E51" w:rsidR="000D49AF" w:rsidRPr="00614C6B" w:rsidRDefault="000D49AF" w:rsidP="000D49AF">
            <w:pPr>
              <w:spacing w:before="120" w:after="0"/>
              <w:rPr>
                <w:rFonts w:eastAsia="Times New Roman" w:cs="Tahoma"/>
                <w:sz w:val="14"/>
                <w:szCs w:val="14"/>
                <w:lang w:eastAsia="en-GB"/>
              </w:rPr>
            </w:pPr>
            <w:r w:rsidRPr="00614C6B">
              <w:rPr>
                <w:rFonts w:eastAsia="Times New Roman" w:cs="Tahoma"/>
                <w:sz w:val="14"/>
                <w:szCs w:val="14"/>
                <w:lang w:eastAsia="en-GB"/>
              </w:rPr>
              <w:t>EU-2018</w:t>
            </w:r>
          </w:p>
        </w:tc>
      </w:tr>
    </w:tbl>
    <w:p w14:paraId="22878B98" w14:textId="7F51C61E" w:rsidR="00B36CF2" w:rsidRDefault="00B36CF2">
      <w:pPr>
        <w:rPr>
          <w:rFonts w:eastAsia="Arial Unicode MS" w:cs="Times New Roman"/>
          <w:kern w:val="22"/>
          <w:sz w:val="14"/>
          <w:szCs w:val="14"/>
        </w:rPr>
      </w:pPr>
      <w:r>
        <w:rPr>
          <w:sz w:val="14"/>
          <w:szCs w:val="14"/>
        </w:rPr>
        <w:lastRenderedPageBreak/>
        <w:br w:type="page"/>
      </w:r>
    </w:p>
    <w:p w14:paraId="6A399543" w14:textId="40D2A680" w:rsidR="00753DB2" w:rsidRDefault="00753DB2" w:rsidP="005D1339">
      <w:pPr>
        <w:pStyle w:val="EC-Title-6"/>
        <w:outlineLvl w:val="1"/>
      </w:pPr>
      <w:r>
        <w:lastRenderedPageBreak/>
        <w:t xml:space="preserve">Annex 2. Screening </w:t>
      </w:r>
      <w:r w:rsidR="009B4630">
        <w:t>policies</w:t>
      </w:r>
      <w:r>
        <w:t xml:space="preserve"> for pregnant women, overview</w:t>
      </w:r>
      <w:r w:rsidR="0098463D">
        <w:t xml:space="preserve"> </w:t>
      </w:r>
    </w:p>
    <w:tbl>
      <w:tblPr>
        <w:tblW w:w="9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0"/>
        <w:gridCol w:w="1074"/>
        <w:gridCol w:w="1030"/>
        <w:gridCol w:w="1029"/>
        <w:gridCol w:w="1262"/>
        <w:gridCol w:w="3855"/>
      </w:tblGrid>
      <w:tr w:rsidR="00AB22BA" w:rsidRPr="00C223D2" w14:paraId="586B1C27" w14:textId="77777777" w:rsidTr="00034328">
        <w:trPr>
          <w:trHeight w:val="623"/>
        </w:trPr>
        <w:tc>
          <w:tcPr>
            <w:tcW w:w="1270" w:type="dxa"/>
            <w:tcBorders>
              <w:top w:val="single" w:sz="4" w:space="0" w:color="auto"/>
              <w:left w:val="single" w:sz="4" w:space="0" w:color="auto"/>
              <w:bottom w:val="nil"/>
              <w:right w:val="single" w:sz="4" w:space="0" w:color="auto"/>
            </w:tcBorders>
            <w:shd w:val="clear" w:color="auto" w:fill="69AE23"/>
            <w:vAlign w:val="center"/>
            <w:hideMark/>
          </w:tcPr>
          <w:p w14:paraId="20F139E6"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b/>
                <w:bCs/>
                <w:color w:val="FFFFFF"/>
                <w:sz w:val="16"/>
                <w:szCs w:val="16"/>
                <w:lang w:eastAsia="en-GB"/>
              </w:rPr>
              <w:t>Country</w:t>
            </w:r>
            <w:r w:rsidRPr="00C223D2">
              <w:rPr>
                <w:rFonts w:eastAsia="Times New Roman" w:cs="Tahoma"/>
                <w:color w:val="FFFFFF"/>
                <w:sz w:val="16"/>
                <w:szCs w:val="16"/>
                <w:lang w:eastAsia="en-GB"/>
              </w:rPr>
              <w:t>  </w:t>
            </w:r>
          </w:p>
        </w:tc>
        <w:tc>
          <w:tcPr>
            <w:tcW w:w="1074" w:type="dxa"/>
            <w:tcBorders>
              <w:top w:val="single" w:sz="4" w:space="0" w:color="auto"/>
              <w:left w:val="single" w:sz="4" w:space="0" w:color="auto"/>
              <w:bottom w:val="nil"/>
              <w:right w:val="single" w:sz="4" w:space="0" w:color="auto"/>
            </w:tcBorders>
            <w:shd w:val="clear" w:color="auto" w:fill="69AE23"/>
            <w:vAlign w:val="center"/>
            <w:hideMark/>
          </w:tcPr>
          <w:p w14:paraId="6146F1A3"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b/>
                <w:bCs/>
                <w:color w:val="FFFFFF"/>
                <w:sz w:val="16"/>
                <w:szCs w:val="16"/>
                <w:lang w:eastAsia="en-GB"/>
              </w:rPr>
              <w:t>No screening</w:t>
            </w:r>
            <w:r w:rsidRPr="00C223D2">
              <w:rPr>
                <w:rFonts w:eastAsia="Times New Roman" w:cs="Tahoma"/>
                <w:color w:val="FFFFFF"/>
                <w:sz w:val="16"/>
                <w:szCs w:val="16"/>
                <w:lang w:eastAsia="en-GB"/>
              </w:rPr>
              <w:t>  </w:t>
            </w:r>
          </w:p>
        </w:tc>
        <w:tc>
          <w:tcPr>
            <w:tcW w:w="1030" w:type="dxa"/>
            <w:tcBorders>
              <w:top w:val="single" w:sz="4" w:space="0" w:color="auto"/>
              <w:left w:val="single" w:sz="4" w:space="0" w:color="auto"/>
              <w:bottom w:val="nil"/>
              <w:right w:val="single" w:sz="4" w:space="0" w:color="auto"/>
            </w:tcBorders>
            <w:shd w:val="clear" w:color="auto" w:fill="69AE23"/>
            <w:vAlign w:val="center"/>
            <w:hideMark/>
          </w:tcPr>
          <w:p w14:paraId="79B0F1AF"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b/>
                <w:bCs/>
                <w:color w:val="FFFFFF"/>
                <w:sz w:val="16"/>
                <w:szCs w:val="16"/>
                <w:lang w:eastAsia="en-GB"/>
              </w:rPr>
              <w:t>Compulsory screening </w:t>
            </w:r>
            <w:r w:rsidRPr="00C223D2">
              <w:rPr>
                <w:rFonts w:eastAsia="Times New Roman" w:cs="Tahoma"/>
                <w:color w:val="FFFFFF"/>
                <w:sz w:val="16"/>
                <w:szCs w:val="16"/>
                <w:lang w:eastAsia="en-GB"/>
              </w:rPr>
              <w:t>  </w:t>
            </w:r>
          </w:p>
        </w:tc>
        <w:tc>
          <w:tcPr>
            <w:tcW w:w="1029" w:type="dxa"/>
            <w:tcBorders>
              <w:top w:val="single" w:sz="4" w:space="0" w:color="auto"/>
              <w:left w:val="single" w:sz="4" w:space="0" w:color="auto"/>
              <w:bottom w:val="nil"/>
              <w:right w:val="single" w:sz="4" w:space="0" w:color="auto"/>
            </w:tcBorders>
            <w:shd w:val="clear" w:color="auto" w:fill="69AE23"/>
            <w:vAlign w:val="center"/>
            <w:hideMark/>
          </w:tcPr>
          <w:p w14:paraId="1434CBA6" w14:textId="164002F8"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proofErr w:type="gramStart"/>
            <w:r w:rsidRPr="00C223D2">
              <w:rPr>
                <w:rFonts w:eastAsia="Times New Roman" w:cs="Tahoma"/>
                <w:b/>
                <w:bCs/>
                <w:color w:val="FFFFFF"/>
                <w:sz w:val="16"/>
                <w:szCs w:val="16"/>
                <w:lang w:eastAsia="en-GB"/>
              </w:rPr>
              <w:t xml:space="preserve">Voluntary </w:t>
            </w:r>
            <w:r w:rsidR="00981CEB">
              <w:rPr>
                <w:rFonts w:eastAsia="Times New Roman" w:cs="Tahoma"/>
                <w:b/>
                <w:bCs/>
                <w:color w:val="FFFFFF"/>
                <w:sz w:val="16"/>
                <w:szCs w:val="16"/>
                <w:lang w:eastAsia="en-GB"/>
              </w:rPr>
              <w:t xml:space="preserve"> </w:t>
            </w:r>
            <w:r w:rsidRPr="00C223D2">
              <w:rPr>
                <w:rFonts w:eastAsia="Times New Roman" w:cs="Tahoma"/>
                <w:b/>
                <w:bCs/>
                <w:color w:val="FFFFFF"/>
                <w:sz w:val="16"/>
                <w:szCs w:val="16"/>
                <w:lang w:eastAsia="en-GB"/>
              </w:rPr>
              <w:t>screening</w:t>
            </w:r>
            <w:proofErr w:type="gramEnd"/>
            <w:r w:rsidRPr="00C223D2">
              <w:rPr>
                <w:rFonts w:eastAsia="Times New Roman" w:cs="Tahoma"/>
                <w:b/>
                <w:bCs/>
                <w:color w:val="FFFFFF"/>
                <w:sz w:val="16"/>
                <w:szCs w:val="16"/>
                <w:lang w:eastAsia="en-GB"/>
              </w:rPr>
              <w:t> </w:t>
            </w:r>
            <w:r w:rsidRPr="00C223D2">
              <w:rPr>
                <w:rFonts w:eastAsia="Times New Roman" w:cs="Tahoma"/>
                <w:color w:val="FFFFFF"/>
                <w:sz w:val="16"/>
                <w:szCs w:val="16"/>
                <w:lang w:eastAsia="en-GB"/>
              </w:rPr>
              <w:t>  </w:t>
            </w:r>
          </w:p>
        </w:tc>
        <w:tc>
          <w:tcPr>
            <w:tcW w:w="1262" w:type="dxa"/>
            <w:tcBorders>
              <w:top w:val="single" w:sz="4" w:space="0" w:color="auto"/>
              <w:left w:val="single" w:sz="4" w:space="0" w:color="auto"/>
              <w:bottom w:val="nil"/>
              <w:right w:val="single" w:sz="4" w:space="0" w:color="auto"/>
            </w:tcBorders>
            <w:shd w:val="clear" w:color="auto" w:fill="69AE23"/>
            <w:hideMark/>
          </w:tcPr>
          <w:p w14:paraId="4875698F"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color w:val="FFFFFF"/>
                <w:sz w:val="16"/>
                <w:szCs w:val="16"/>
                <w:lang w:eastAsia="en-GB"/>
              </w:rPr>
              <w:t> </w:t>
            </w:r>
          </w:p>
          <w:p w14:paraId="5B5F6D03" w14:textId="4CB3C376" w:rsidR="00C223D2" w:rsidRPr="00C223D2" w:rsidRDefault="00C223D2" w:rsidP="00981CEB">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b/>
                <w:bCs/>
                <w:color w:val="FFFFFF"/>
                <w:sz w:val="16"/>
                <w:szCs w:val="16"/>
                <w:lang w:eastAsia="en-GB"/>
              </w:rPr>
              <w:t xml:space="preserve">Report to </w:t>
            </w:r>
            <w:proofErr w:type="spellStart"/>
            <w:r w:rsidRPr="00C223D2">
              <w:rPr>
                <w:rFonts w:eastAsia="Times New Roman" w:cs="Tahoma"/>
                <w:b/>
                <w:bCs/>
                <w:color w:val="FFFFFF"/>
                <w:sz w:val="16"/>
                <w:szCs w:val="16"/>
                <w:lang w:eastAsia="en-GB"/>
              </w:rPr>
              <w:t>TESSy</w:t>
            </w:r>
            <w:proofErr w:type="spellEnd"/>
          </w:p>
          <w:p w14:paraId="76E5F2AA" w14:textId="7103D272" w:rsidR="00C223D2" w:rsidRPr="00C223D2" w:rsidRDefault="00C223D2" w:rsidP="00981CEB">
            <w:pPr>
              <w:spacing w:after="0" w:line="240" w:lineRule="auto"/>
              <w:jc w:val="center"/>
              <w:textAlignment w:val="baseline"/>
              <w:rPr>
                <w:rFonts w:ascii="Segoe UI" w:eastAsia="Times New Roman" w:hAnsi="Segoe UI" w:cs="Segoe UI"/>
                <w:szCs w:val="18"/>
                <w:lang w:eastAsia="en-GB"/>
              </w:rPr>
            </w:pPr>
          </w:p>
        </w:tc>
        <w:tc>
          <w:tcPr>
            <w:tcW w:w="3855" w:type="dxa"/>
            <w:tcBorders>
              <w:top w:val="single" w:sz="4" w:space="0" w:color="auto"/>
              <w:left w:val="single" w:sz="4" w:space="0" w:color="auto"/>
              <w:bottom w:val="nil"/>
              <w:right w:val="single" w:sz="4" w:space="0" w:color="auto"/>
            </w:tcBorders>
            <w:shd w:val="clear" w:color="auto" w:fill="69AE23"/>
            <w:vAlign w:val="center"/>
            <w:hideMark/>
          </w:tcPr>
          <w:p w14:paraId="6E9B5725"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b/>
                <w:bCs/>
                <w:color w:val="FFFFFF"/>
                <w:sz w:val="16"/>
                <w:szCs w:val="16"/>
                <w:lang w:eastAsia="en-GB"/>
              </w:rPr>
              <w:t>Comments</w:t>
            </w:r>
            <w:r w:rsidRPr="00C223D2">
              <w:rPr>
                <w:rFonts w:eastAsia="Times New Roman" w:cs="Tahoma"/>
                <w:color w:val="FFFFFF"/>
                <w:sz w:val="16"/>
                <w:szCs w:val="16"/>
                <w:lang w:eastAsia="en-GB"/>
              </w:rPr>
              <w:t>  </w:t>
            </w:r>
          </w:p>
        </w:tc>
      </w:tr>
      <w:tr w:rsidR="00AB22BA" w:rsidRPr="00C223D2" w14:paraId="5DBA03C4" w14:textId="77777777" w:rsidTr="00034328">
        <w:trPr>
          <w:trHeight w:val="616"/>
        </w:trPr>
        <w:tc>
          <w:tcPr>
            <w:tcW w:w="1270" w:type="dxa"/>
            <w:tcBorders>
              <w:top w:val="nil"/>
              <w:left w:val="single" w:sz="4" w:space="0" w:color="auto"/>
              <w:bottom w:val="nil"/>
              <w:right w:val="single" w:sz="4" w:space="0" w:color="auto"/>
            </w:tcBorders>
            <w:shd w:val="clear" w:color="auto" w:fill="FFFFFF"/>
            <w:vAlign w:val="center"/>
            <w:hideMark/>
          </w:tcPr>
          <w:p w14:paraId="2023EBCC"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Austria </w:t>
            </w:r>
          </w:p>
        </w:tc>
        <w:tc>
          <w:tcPr>
            <w:tcW w:w="1074" w:type="dxa"/>
            <w:tcBorders>
              <w:top w:val="nil"/>
              <w:left w:val="single" w:sz="4" w:space="0" w:color="auto"/>
              <w:bottom w:val="nil"/>
              <w:right w:val="single" w:sz="4" w:space="0" w:color="auto"/>
            </w:tcBorders>
            <w:shd w:val="clear" w:color="auto" w:fill="FFFFFF"/>
            <w:vAlign w:val="center"/>
            <w:hideMark/>
          </w:tcPr>
          <w:p w14:paraId="1D19AC9B"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30" w:type="dxa"/>
            <w:tcBorders>
              <w:top w:val="nil"/>
              <w:left w:val="single" w:sz="4" w:space="0" w:color="auto"/>
              <w:bottom w:val="nil"/>
              <w:right w:val="single" w:sz="4" w:space="0" w:color="auto"/>
            </w:tcBorders>
            <w:shd w:val="clear" w:color="auto" w:fill="FFFFFF"/>
            <w:vAlign w:val="center"/>
            <w:hideMark/>
          </w:tcPr>
          <w:p w14:paraId="7CFF7253"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6ED1C6F2"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29" w:type="dxa"/>
            <w:tcBorders>
              <w:top w:val="nil"/>
              <w:left w:val="single" w:sz="4" w:space="0" w:color="auto"/>
              <w:bottom w:val="nil"/>
              <w:right w:val="single" w:sz="4" w:space="0" w:color="auto"/>
            </w:tcBorders>
            <w:shd w:val="clear" w:color="auto" w:fill="FFFFFF"/>
            <w:vAlign w:val="center"/>
            <w:hideMark/>
          </w:tcPr>
          <w:p w14:paraId="00CA283B"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FFFFFF"/>
            <w:hideMark/>
          </w:tcPr>
          <w:p w14:paraId="66760BB7"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59AC52BB"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42EEC0C7"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No </w:t>
            </w:r>
          </w:p>
        </w:tc>
        <w:tc>
          <w:tcPr>
            <w:tcW w:w="3855" w:type="dxa"/>
            <w:tcBorders>
              <w:top w:val="nil"/>
              <w:left w:val="single" w:sz="4" w:space="0" w:color="auto"/>
              <w:bottom w:val="nil"/>
              <w:right w:val="single" w:sz="4" w:space="0" w:color="auto"/>
            </w:tcBorders>
            <w:shd w:val="clear" w:color="auto" w:fill="FFFFFF"/>
            <w:vAlign w:val="center"/>
            <w:hideMark/>
          </w:tcPr>
          <w:p w14:paraId="5C665AE6"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Serological screening starting in first trimester since 1974. Monthly follow-up during pregnancy of seronegative women.  </w:t>
            </w:r>
          </w:p>
        </w:tc>
      </w:tr>
      <w:tr w:rsidR="00AB22BA" w:rsidRPr="00C223D2" w14:paraId="4557F35F" w14:textId="77777777" w:rsidTr="00034328">
        <w:trPr>
          <w:trHeight w:val="684"/>
        </w:trPr>
        <w:tc>
          <w:tcPr>
            <w:tcW w:w="1270" w:type="dxa"/>
            <w:tcBorders>
              <w:top w:val="nil"/>
              <w:left w:val="single" w:sz="4" w:space="0" w:color="auto"/>
              <w:bottom w:val="nil"/>
              <w:right w:val="single" w:sz="4" w:space="0" w:color="auto"/>
            </w:tcBorders>
            <w:shd w:val="clear" w:color="auto" w:fill="D9D9D9"/>
            <w:vAlign w:val="center"/>
            <w:hideMark/>
          </w:tcPr>
          <w:p w14:paraId="442F6AB7"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Belgium </w:t>
            </w:r>
          </w:p>
        </w:tc>
        <w:tc>
          <w:tcPr>
            <w:tcW w:w="1074" w:type="dxa"/>
            <w:tcBorders>
              <w:top w:val="nil"/>
              <w:left w:val="single" w:sz="4" w:space="0" w:color="auto"/>
              <w:bottom w:val="nil"/>
              <w:right w:val="single" w:sz="4" w:space="0" w:color="auto"/>
            </w:tcBorders>
            <w:shd w:val="clear" w:color="auto" w:fill="D9D9D9"/>
            <w:vAlign w:val="center"/>
            <w:hideMark/>
          </w:tcPr>
          <w:p w14:paraId="6A1DD9A0"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30" w:type="dxa"/>
            <w:tcBorders>
              <w:top w:val="nil"/>
              <w:left w:val="single" w:sz="4" w:space="0" w:color="auto"/>
              <w:bottom w:val="nil"/>
              <w:right w:val="single" w:sz="4" w:space="0" w:color="auto"/>
            </w:tcBorders>
            <w:shd w:val="clear" w:color="auto" w:fill="D9D9D9"/>
            <w:vAlign w:val="center"/>
            <w:hideMark/>
          </w:tcPr>
          <w:p w14:paraId="1632C597"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34D2EC00"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29" w:type="dxa"/>
            <w:tcBorders>
              <w:top w:val="nil"/>
              <w:left w:val="single" w:sz="4" w:space="0" w:color="auto"/>
              <w:bottom w:val="nil"/>
              <w:right w:val="single" w:sz="4" w:space="0" w:color="auto"/>
            </w:tcBorders>
            <w:shd w:val="clear" w:color="auto" w:fill="D9D9D9"/>
            <w:vAlign w:val="center"/>
            <w:hideMark/>
          </w:tcPr>
          <w:p w14:paraId="1AB4940B"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D9D9D9"/>
            <w:hideMark/>
          </w:tcPr>
          <w:p w14:paraId="1CA02DE2"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480D004E"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No </w:t>
            </w:r>
          </w:p>
        </w:tc>
        <w:tc>
          <w:tcPr>
            <w:tcW w:w="3855" w:type="dxa"/>
            <w:tcBorders>
              <w:top w:val="nil"/>
              <w:left w:val="single" w:sz="4" w:space="0" w:color="auto"/>
              <w:bottom w:val="nil"/>
              <w:right w:val="single" w:sz="4" w:space="0" w:color="auto"/>
            </w:tcBorders>
            <w:shd w:val="clear" w:color="auto" w:fill="D9D9D9"/>
            <w:vAlign w:val="center"/>
            <w:hideMark/>
          </w:tcPr>
          <w:p w14:paraId="35D19BEF"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Serological screening starting in first trimester. No consensus on follow-up during pregnancy of seronegative women.  </w:t>
            </w:r>
          </w:p>
        </w:tc>
      </w:tr>
      <w:tr w:rsidR="00AB22BA" w:rsidRPr="00C223D2" w14:paraId="1E14208E" w14:textId="77777777" w:rsidTr="00034328">
        <w:trPr>
          <w:trHeight w:val="303"/>
        </w:trPr>
        <w:tc>
          <w:tcPr>
            <w:tcW w:w="1270" w:type="dxa"/>
            <w:tcBorders>
              <w:top w:val="nil"/>
              <w:left w:val="single" w:sz="4" w:space="0" w:color="auto"/>
              <w:bottom w:val="nil"/>
              <w:right w:val="single" w:sz="4" w:space="0" w:color="auto"/>
            </w:tcBorders>
            <w:shd w:val="clear" w:color="auto" w:fill="FFFFFF"/>
            <w:vAlign w:val="center"/>
            <w:hideMark/>
          </w:tcPr>
          <w:p w14:paraId="5A204B4B"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Bulgaria </w:t>
            </w:r>
          </w:p>
        </w:tc>
        <w:tc>
          <w:tcPr>
            <w:tcW w:w="1074" w:type="dxa"/>
            <w:tcBorders>
              <w:top w:val="nil"/>
              <w:left w:val="single" w:sz="4" w:space="0" w:color="auto"/>
              <w:bottom w:val="nil"/>
              <w:right w:val="single" w:sz="4" w:space="0" w:color="auto"/>
            </w:tcBorders>
            <w:shd w:val="clear" w:color="auto" w:fill="FFFFFF"/>
            <w:vAlign w:val="center"/>
            <w:hideMark/>
          </w:tcPr>
          <w:p w14:paraId="23F55689"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30" w:type="dxa"/>
            <w:tcBorders>
              <w:top w:val="nil"/>
              <w:left w:val="single" w:sz="4" w:space="0" w:color="auto"/>
              <w:bottom w:val="nil"/>
              <w:right w:val="single" w:sz="4" w:space="0" w:color="auto"/>
            </w:tcBorders>
            <w:shd w:val="clear" w:color="auto" w:fill="FFFFFF"/>
            <w:vAlign w:val="center"/>
            <w:hideMark/>
          </w:tcPr>
          <w:p w14:paraId="16059AE4"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FFFFFF"/>
            <w:vAlign w:val="center"/>
            <w:hideMark/>
          </w:tcPr>
          <w:p w14:paraId="7013DD7D"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262" w:type="dxa"/>
            <w:tcBorders>
              <w:top w:val="nil"/>
              <w:left w:val="single" w:sz="4" w:space="0" w:color="auto"/>
              <w:bottom w:val="nil"/>
              <w:right w:val="single" w:sz="4" w:space="0" w:color="auto"/>
            </w:tcBorders>
            <w:shd w:val="clear" w:color="auto" w:fill="FFFFFF"/>
            <w:hideMark/>
          </w:tcPr>
          <w:p w14:paraId="4524FB3F"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FFFFFF"/>
            <w:vAlign w:val="center"/>
            <w:hideMark/>
          </w:tcPr>
          <w:p w14:paraId="36C77D06"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r>
      <w:tr w:rsidR="00AB22BA" w:rsidRPr="00C223D2" w14:paraId="298F629A" w14:textId="77777777" w:rsidTr="00034328">
        <w:trPr>
          <w:trHeight w:val="708"/>
        </w:trPr>
        <w:tc>
          <w:tcPr>
            <w:tcW w:w="1270" w:type="dxa"/>
            <w:tcBorders>
              <w:top w:val="nil"/>
              <w:left w:val="single" w:sz="4" w:space="0" w:color="auto"/>
              <w:bottom w:val="nil"/>
              <w:right w:val="single" w:sz="4" w:space="0" w:color="auto"/>
            </w:tcBorders>
            <w:shd w:val="clear" w:color="auto" w:fill="D9D9D9"/>
            <w:vAlign w:val="center"/>
            <w:hideMark/>
          </w:tcPr>
          <w:p w14:paraId="0531A51B"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Czechia </w:t>
            </w:r>
          </w:p>
        </w:tc>
        <w:tc>
          <w:tcPr>
            <w:tcW w:w="1074" w:type="dxa"/>
            <w:tcBorders>
              <w:top w:val="nil"/>
              <w:left w:val="single" w:sz="4" w:space="0" w:color="auto"/>
              <w:bottom w:val="nil"/>
              <w:right w:val="single" w:sz="4" w:space="0" w:color="auto"/>
            </w:tcBorders>
            <w:shd w:val="clear" w:color="auto" w:fill="D9D9D9"/>
            <w:vAlign w:val="center"/>
            <w:hideMark/>
          </w:tcPr>
          <w:p w14:paraId="5C97B527"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30" w:type="dxa"/>
            <w:tcBorders>
              <w:top w:val="nil"/>
              <w:left w:val="single" w:sz="4" w:space="0" w:color="auto"/>
              <w:bottom w:val="nil"/>
              <w:right w:val="single" w:sz="4" w:space="0" w:color="auto"/>
            </w:tcBorders>
            <w:shd w:val="clear" w:color="auto" w:fill="D9D9D9"/>
            <w:vAlign w:val="center"/>
            <w:hideMark/>
          </w:tcPr>
          <w:p w14:paraId="430D89C9"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D9D9D9"/>
            <w:vAlign w:val="center"/>
            <w:hideMark/>
          </w:tcPr>
          <w:p w14:paraId="796BBE15"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262" w:type="dxa"/>
            <w:tcBorders>
              <w:top w:val="nil"/>
              <w:left w:val="single" w:sz="4" w:space="0" w:color="auto"/>
              <w:bottom w:val="nil"/>
              <w:right w:val="single" w:sz="4" w:space="0" w:color="auto"/>
            </w:tcBorders>
            <w:shd w:val="clear" w:color="auto" w:fill="D9D9D9"/>
            <w:hideMark/>
          </w:tcPr>
          <w:p w14:paraId="35681235"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748F485A"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37D7A160"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D9D9D9"/>
            <w:vAlign w:val="center"/>
            <w:hideMark/>
          </w:tcPr>
          <w:p w14:paraId="6656C34E"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Serological screening only offered in certain regions and gynaecological outpatient wards. Screening not covered by statutory health insurance.  </w:t>
            </w:r>
          </w:p>
        </w:tc>
      </w:tr>
      <w:tr w:rsidR="00605C63" w:rsidRPr="00C223D2" w14:paraId="15BEE7E3" w14:textId="77777777" w:rsidTr="00034328">
        <w:trPr>
          <w:trHeight w:val="394"/>
        </w:trPr>
        <w:tc>
          <w:tcPr>
            <w:tcW w:w="1270" w:type="dxa"/>
            <w:tcBorders>
              <w:top w:val="nil"/>
              <w:left w:val="single" w:sz="4" w:space="0" w:color="auto"/>
              <w:bottom w:val="nil"/>
              <w:right w:val="single" w:sz="4" w:space="0" w:color="auto"/>
            </w:tcBorders>
            <w:shd w:val="clear" w:color="auto" w:fill="auto"/>
            <w:vAlign w:val="center"/>
            <w:hideMark/>
          </w:tcPr>
          <w:p w14:paraId="7CC66A8F"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Denmark </w:t>
            </w:r>
          </w:p>
        </w:tc>
        <w:tc>
          <w:tcPr>
            <w:tcW w:w="1074" w:type="dxa"/>
            <w:tcBorders>
              <w:top w:val="nil"/>
              <w:left w:val="single" w:sz="4" w:space="0" w:color="auto"/>
              <w:bottom w:val="nil"/>
              <w:right w:val="single" w:sz="4" w:space="0" w:color="auto"/>
            </w:tcBorders>
            <w:shd w:val="clear" w:color="auto" w:fill="auto"/>
            <w:vAlign w:val="center"/>
            <w:hideMark/>
          </w:tcPr>
          <w:p w14:paraId="62F2EE20"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30" w:type="dxa"/>
            <w:tcBorders>
              <w:top w:val="nil"/>
              <w:left w:val="single" w:sz="4" w:space="0" w:color="auto"/>
              <w:bottom w:val="nil"/>
              <w:right w:val="single" w:sz="4" w:space="0" w:color="auto"/>
            </w:tcBorders>
            <w:shd w:val="clear" w:color="auto" w:fill="auto"/>
            <w:vAlign w:val="center"/>
            <w:hideMark/>
          </w:tcPr>
          <w:p w14:paraId="1CA63D56"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auto"/>
            <w:vAlign w:val="center"/>
            <w:hideMark/>
          </w:tcPr>
          <w:p w14:paraId="308BBB73"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auto"/>
            <w:hideMark/>
          </w:tcPr>
          <w:p w14:paraId="7BA2EEE2"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34B35893"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No </w:t>
            </w:r>
          </w:p>
        </w:tc>
        <w:tc>
          <w:tcPr>
            <w:tcW w:w="3855" w:type="dxa"/>
            <w:tcBorders>
              <w:top w:val="nil"/>
              <w:left w:val="single" w:sz="4" w:space="0" w:color="auto"/>
              <w:bottom w:val="nil"/>
              <w:right w:val="single" w:sz="4" w:space="0" w:color="auto"/>
            </w:tcBorders>
            <w:shd w:val="clear" w:color="auto" w:fill="auto"/>
            <w:vAlign w:val="center"/>
            <w:hideMark/>
          </w:tcPr>
          <w:p w14:paraId="5F59DEA2"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Surveillance and screening active from 1999–2007.  </w:t>
            </w:r>
          </w:p>
        </w:tc>
      </w:tr>
      <w:tr w:rsidR="00AB22BA" w:rsidRPr="00C223D2" w14:paraId="178755DD" w14:textId="77777777" w:rsidTr="00034328">
        <w:trPr>
          <w:trHeight w:val="303"/>
        </w:trPr>
        <w:tc>
          <w:tcPr>
            <w:tcW w:w="1270" w:type="dxa"/>
            <w:tcBorders>
              <w:top w:val="nil"/>
              <w:left w:val="single" w:sz="4" w:space="0" w:color="auto"/>
              <w:bottom w:val="nil"/>
              <w:right w:val="single" w:sz="4" w:space="0" w:color="auto"/>
            </w:tcBorders>
            <w:shd w:val="clear" w:color="auto" w:fill="D9D9D9"/>
            <w:vAlign w:val="center"/>
            <w:hideMark/>
          </w:tcPr>
          <w:p w14:paraId="57D2ACAE"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Estonia </w:t>
            </w:r>
          </w:p>
        </w:tc>
        <w:tc>
          <w:tcPr>
            <w:tcW w:w="1074" w:type="dxa"/>
            <w:tcBorders>
              <w:top w:val="nil"/>
              <w:left w:val="single" w:sz="4" w:space="0" w:color="auto"/>
              <w:bottom w:val="nil"/>
              <w:right w:val="single" w:sz="4" w:space="0" w:color="auto"/>
            </w:tcBorders>
            <w:shd w:val="clear" w:color="auto" w:fill="D9D9D9"/>
            <w:vAlign w:val="center"/>
            <w:hideMark/>
          </w:tcPr>
          <w:p w14:paraId="48377869"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30" w:type="dxa"/>
            <w:tcBorders>
              <w:top w:val="nil"/>
              <w:left w:val="single" w:sz="4" w:space="0" w:color="auto"/>
              <w:bottom w:val="nil"/>
              <w:right w:val="single" w:sz="4" w:space="0" w:color="auto"/>
            </w:tcBorders>
            <w:shd w:val="clear" w:color="auto" w:fill="D9D9D9"/>
            <w:vAlign w:val="center"/>
            <w:hideMark/>
          </w:tcPr>
          <w:p w14:paraId="13132EE3"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D9D9D9"/>
            <w:vAlign w:val="center"/>
            <w:hideMark/>
          </w:tcPr>
          <w:p w14:paraId="61FA6CAA"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D9D9D9"/>
            <w:hideMark/>
          </w:tcPr>
          <w:p w14:paraId="5F27AA6B"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D9D9D9"/>
            <w:vAlign w:val="center"/>
            <w:hideMark/>
          </w:tcPr>
          <w:p w14:paraId="0FC1C3F5"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r>
      <w:tr w:rsidR="00AB22BA" w:rsidRPr="00C223D2" w14:paraId="64D1E3CA" w14:textId="77777777" w:rsidTr="00034328">
        <w:trPr>
          <w:trHeight w:val="405"/>
        </w:trPr>
        <w:tc>
          <w:tcPr>
            <w:tcW w:w="1270" w:type="dxa"/>
            <w:tcBorders>
              <w:top w:val="nil"/>
              <w:left w:val="single" w:sz="4" w:space="0" w:color="auto"/>
              <w:bottom w:val="nil"/>
              <w:right w:val="single" w:sz="4" w:space="0" w:color="auto"/>
            </w:tcBorders>
            <w:shd w:val="clear" w:color="auto" w:fill="FFFFFF"/>
            <w:vAlign w:val="center"/>
            <w:hideMark/>
          </w:tcPr>
          <w:p w14:paraId="3DF5BA2E"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France </w:t>
            </w:r>
          </w:p>
        </w:tc>
        <w:tc>
          <w:tcPr>
            <w:tcW w:w="1074" w:type="dxa"/>
            <w:tcBorders>
              <w:top w:val="nil"/>
              <w:left w:val="single" w:sz="4" w:space="0" w:color="auto"/>
              <w:bottom w:val="nil"/>
              <w:right w:val="single" w:sz="4" w:space="0" w:color="auto"/>
            </w:tcBorders>
            <w:shd w:val="clear" w:color="auto" w:fill="FFFFFF"/>
            <w:vAlign w:val="center"/>
            <w:hideMark/>
          </w:tcPr>
          <w:p w14:paraId="16F447B6"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30" w:type="dxa"/>
            <w:tcBorders>
              <w:top w:val="nil"/>
              <w:left w:val="single" w:sz="4" w:space="0" w:color="auto"/>
              <w:bottom w:val="nil"/>
              <w:right w:val="single" w:sz="4" w:space="0" w:color="auto"/>
            </w:tcBorders>
            <w:shd w:val="clear" w:color="auto" w:fill="FFFFFF"/>
            <w:vAlign w:val="center"/>
            <w:hideMark/>
          </w:tcPr>
          <w:p w14:paraId="346FD228"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29" w:type="dxa"/>
            <w:tcBorders>
              <w:top w:val="nil"/>
              <w:left w:val="single" w:sz="4" w:space="0" w:color="auto"/>
              <w:bottom w:val="nil"/>
              <w:right w:val="single" w:sz="4" w:space="0" w:color="auto"/>
            </w:tcBorders>
            <w:shd w:val="clear" w:color="auto" w:fill="FFFFFF"/>
            <w:vAlign w:val="center"/>
            <w:hideMark/>
          </w:tcPr>
          <w:p w14:paraId="40DE157C"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FFFFFF"/>
            <w:hideMark/>
          </w:tcPr>
          <w:p w14:paraId="22EAFE6E"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2C2F8745"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FFFFFF"/>
            <w:vAlign w:val="center"/>
            <w:hideMark/>
          </w:tcPr>
          <w:p w14:paraId="36653C95"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Serological screening starting in first trimester. Follow-up during pregnancy of seronegative women.  </w:t>
            </w:r>
          </w:p>
        </w:tc>
      </w:tr>
      <w:tr w:rsidR="00AB22BA" w:rsidRPr="00C223D2" w14:paraId="44D0853C" w14:textId="77777777" w:rsidTr="00034328">
        <w:trPr>
          <w:trHeight w:val="439"/>
        </w:trPr>
        <w:tc>
          <w:tcPr>
            <w:tcW w:w="1270" w:type="dxa"/>
            <w:tcBorders>
              <w:top w:val="nil"/>
              <w:left w:val="single" w:sz="4" w:space="0" w:color="auto"/>
              <w:bottom w:val="nil"/>
              <w:right w:val="single" w:sz="4" w:space="0" w:color="auto"/>
            </w:tcBorders>
            <w:shd w:val="clear" w:color="auto" w:fill="D9D9D9"/>
            <w:vAlign w:val="center"/>
            <w:hideMark/>
          </w:tcPr>
          <w:p w14:paraId="631C970B"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Germany</w:t>
            </w:r>
            <w:r w:rsidRPr="00C223D2">
              <w:rPr>
                <w:rFonts w:eastAsia="Times New Roman" w:cs="Tahoma"/>
                <w:sz w:val="12"/>
                <w:szCs w:val="12"/>
                <w:lang w:eastAsia="en-GB"/>
              </w:rPr>
              <w:t>  </w:t>
            </w:r>
          </w:p>
        </w:tc>
        <w:tc>
          <w:tcPr>
            <w:tcW w:w="1074" w:type="dxa"/>
            <w:tcBorders>
              <w:top w:val="nil"/>
              <w:left w:val="single" w:sz="4" w:space="0" w:color="auto"/>
              <w:bottom w:val="nil"/>
              <w:right w:val="single" w:sz="4" w:space="0" w:color="auto"/>
            </w:tcBorders>
            <w:shd w:val="clear" w:color="auto" w:fill="D9D9D9"/>
            <w:vAlign w:val="center"/>
            <w:hideMark/>
          </w:tcPr>
          <w:p w14:paraId="5ADB78F4"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30" w:type="dxa"/>
            <w:tcBorders>
              <w:top w:val="nil"/>
              <w:left w:val="single" w:sz="4" w:space="0" w:color="auto"/>
              <w:bottom w:val="nil"/>
              <w:right w:val="single" w:sz="4" w:space="0" w:color="auto"/>
            </w:tcBorders>
            <w:shd w:val="clear" w:color="auto" w:fill="D9D9D9"/>
            <w:vAlign w:val="center"/>
            <w:hideMark/>
          </w:tcPr>
          <w:p w14:paraId="30BC216D"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D9D9D9"/>
            <w:vAlign w:val="center"/>
            <w:hideMark/>
          </w:tcPr>
          <w:p w14:paraId="3C5B24F2"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262" w:type="dxa"/>
            <w:tcBorders>
              <w:top w:val="nil"/>
              <w:left w:val="single" w:sz="4" w:space="0" w:color="auto"/>
              <w:bottom w:val="nil"/>
              <w:right w:val="single" w:sz="4" w:space="0" w:color="auto"/>
            </w:tcBorders>
            <w:shd w:val="clear" w:color="auto" w:fill="D9D9D9"/>
            <w:hideMark/>
          </w:tcPr>
          <w:p w14:paraId="0FA5234C"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4D47C3BF"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D9D9D9"/>
            <w:vAlign w:val="center"/>
            <w:hideMark/>
          </w:tcPr>
          <w:p w14:paraId="1797CEFC" w14:textId="77777777" w:rsidR="00146DCB" w:rsidRDefault="00146DCB" w:rsidP="00C223D2">
            <w:pPr>
              <w:spacing w:after="0" w:line="240" w:lineRule="auto"/>
              <w:textAlignment w:val="baseline"/>
              <w:rPr>
                <w:rFonts w:eastAsia="Times New Roman" w:cs="Tahoma"/>
                <w:sz w:val="16"/>
                <w:szCs w:val="16"/>
                <w:lang w:eastAsia="en-GB"/>
              </w:rPr>
            </w:pPr>
          </w:p>
          <w:p w14:paraId="748E44B8" w14:textId="50BDACB7" w:rsidR="00C223D2" w:rsidRDefault="00C223D2" w:rsidP="00C223D2">
            <w:pPr>
              <w:spacing w:after="0" w:line="240" w:lineRule="auto"/>
              <w:textAlignment w:val="baseline"/>
              <w:rPr>
                <w:rFonts w:eastAsia="Times New Roman" w:cs="Tahoma"/>
                <w:sz w:val="16"/>
                <w:szCs w:val="16"/>
                <w:lang w:eastAsia="en-GB"/>
              </w:rPr>
            </w:pPr>
            <w:r w:rsidRPr="00C223D2">
              <w:rPr>
                <w:rFonts w:eastAsia="Times New Roman" w:cs="Tahoma"/>
                <w:sz w:val="16"/>
                <w:szCs w:val="16"/>
                <w:lang w:eastAsia="en-GB"/>
              </w:rPr>
              <w:t>Screening not covered by statutory health insurance.  </w:t>
            </w:r>
          </w:p>
          <w:p w14:paraId="552D4583" w14:textId="77777777" w:rsidR="00D16F8B" w:rsidRPr="00C223D2" w:rsidRDefault="00D16F8B" w:rsidP="00C223D2">
            <w:pPr>
              <w:spacing w:after="0" w:line="240" w:lineRule="auto"/>
              <w:textAlignment w:val="baseline"/>
              <w:rPr>
                <w:rFonts w:ascii="Segoe UI" w:eastAsia="Times New Roman" w:hAnsi="Segoe UI" w:cs="Segoe UI"/>
                <w:szCs w:val="18"/>
                <w:lang w:eastAsia="en-GB"/>
              </w:rPr>
            </w:pPr>
          </w:p>
        </w:tc>
      </w:tr>
      <w:tr w:rsidR="00C820A3" w:rsidRPr="00C223D2" w14:paraId="74DB7D8E" w14:textId="77777777" w:rsidTr="00034328">
        <w:trPr>
          <w:trHeight w:val="532"/>
        </w:trPr>
        <w:tc>
          <w:tcPr>
            <w:tcW w:w="1270" w:type="dxa"/>
            <w:tcBorders>
              <w:top w:val="nil"/>
              <w:left w:val="single" w:sz="4" w:space="0" w:color="auto"/>
              <w:bottom w:val="nil"/>
              <w:right w:val="single" w:sz="4" w:space="0" w:color="auto"/>
            </w:tcBorders>
            <w:shd w:val="clear" w:color="auto" w:fill="auto"/>
            <w:vAlign w:val="center"/>
          </w:tcPr>
          <w:p w14:paraId="244D9EDD" w14:textId="25D7224D" w:rsidR="00C820A3" w:rsidRPr="00DF0BD2" w:rsidRDefault="00674437" w:rsidP="00C223D2">
            <w:pPr>
              <w:spacing w:after="0" w:line="240" w:lineRule="auto"/>
              <w:textAlignment w:val="baseline"/>
              <w:rPr>
                <w:rFonts w:eastAsia="Times New Roman" w:cs="Tahoma"/>
                <w:sz w:val="16"/>
                <w:szCs w:val="16"/>
                <w:lang w:eastAsia="en-GB"/>
              </w:rPr>
            </w:pPr>
            <w:r w:rsidRPr="00DF0BD2">
              <w:rPr>
                <w:rFonts w:eastAsia="Times New Roman" w:cs="Tahoma"/>
                <w:sz w:val="16"/>
                <w:szCs w:val="16"/>
                <w:lang w:eastAsia="en-GB"/>
              </w:rPr>
              <w:t>Greece</w:t>
            </w:r>
          </w:p>
        </w:tc>
        <w:tc>
          <w:tcPr>
            <w:tcW w:w="1074" w:type="dxa"/>
            <w:tcBorders>
              <w:top w:val="nil"/>
              <w:left w:val="single" w:sz="4" w:space="0" w:color="auto"/>
              <w:bottom w:val="nil"/>
              <w:right w:val="single" w:sz="4" w:space="0" w:color="auto"/>
            </w:tcBorders>
            <w:shd w:val="clear" w:color="auto" w:fill="auto"/>
            <w:vAlign w:val="center"/>
          </w:tcPr>
          <w:p w14:paraId="50D44A31" w14:textId="77777777" w:rsidR="00C820A3" w:rsidRPr="00DF0BD2" w:rsidRDefault="00C820A3" w:rsidP="00C223D2">
            <w:pPr>
              <w:spacing w:after="0" w:line="240" w:lineRule="auto"/>
              <w:jc w:val="center"/>
              <w:textAlignment w:val="baseline"/>
              <w:rPr>
                <w:rFonts w:eastAsia="Times New Roman" w:cs="Tahoma"/>
                <w:sz w:val="16"/>
                <w:szCs w:val="16"/>
                <w:lang w:eastAsia="en-GB"/>
              </w:rPr>
            </w:pPr>
          </w:p>
        </w:tc>
        <w:tc>
          <w:tcPr>
            <w:tcW w:w="1030" w:type="dxa"/>
            <w:tcBorders>
              <w:top w:val="nil"/>
              <w:left w:val="single" w:sz="4" w:space="0" w:color="auto"/>
              <w:bottom w:val="nil"/>
              <w:right w:val="single" w:sz="4" w:space="0" w:color="auto"/>
            </w:tcBorders>
            <w:shd w:val="clear" w:color="auto" w:fill="auto"/>
            <w:vAlign w:val="center"/>
          </w:tcPr>
          <w:p w14:paraId="7B2F25B2" w14:textId="28D67BF5" w:rsidR="00C820A3" w:rsidRPr="00DF0BD2" w:rsidRDefault="00D16F8B" w:rsidP="00C223D2">
            <w:pPr>
              <w:spacing w:after="0" w:line="240" w:lineRule="auto"/>
              <w:jc w:val="center"/>
              <w:textAlignment w:val="baseline"/>
              <w:rPr>
                <w:rFonts w:eastAsia="Times New Roman" w:cs="Tahoma"/>
                <w:sz w:val="16"/>
                <w:szCs w:val="16"/>
                <w:lang w:eastAsia="en-GB"/>
              </w:rPr>
            </w:pPr>
            <w:r w:rsidRPr="00DF0BD2">
              <w:rPr>
                <w:rFonts w:eastAsia="Times New Roman" w:cs="Tahoma"/>
                <w:sz w:val="16"/>
                <w:szCs w:val="16"/>
                <w:lang w:eastAsia="en-GB"/>
              </w:rPr>
              <w:t>x</w:t>
            </w:r>
          </w:p>
        </w:tc>
        <w:tc>
          <w:tcPr>
            <w:tcW w:w="1029" w:type="dxa"/>
            <w:tcBorders>
              <w:top w:val="nil"/>
              <w:left w:val="single" w:sz="4" w:space="0" w:color="auto"/>
              <w:bottom w:val="nil"/>
              <w:right w:val="single" w:sz="4" w:space="0" w:color="auto"/>
            </w:tcBorders>
            <w:shd w:val="clear" w:color="auto" w:fill="auto"/>
            <w:vAlign w:val="center"/>
          </w:tcPr>
          <w:p w14:paraId="5AC60D15" w14:textId="77777777" w:rsidR="00C820A3" w:rsidRPr="00DF0BD2" w:rsidRDefault="00C820A3" w:rsidP="00C223D2">
            <w:pPr>
              <w:spacing w:after="0" w:line="240" w:lineRule="auto"/>
              <w:jc w:val="center"/>
              <w:textAlignment w:val="baseline"/>
              <w:rPr>
                <w:rFonts w:eastAsia="Times New Roman" w:cs="Tahoma"/>
                <w:sz w:val="16"/>
                <w:szCs w:val="16"/>
                <w:lang w:eastAsia="en-GB"/>
              </w:rPr>
            </w:pPr>
          </w:p>
        </w:tc>
        <w:tc>
          <w:tcPr>
            <w:tcW w:w="1262" w:type="dxa"/>
            <w:tcBorders>
              <w:top w:val="nil"/>
              <w:left w:val="single" w:sz="4" w:space="0" w:color="auto"/>
              <w:bottom w:val="nil"/>
              <w:right w:val="single" w:sz="4" w:space="0" w:color="auto"/>
            </w:tcBorders>
            <w:shd w:val="clear" w:color="auto" w:fill="auto"/>
          </w:tcPr>
          <w:p w14:paraId="2F7B3829" w14:textId="77777777" w:rsidR="00DF0BD2" w:rsidRPr="00DF0BD2" w:rsidRDefault="00DF0BD2" w:rsidP="00C223D2">
            <w:pPr>
              <w:spacing w:after="0" w:line="240" w:lineRule="auto"/>
              <w:jc w:val="center"/>
              <w:textAlignment w:val="baseline"/>
              <w:rPr>
                <w:rFonts w:eastAsia="Times New Roman" w:cs="Tahoma"/>
                <w:sz w:val="16"/>
                <w:szCs w:val="16"/>
                <w:lang w:eastAsia="en-GB"/>
              </w:rPr>
            </w:pPr>
          </w:p>
          <w:p w14:paraId="523A3D2A" w14:textId="77777777" w:rsidR="00DF0BD2" w:rsidRPr="00DF0BD2" w:rsidRDefault="00DF0BD2" w:rsidP="00C223D2">
            <w:pPr>
              <w:spacing w:after="0" w:line="240" w:lineRule="auto"/>
              <w:jc w:val="center"/>
              <w:textAlignment w:val="baseline"/>
              <w:rPr>
                <w:rFonts w:eastAsia="Times New Roman" w:cs="Tahoma"/>
                <w:sz w:val="16"/>
                <w:szCs w:val="16"/>
                <w:lang w:eastAsia="en-GB"/>
              </w:rPr>
            </w:pPr>
          </w:p>
          <w:p w14:paraId="7AF0BC5C" w14:textId="49D02C24" w:rsidR="00C820A3" w:rsidRPr="00DF0BD2" w:rsidRDefault="00DF0BD2" w:rsidP="00C223D2">
            <w:pPr>
              <w:spacing w:after="0" w:line="240" w:lineRule="auto"/>
              <w:jc w:val="center"/>
              <w:textAlignment w:val="baseline"/>
              <w:rPr>
                <w:rFonts w:eastAsia="Times New Roman" w:cs="Tahoma"/>
                <w:sz w:val="16"/>
                <w:szCs w:val="16"/>
                <w:lang w:eastAsia="en-GB"/>
              </w:rPr>
            </w:pPr>
            <w:r w:rsidRPr="00DF0BD2">
              <w:rPr>
                <w:rFonts w:eastAsia="Times New Roman" w:cs="Tahoma"/>
                <w:sz w:val="16"/>
                <w:szCs w:val="16"/>
                <w:lang w:eastAsia="en-GB"/>
              </w:rPr>
              <w:t>No</w:t>
            </w:r>
          </w:p>
        </w:tc>
        <w:tc>
          <w:tcPr>
            <w:tcW w:w="3855" w:type="dxa"/>
            <w:tcBorders>
              <w:top w:val="nil"/>
              <w:left w:val="single" w:sz="4" w:space="0" w:color="auto"/>
              <w:bottom w:val="nil"/>
              <w:right w:val="single" w:sz="4" w:space="0" w:color="auto"/>
            </w:tcBorders>
            <w:shd w:val="clear" w:color="auto" w:fill="auto"/>
            <w:vAlign w:val="center"/>
          </w:tcPr>
          <w:p w14:paraId="00771E8B" w14:textId="65DE2E10" w:rsidR="00C820A3" w:rsidRPr="00DF0BD2" w:rsidRDefault="00D16F8B" w:rsidP="00C223D2">
            <w:pPr>
              <w:spacing w:after="0" w:line="240" w:lineRule="auto"/>
              <w:textAlignment w:val="baseline"/>
              <w:rPr>
                <w:rFonts w:eastAsia="Times New Roman" w:cs="Tahoma"/>
                <w:sz w:val="16"/>
                <w:szCs w:val="16"/>
                <w:lang w:eastAsia="en-GB"/>
              </w:rPr>
            </w:pPr>
            <w:r w:rsidRPr="00DF0BD2">
              <w:rPr>
                <w:rFonts w:eastAsia="Times New Roman" w:cs="Tahoma"/>
                <w:sz w:val="16"/>
                <w:szCs w:val="16"/>
                <w:lang w:eastAsia="en-GB"/>
              </w:rPr>
              <w:t>C</w:t>
            </w:r>
            <w:r w:rsidR="00674437" w:rsidRPr="00DF0BD2">
              <w:rPr>
                <w:rFonts w:eastAsia="Times New Roman" w:cs="Tahoma"/>
                <w:sz w:val="16"/>
                <w:szCs w:val="16"/>
                <w:lang w:eastAsia="en-GB"/>
              </w:rPr>
              <w:t xml:space="preserve">ongenital toxoplasmosis is under surveillance through the mandatory notification form (but not toxoplasmosis in general). Screening is performed during pregnancy through serological and ultrasound testing to pregnant women and if there is such indication and compatible symptoms in the </w:t>
            </w:r>
            <w:proofErr w:type="spellStart"/>
            <w:r w:rsidR="00674437" w:rsidRPr="00DF0BD2">
              <w:rPr>
                <w:rFonts w:eastAsia="Times New Roman" w:cs="Tahoma"/>
                <w:sz w:val="16"/>
                <w:szCs w:val="16"/>
                <w:lang w:eastAsia="en-GB"/>
              </w:rPr>
              <w:t>fetus</w:t>
            </w:r>
            <w:proofErr w:type="spellEnd"/>
            <w:r w:rsidR="00674437" w:rsidRPr="00DF0BD2">
              <w:rPr>
                <w:rFonts w:eastAsia="Times New Roman" w:cs="Tahoma"/>
                <w:sz w:val="16"/>
                <w:szCs w:val="16"/>
                <w:lang w:eastAsia="en-GB"/>
              </w:rPr>
              <w:t>.</w:t>
            </w:r>
          </w:p>
        </w:tc>
      </w:tr>
      <w:tr w:rsidR="00AB22BA" w:rsidRPr="00C223D2" w14:paraId="0980CBE4" w14:textId="77777777" w:rsidTr="00034328">
        <w:trPr>
          <w:trHeight w:val="303"/>
        </w:trPr>
        <w:tc>
          <w:tcPr>
            <w:tcW w:w="1270" w:type="dxa"/>
            <w:tcBorders>
              <w:top w:val="nil"/>
              <w:left w:val="single" w:sz="4" w:space="0" w:color="auto"/>
              <w:bottom w:val="nil"/>
              <w:right w:val="single" w:sz="4" w:space="0" w:color="auto"/>
            </w:tcBorders>
            <w:shd w:val="clear" w:color="auto" w:fill="D9D9D9" w:themeFill="background1" w:themeFillShade="D9"/>
            <w:vAlign w:val="center"/>
            <w:hideMark/>
          </w:tcPr>
          <w:p w14:paraId="0E94360D"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Hungary </w:t>
            </w:r>
          </w:p>
        </w:tc>
        <w:tc>
          <w:tcPr>
            <w:tcW w:w="1074" w:type="dxa"/>
            <w:tcBorders>
              <w:top w:val="nil"/>
              <w:left w:val="single" w:sz="4" w:space="0" w:color="auto"/>
              <w:bottom w:val="nil"/>
              <w:right w:val="single" w:sz="4" w:space="0" w:color="auto"/>
            </w:tcBorders>
            <w:shd w:val="clear" w:color="auto" w:fill="D9D9D9" w:themeFill="background1" w:themeFillShade="D9"/>
            <w:vAlign w:val="center"/>
            <w:hideMark/>
          </w:tcPr>
          <w:p w14:paraId="66EA4FBC"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30" w:type="dxa"/>
            <w:tcBorders>
              <w:top w:val="nil"/>
              <w:left w:val="single" w:sz="4" w:space="0" w:color="auto"/>
              <w:bottom w:val="nil"/>
              <w:right w:val="single" w:sz="4" w:space="0" w:color="auto"/>
            </w:tcBorders>
            <w:shd w:val="clear" w:color="auto" w:fill="D9D9D9" w:themeFill="background1" w:themeFillShade="D9"/>
            <w:vAlign w:val="center"/>
            <w:hideMark/>
          </w:tcPr>
          <w:p w14:paraId="4601D648"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D9D9D9" w:themeFill="background1" w:themeFillShade="D9"/>
            <w:vAlign w:val="center"/>
            <w:hideMark/>
          </w:tcPr>
          <w:p w14:paraId="4F867314"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262" w:type="dxa"/>
            <w:tcBorders>
              <w:top w:val="nil"/>
              <w:left w:val="single" w:sz="4" w:space="0" w:color="auto"/>
              <w:bottom w:val="nil"/>
              <w:right w:val="single" w:sz="4" w:space="0" w:color="auto"/>
            </w:tcBorders>
            <w:shd w:val="clear" w:color="auto" w:fill="D9D9D9" w:themeFill="background1" w:themeFillShade="D9"/>
            <w:hideMark/>
          </w:tcPr>
          <w:p w14:paraId="73F9A7D2"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D9D9D9" w:themeFill="background1" w:themeFillShade="D9"/>
            <w:vAlign w:val="center"/>
            <w:hideMark/>
          </w:tcPr>
          <w:p w14:paraId="4BA81029"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r>
      <w:tr w:rsidR="00AB22BA" w:rsidRPr="00607B17" w14:paraId="3D921C28" w14:textId="77777777" w:rsidTr="00034328">
        <w:trPr>
          <w:trHeight w:val="440"/>
        </w:trPr>
        <w:tc>
          <w:tcPr>
            <w:tcW w:w="1270" w:type="dxa"/>
            <w:tcBorders>
              <w:top w:val="nil"/>
              <w:left w:val="single" w:sz="4" w:space="0" w:color="auto"/>
              <w:bottom w:val="nil"/>
              <w:right w:val="single" w:sz="4" w:space="0" w:color="auto"/>
            </w:tcBorders>
            <w:shd w:val="clear" w:color="auto" w:fill="auto"/>
            <w:vAlign w:val="center"/>
            <w:hideMark/>
          </w:tcPr>
          <w:p w14:paraId="2D1A98E2"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Iceland  </w:t>
            </w:r>
          </w:p>
        </w:tc>
        <w:tc>
          <w:tcPr>
            <w:tcW w:w="1074" w:type="dxa"/>
            <w:tcBorders>
              <w:top w:val="nil"/>
              <w:left w:val="single" w:sz="4" w:space="0" w:color="auto"/>
              <w:bottom w:val="nil"/>
              <w:right w:val="single" w:sz="4" w:space="0" w:color="auto"/>
            </w:tcBorders>
            <w:shd w:val="clear" w:color="auto" w:fill="auto"/>
            <w:vAlign w:val="center"/>
            <w:hideMark/>
          </w:tcPr>
          <w:p w14:paraId="7067F2A3"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30" w:type="dxa"/>
            <w:tcBorders>
              <w:top w:val="nil"/>
              <w:left w:val="single" w:sz="4" w:space="0" w:color="auto"/>
              <w:bottom w:val="nil"/>
              <w:right w:val="single" w:sz="4" w:space="0" w:color="auto"/>
            </w:tcBorders>
            <w:shd w:val="clear" w:color="auto" w:fill="auto"/>
            <w:vAlign w:val="center"/>
            <w:hideMark/>
          </w:tcPr>
          <w:p w14:paraId="5ED43D91"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auto"/>
            <w:vAlign w:val="center"/>
            <w:hideMark/>
          </w:tcPr>
          <w:p w14:paraId="0F4AC250"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auto"/>
            <w:hideMark/>
          </w:tcPr>
          <w:p w14:paraId="420D3A59"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auto"/>
            <w:vAlign w:val="center"/>
            <w:hideMark/>
          </w:tcPr>
          <w:p w14:paraId="10844685"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Suspected cases tested on individual basis.  </w:t>
            </w:r>
          </w:p>
        </w:tc>
      </w:tr>
      <w:tr w:rsidR="00AB22BA" w:rsidRPr="00607B17" w14:paraId="0429D41E" w14:textId="77777777" w:rsidTr="00034328">
        <w:trPr>
          <w:trHeight w:val="1233"/>
        </w:trPr>
        <w:tc>
          <w:tcPr>
            <w:tcW w:w="1270" w:type="dxa"/>
            <w:tcBorders>
              <w:top w:val="nil"/>
              <w:left w:val="single" w:sz="4" w:space="0" w:color="auto"/>
              <w:bottom w:val="nil"/>
              <w:right w:val="single" w:sz="4" w:space="0" w:color="auto"/>
            </w:tcBorders>
            <w:shd w:val="clear" w:color="auto" w:fill="D9D9D9" w:themeFill="background1" w:themeFillShade="D9"/>
            <w:vAlign w:val="center"/>
            <w:hideMark/>
          </w:tcPr>
          <w:p w14:paraId="294EFB15"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Ireland </w:t>
            </w:r>
          </w:p>
        </w:tc>
        <w:tc>
          <w:tcPr>
            <w:tcW w:w="1074" w:type="dxa"/>
            <w:tcBorders>
              <w:top w:val="nil"/>
              <w:left w:val="single" w:sz="4" w:space="0" w:color="auto"/>
              <w:bottom w:val="nil"/>
              <w:right w:val="single" w:sz="4" w:space="0" w:color="auto"/>
            </w:tcBorders>
            <w:shd w:val="clear" w:color="auto" w:fill="D9D9D9" w:themeFill="background1" w:themeFillShade="D9"/>
            <w:vAlign w:val="center"/>
            <w:hideMark/>
          </w:tcPr>
          <w:p w14:paraId="56031238"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30" w:type="dxa"/>
            <w:tcBorders>
              <w:top w:val="nil"/>
              <w:left w:val="single" w:sz="4" w:space="0" w:color="auto"/>
              <w:bottom w:val="nil"/>
              <w:right w:val="single" w:sz="4" w:space="0" w:color="auto"/>
            </w:tcBorders>
            <w:shd w:val="clear" w:color="auto" w:fill="D9D9D9" w:themeFill="background1" w:themeFillShade="D9"/>
            <w:vAlign w:val="center"/>
            <w:hideMark/>
          </w:tcPr>
          <w:p w14:paraId="4EDED405"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D9D9D9" w:themeFill="background1" w:themeFillShade="D9"/>
            <w:vAlign w:val="center"/>
            <w:hideMark/>
          </w:tcPr>
          <w:p w14:paraId="5578B050"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D9D9D9" w:themeFill="background1" w:themeFillShade="D9"/>
            <w:hideMark/>
          </w:tcPr>
          <w:p w14:paraId="1210C781"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28C25C8F"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4365925F"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2AAD17BC"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D9D9D9" w:themeFill="background1" w:themeFillShade="D9"/>
            <w:vAlign w:val="center"/>
            <w:hideMark/>
          </w:tcPr>
          <w:p w14:paraId="4D745D3D"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xml:space="preserve">Testing for </w:t>
            </w:r>
            <w:r w:rsidRPr="00C223D2">
              <w:rPr>
                <w:rFonts w:eastAsia="Times New Roman" w:cs="Tahoma"/>
                <w:i/>
                <w:iCs/>
                <w:sz w:val="16"/>
                <w:szCs w:val="16"/>
                <w:lang w:eastAsia="en-GB"/>
              </w:rPr>
              <w:t>Toxoplasma</w:t>
            </w:r>
            <w:r w:rsidRPr="00C223D2">
              <w:rPr>
                <w:rFonts w:eastAsia="Times New Roman" w:cs="Tahoma"/>
                <w:sz w:val="16"/>
                <w:szCs w:val="16"/>
                <w:lang w:eastAsia="en-GB"/>
              </w:rPr>
              <w:t xml:space="preserve"> requested if there are clinical indications e.g. a woman is symptomatic, for investigation of late miscarriage or if there are ultrasound findings consistent with congenital toxoplasmosis.  </w:t>
            </w:r>
          </w:p>
        </w:tc>
      </w:tr>
      <w:tr w:rsidR="00AB22BA" w:rsidRPr="00607B17" w14:paraId="657DB5F2" w14:textId="77777777" w:rsidTr="00034328">
        <w:trPr>
          <w:trHeight w:val="303"/>
        </w:trPr>
        <w:tc>
          <w:tcPr>
            <w:tcW w:w="1270" w:type="dxa"/>
            <w:tcBorders>
              <w:top w:val="nil"/>
              <w:left w:val="single" w:sz="4" w:space="0" w:color="auto"/>
              <w:bottom w:val="nil"/>
              <w:right w:val="single" w:sz="4" w:space="0" w:color="auto"/>
            </w:tcBorders>
            <w:shd w:val="clear" w:color="auto" w:fill="auto"/>
            <w:vAlign w:val="center"/>
            <w:hideMark/>
          </w:tcPr>
          <w:p w14:paraId="53BB260A"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Malta </w:t>
            </w:r>
          </w:p>
        </w:tc>
        <w:tc>
          <w:tcPr>
            <w:tcW w:w="1074" w:type="dxa"/>
            <w:tcBorders>
              <w:top w:val="nil"/>
              <w:left w:val="single" w:sz="4" w:space="0" w:color="auto"/>
              <w:bottom w:val="nil"/>
              <w:right w:val="single" w:sz="4" w:space="0" w:color="auto"/>
            </w:tcBorders>
            <w:shd w:val="clear" w:color="auto" w:fill="auto"/>
            <w:vAlign w:val="center"/>
            <w:hideMark/>
          </w:tcPr>
          <w:p w14:paraId="4DAF2EBD"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30" w:type="dxa"/>
            <w:tcBorders>
              <w:top w:val="nil"/>
              <w:left w:val="single" w:sz="4" w:space="0" w:color="auto"/>
              <w:bottom w:val="nil"/>
              <w:right w:val="single" w:sz="4" w:space="0" w:color="auto"/>
            </w:tcBorders>
            <w:shd w:val="clear" w:color="auto" w:fill="auto"/>
            <w:vAlign w:val="center"/>
            <w:hideMark/>
          </w:tcPr>
          <w:p w14:paraId="54A0F215"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auto"/>
            <w:vAlign w:val="center"/>
            <w:hideMark/>
          </w:tcPr>
          <w:p w14:paraId="3D73FF46"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auto"/>
            <w:hideMark/>
          </w:tcPr>
          <w:p w14:paraId="2614ECA2"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No </w:t>
            </w:r>
          </w:p>
        </w:tc>
        <w:tc>
          <w:tcPr>
            <w:tcW w:w="3855" w:type="dxa"/>
            <w:tcBorders>
              <w:top w:val="nil"/>
              <w:left w:val="single" w:sz="4" w:space="0" w:color="auto"/>
              <w:bottom w:val="nil"/>
              <w:right w:val="single" w:sz="4" w:space="0" w:color="auto"/>
            </w:tcBorders>
            <w:shd w:val="clear" w:color="auto" w:fill="auto"/>
            <w:vAlign w:val="center"/>
            <w:hideMark/>
          </w:tcPr>
          <w:p w14:paraId="0BC6D247"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r>
      <w:tr w:rsidR="00BA186E" w:rsidRPr="00607B17" w14:paraId="4ED0FCCD" w14:textId="77777777" w:rsidTr="00034328">
        <w:trPr>
          <w:trHeight w:val="394"/>
        </w:trPr>
        <w:tc>
          <w:tcPr>
            <w:tcW w:w="1270" w:type="dxa"/>
            <w:tcBorders>
              <w:top w:val="nil"/>
              <w:left w:val="single" w:sz="4" w:space="0" w:color="auto"/>
              <w:bottom w:val="nil"/>
              <w:right w:val="single" w:sz="4" w:space="0" w:color="auto"/>
            </w:tcBorders>
            <w:shd w:val="clear" w:color="auto" w:fill="D9D9D9" w:themeFill="background1" w:themeFillShade="D9"/>
            <w:vAlign w:val="center"/>
            <w:hideMark/>
          </w:tcPr>
          <w:p w14:paraId="22BA020C"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Netherlands </w:t>
            </w:r>
          </w:p>
        </w:tc>
        <w:tc>
          <w:tcPr>
            <w:tcW w:w="1074" w:type="dxa"/>
            <w:tcBorders>
              <w:top w:val="nil"/>
              <w:left w:val="single" w:sz="4" w:space="0" w:color="auto"/>
              <w:bottom w:val="nil"/>
              <w:right w:val="single" w:sz="4" w:space="0" w:color="auto"/>
            </w:tcBorders>
            <w:shd w:val="clear" w:color="auto" w:fill="D9D9D9" w:themeFill="background1" w:themeFillShade="D9"/>
            <w:vAlign w:val="center"/>
            <w:hideMark/>
          </w:tcPr>
          <w:p w14:paraId="54ED46DF"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30" w:type="dxa"/>
            <w:tcBorders>
              <w:top w:val="nil"/>
              <w:left w:val="single" w:sz="4" w:space="0" w:color="auto"/>
              <w:bottom w:val="nil"/>
              <w:right w:val="single" w:sz="4" w:space="0" w:color="auto"/>
            </w:tcBorders>
            <w:shd w:val="clear" w:color="auto" w:fill="D9D9D9" w:themeFill="background1" w:themeFillShade="D9"/>
            <w:vAlign w:val="center"/>
            <w:hideMark/>
          </w:tcPr>
          <w:p w14:paraId="2DC4C1EA"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D9D9D9" w:themeFill="background1" w:themeFillShade="D9"/>
            <w:vAlign w:val="center"/>
            <w:hideMark/>
          </w:tcPr>
          <w:p w14:paraId="704FECDF"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D9D9D9" w:themeFill="background1" w:themeFillShade="D9"/>
            <w:hideMark/>
          </w:tcPr>
          <w:p w14:paraId="453F1010"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1F5802C4"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No </w:t>
            </w:r>
          </w:p>
        </w:tc>
        <w:tc>
          <w:tcPr>
            <w:tcW w:w="3855" w:type="dxa"/>
            <w:tcBorders>
              <w:top w:val="nil"/>
              <w:left w:val="single" w:sz="4" w:space="0" w:color="auto"/>
              <w:bottom w:val="nil"/>
              <w:right w:val="single" w:sz="4" w:space="0" w:color="auto"/>
            </w:tcBorders>
            <w:shd w:val="clear" w:color="auto" w:fill="D9D9D9" w:themeFill="background1" w:themeFillShade="D9"/>
            <w:vAlign w:val="center"/>
            <w:hideMark/>
          </w:tcPr>
          <w:p w14:paraId="0E6EE196"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r>
      <w:tr w:rsidR="00AB22BA" w:rsidRPr="00607B17" w14:paraId="346F2957" w14:textId="77777777" w:rsidTr="00034328">
        <w:trPr>
          <w:trHeight w:val="303"/>
        </w:trPr>
        <w:tc>
          <w:tcPr>
            <w:tcW w:w="1270" w:type="dxa"/>
            <w:tcBorders>
              <w:top w:val="nil"/>
              <w:left w:val="single" w:sz="4" w:space="0" w:color="auto"/>
              <w:bottom w:val="nil"/>
              <w:right w:val="single" w:sz="4" w:space="0" w:color="auto"/>
            </w:tcBorders>
            <w:shd w:val="clear" w:color="auto" w:fill="auto"/>
            <w:vAlign w:val="center"/>
            <w:hideMark/>
          </w:tcPr>
          <w:p w14:paraId="427F1EFC"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Norway </w:t>
            </w:r>
          </w:p>
        </w:tc>
        <w:tc>
          <w:tcPr>
            <w:tcW w:w="1074" w:type="dxa"/>
            <w:tcBorders>
              <w:top w:val="nil"/>
              <w:left w:val="single" w:sz="4" w:space="0" w:color="auto"/>
              <w:bottom w:val="nil"/>
              <w:right w:val="single" w:sz="4" w:space="0" w:color="auto"/>
            </w:tcBorders>
            <w:shd w:val="clear" w:color="auto" w:fill="auto"/>
            <w:vAlign w:val="center"/>
            <w:hideMark/>
          </w:tcPr>
          <w:p w14:paraId="21D49393"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30" w:type="dxa"/>
            <w:tcBorders>
              <w:top w:val="nil"/>
              <w:left w:val="single" w:sz="4" w:space="0" w:color="auto"/>
              <w:bottom w:val="nil"/>
              <w:right w:val="single" w:sz="4" w:space="0" w:color="auto"/>
            </w:tcBorders>
            <w:shd w:val="clear" w:color="auto" w:fill="auto"/>
            <w:vAlign w:val="center"/>
            <w:hideMark/>
          </w:tcPr>
          <w:p w14:paraId="732E22B3"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auto"/>
            <w:vAlign w:val="center"/>
            <w:hideMark/>
          </w:tcPr>
          <w:p w14:paraId="4BF624FD"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auto"/>
            <w:hideMark/>
          </w:tcPr>
          <w:p w14:paraId="3CF5D068"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No </w:t>
            </w:r>
          </w:p>
        </w:tc>
        <w:tc>
          <w:tcPr>
            <w:tcW w:w="3855" w:type="dxa"/>
            <w:tcBorders>
              <w:top w:val="nil"/>
              <w:left w:val="single" w:sz="4" w:space="0" w:color="auto"/>
              <w:bottom w:val="nil"/>
              <w:right w:val="single" w:sz="4" w:space="0" w:color="auto"/>
            </w:tcBorders>
            <w:shd w:val="clear" w:color="auto" w:fill="auto"/>
            <w:vAlign w:val="center"/>
            <w:hideMark/>
          </w:tcPr>
          <w:p w14:paraId="3D48FF19"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r>
      <w:tr w:rsidR="00BA186E" w:rsidRPr="00607B17" w14:paraId="119BF5FD" w14:textId="77777777" w:rsidTr="00034328">
        <w:trPr>
          <w:trHeight w:val="776"/>
        </w:trPr>
        <w:tc>
          <w:tcPr>
            <w:tcW w:w="1270" w:type="dxa"/>
            <w:tcBorders>
              <w:top w:val="nil"/>
              <w:left w:val="single" w:sz="4" w:space="0" w:color="auto"/>
              <w:bottom w:val="nil"/>
              <w:right w:val="single" w:sz="4" w:space="0" w:color="auto"/>
            </w:tcBorders>
            <w:shd w:val="clear" w:color="auto" w:fill="D9D9D9" w:themeFill="background1" w:themeFillShade="D9"/>
            <w:vAlign w:val="center"/>
            <w:hideMark/>
          </w:tcPr>
          <w:p w14:paraId="2791BE7B"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Slovakia </w:t>
            </w:r>
          </w:p>
        </w:tc>
        <w:tc>
          <w:tcPr>
            <w:tcW w:w="1074" w:type="dxa"/>
            <w:tcBorders>
              <w:top w:val="nil"/>
              <w:left w:val="single" w:sz="4" w:space="0" w:color="auto"/>
              <w:bottom w:val="nil"/>
              <w:right w:val="single" w:sz="4" w:space="0" w:color="auto"/>
            </w:tcBorders>
            <w:shd w:val="clear" w:color="auto" w:fill="D9D9D9" w:themeFill="background1" w:themeFillShade="D9"/>
            <w:vAlign w:val="center"/>
            <w:hideMark/>
          </w:tcPr>
          <w:p w14:paraId="1D45404A"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30" w:type="dxa"/>
            <w:tcBorders>
              <w:top w:val="nil"/>
              <w:left w:val="single" w:sz="4" w:space="0" w:color="auto"/>
              <w:bottom w:val="nil"/>
              <w:right w:val="single" w:sz="4" w:space="0" w:color="auto"/>
            </w:tcBorders>
            <w:shd w:val="clear" w:color="auto" w:fill="D9D9D9" w:themeFill="background1" w:themeFillShade="D9"/>
            <w:vAlign w:val="center"/>
            <w:hideMark/>
          </w:tcPr>
          <w:p w14:paraId="04C014ED"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29" w:type="dxa"/>
            <w:tcBorders>
              <w:top w:val="nil"/>
              <w:left w:val="single" w:sz="4" w:space="0" w:color="auto"/>
              <w:bottom w:val="nil"/>
              <w:right w:val="single" w:sz="4" w:space="0" w:color="auto"/>
            </w:tcBorders>
            <w:shd w:val="clear" w:color="auto" w:fill="D9D9D9" w:themeFill="background1" w:themeFillShade="D9"/>
            <w:vAlign w:val="center"/>
            <w:hideMark/>
          </w:tcPr>
          <w:p w14:paraId="57EF8ADC"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D9D9D9" w:themeFill="background1" w:themeFillShade="D9"/>
            <w:hideMark/>
          </w:tcPr>
          <w:p w14:paraId="21B67A21" w14:textId="77777777" w:rsidR="00774DD2" w:rsidRDefault="00C223D2" w:rsidP="00774DD2">
            <w:pPr>
              <w:spacing w:after="0" w:line="240" w:lineRule="auto"/>
              <w:jc w:val="center"/>
              <w:textAlignment w:val="baseline"/>
              <w:rPr>
                <w:rFonts w:eastAsia="Times New Roman" w:cs="Tahoma"/>
                <w:szCs w:val="16"/>
                <w:lang w:eastAsia="en-GB"/>
              </w:rPr>
            </w:pPr>
            <w:r w:rsidRPr="00C223D2">
              <w:rPr>
                <w:rFonts w:eastAsia="Times New Roman" w:cs="Tahoma"/>
                <w:sz w:val="16"/>
                <w:szCs w:val="16"/>
                <w:lang w:eastAsia="en-GB"/>
              </w:rPr>
              <w:t> </w:t>
            </w:r>
          </w:p>
          <w:p w14:paraId="20E17BFD" w14:textId="52304AE8" w:rsidR="00C223D2" w:rsidRPr="00C223D2" w:rsidRDefault="00C223D2" w:rsidP="00774D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D9D9D9" w:themeFill="background1" w:themeFillShade="D9"/>
            <w:vAlign w:val="center"/>
            <w:hideMark/>
          </w:tcPr>
          <w:p w14:paraId="055E66D7"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Serological screening starting in first trimester. Follow-up during pregnancy of seronegative women.  </w:t>
            </w:r>
          </w:p>
        </w:tc>
      </w:tr>
      <w:tr w:rsidR="00AB22BA" w:rsidRPr="00607B17" w14:paraId="0255F511" w14:textId="77777777" w:rsidTr="00034328">
        <w:trPr>
          <w:trHeight w:val="303"/>
        </w:trPr>
        <w:tc>
          <w:tcPr>
            <w:tcW w:w="1270" w:type="dxa"/>
            <w:tcBorders>
              <w:top w:val="nil"/>
              <w:left w:val="single" w:sz="4" w:space="0" w:color="auto"/>
              <w:bottom w:val="nil"/>
              <w:right w:val="single" w:sz="4" w:space="0" w:color="auto"/>
            </w:tcBorders>
            <w:shd w:val="clear" w:color="auto" w:fill="auto"/>
            <w:vAlign w:val="center"/>
            <w:hideMark/>
          </w:tcPr>
          <w:p w14:paraId="2738A103"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Slovenia </w:t>
            </w:r>
          </w:p>
        </w:tc>
        <w:tc>
          <w:tcPr>
            <w:tcW w:w="1074" w:type="dxa"/>
            <w:tcBorders>
              <w:top w:val="nil"/>
              <w:left w:val="single" w:sz="4" w:space="0" w:color="auto"/>
              <w:bottom w:val="nil"/>
              <w:right w:val="single" w:sz="4" w:space="0" w:color="auto"/>
            </w:tcBorders>
            <w:shd w:val="clear" w:color="auto" w:fill="auto"/>
            <w:vAlign w:val="center"/>
            <w:hideMark/>
          </w:tcPr>
          <w:p w14:paraId="4285A91C"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30" w:type="dxa"/>
            <w:tcBorders>
              <w:top w:val="nil"/>
              <w:left w:val="single" w:sz="4" w:space="0" w:color="auto"/>
              <w:bottom w:val="nil"/>
              <w:right w:val="single" w:sz="4" w:space="0" w:color="auto"/>
            </w:tcBorders>
            <w:shd w:val="clear" w:color="auto" w:fill="auto"/>
            <w:vAlign w:val="center"/>
            <w:hideMark/>
          </w:tcPr>
          <w:p w14:paraId="1CB579C8"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29" w:type="dxa"/>
            <w:tcBorders>
              <w:top w:val="nil"/>
              <w:left w:val="single" w:sz="4" w:space="0" w:color="auto"/>
              <w:bottom w:val="nil"/>
              <w:right w:val="single" w:sz="4" w:space="0" w:color="auto"/>
            </w:tcBorders>
            <w:shd w:val="clear" w:color="auto" w:fill="auto"/>
            <w:vAlign w:val="center"/>
            <w:hideMark/>
          </w:tcPr>
          <w:p w14:paraId="790DA2A1"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auto"/>
            <w:hideMark/>
          </w:tcPr>
          <w:p w14:paraId="1B24E471"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tc>
        <w:tc>
          <w:tcPr>
            <w:tcW w:w="3855" w:type="dxa"/>
            <w:tcBorders>
              <w:top w:val="nil"/>
              <w:left w:val="single" w:sz="4" w:space="0" w:color="auto"/>
              <w:bottom w:val="nil"/>
              <w:right w:val="single" w:sz="4" w:space="0" w:color="auto"/>
            </w:tcBorders>
            <w:shd w:val="clear" w:color="auto" w:fill="auto"/>
            <w:vAlign w:val="center"/>
            <w:hideMark/>
          </w:tcPr>
          <w:p w14:paraId="715C7088"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r>
      <w:tr w:rsidR="00AB22BA" w:rsidRPr="00607B17" w14:paraId="0B4FE078" w14:textId="77777777" w:rsidTr="00034328">
        <w:trPr>
          <w:trHeight w:val="410"/>
        </w:trPr>
        <w:tc>
          <w:tcPr>
            <w:tcW w:w="1270" w:type="dxa"/>
            <w:tcBorders>
              <w:top w:val="nil"/>
              <w:left w:val="single" w:sz="4" w:space="0" w:color="auto"/>
              <w:bottom w:val="nil"/>
              <w:right w:val="single" w:sz="4" w:space="0" w:color="auto"/>
            </w:tcBorders>
            <w:shd w:val="clear" w:color="auto" w:fill="D9D9D9" w:themeFill="background1" w:themeFillShade="D9"/>
            <w:vAlign w:val="center"/>
            <w:hideMark/>
          </w:tcPr>
          <w:p w14:paraId="36A730C5"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Sweden </w:t>
            </w:r>
          </w:p>
        </w:tc>
        <w:tc>
          <w:tcPr>
            <w:tcW w:w="1074" w:type="dxa"/>
            <w:tcBorders>
              <w:top w:val="nil"/>
              <w:left w:val="single" w:sz="4" w:space="0" w:color="auto"/>
              <w:bottom w:val="nil"/>
              <w:right w:val="single" w:sz="4" w:space="0" w:color="auto"/>
            </w:tcBorders>
            <w:shd w:val="clear" w:color="auto" w:fill="D9D9D9" w:themeFill="background1" w:themeFillShade="D9"/>
            <w:vAlign w:val="center"/>
            <w:hideMark/>
          </w:tcPr>
          <w:p w14:paraId="4706B3C2"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30" w:type="dxa"/>
            <w:tcBorders>
              <w:top w:val="nil"/>
              <w:left w:val="single" w:sz="4" w:space="0" w:color="auto"/>
              <w:bottom w:val="nil"/>
              <w:right w:val="single" w:sz="4" w:space="0" w:color="auto"/>
            </w:tcBorders>
            <w:shd w:val="clear" w:color="auto" w:fill="D9D9D9" w:themeFill="background1" w:themeFillShade="D9"/>
            <w:vAlign w:val="center"/>
            <w:hideMark/>
          </w:tcPr>
          <w:p w14:paraId="672B012D"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nil"/>
              <w:right w:val="single" w:sz="4" w:space="0" w:color="auto"/>
            </w:tcBorders>
            <w:shd w:val="clear" w:color="auto" w:fill="D9D9D9" w:themeFill="background1" w:themeFillShade="D9"/>
            <w:vAlign w:val="center"/>
            <w:hideMark/>
          </w:tcPr>
          <w:p w14:paraId="77D9042B"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nil"/>
              <w:right w:val="single" w:sz="4" w:space="0" w:color="auto"/>
            </w:tcBorders>
            <w:shd w:val="clear" w:color="auto" w:fill="D9D9D9" w:themeFill="background1" w:themeFillShade="D9"/>
            <w:hideMark/>
          </w:tcPr>
          <w:p w14:paraId="5B81EA3E"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220439D9"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No </w:t>
            </w:r>
          </w:p>
        </w:tc>
        <w:tc>
          <w:tcPr>
            <w:tcW w:w="3855" w:type="dxa"/>
            <w:tcBorders>
              <w:top w:val="nil"/>
              <w:left w:val="single" w:sz="4" w:space="0" w:color="auto"/>
              <w:bottom w:val="nil"/>
              <w:right w:val="single" w:sz="4" w:space="0" w:color="auto"/>
            </w:tcBorders>
            <w:shd w:val="clear" w:color="auto" w:fill="D9D9D9" w:themeFill="background1" w:themeFillShade="D9"/>
            <w:vAlign w:val="center"/>
            <w:hideMark/>
          </w:tcPr>
          <w:p w14:paraId="172BEDD6"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Suspected cases or women at high risk of infection tested on individual basis.  </w:t>
            </w:r>
          </w:p>
        </w:tc>
      </w:tr>
      <w:tr w:rsidR="00AB22BA" w:rsidRPr="00C223D2" w14:paraId="13059219" w14:textId="77777777" w:rsidTr="00034328">
        <w:trPr>
          <w:trHeight w:val="41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12631824"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United Kingdom </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7EA1C78F"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x  </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14:paraId="1F71B8C7"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68CA7FA2"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c>
          <w:tcPr>
            <w:tcW w:w="1262" w:type="dxa"/>
            <w:tcBorders>
              <w:top w:val="nil"/>
              <w:left w:val="single" w:sz="4" w:space="0" w:color="auto"/>
              <w:bottom w:val="single" w:sz="4" w:space="0" w:color="auto"/>
              <w:right w:val="single" w:sz="4" w:space="0" w:color="auto"/>
            </w:tcBorders>
            <w:shd w:val="clear" w:color="auto" w:fill="auto"/>
            <w:hideMark/>
          </w:tcPr>
          <w:p w14:paraId="3B8F65C9"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p w14:paraId="07409422" w14:textId="77777777"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Yes  </w:t>
            </w:r>
          </w:p>
          <w:p w14:paraId="537F9419" w14:textId="0FAEC4A0" w:rsidR="00C223D2" w:rsidRPr="00C223D2" w:rsidRDefault="00C223D2" w:rsidP="00C223D2">
            <w:pPr>
              <w:spacing w:after="0" w:line="240" w:lineRule="auto"/>
              <w:jc w:val="center"/>
              <w:textAlignment w:val="baseline"/>
              <w:rPr>
                <w:rFonts w:ascii="Segoe UI" w:eastAsia="Times New Roman" w:hAnsi="Segoe UI" w:cs="Segoe UI"/>
                <w:szCs w:val="18"/>
                <w:lang w:eastAsia="en-GB"/>
              </w:rPr>
            </w:pPr>
            <w:r w:rsidRPr="00C223D2">
              <w:rPr>
                <w:rFonts w:eastAsia="Times New Roman" w:cs="Tahoma"/>
                <w:sz w:val="16"/>
                <w:szCs w:val="16"/>
                <w:lang w:eastAsia="en-GB"/>
              </w:rPr>
              <w:t>(</w:t>
            </w:r>
            <w:r w:rsidR="007E647B">
              <w:rPr>
                <w:rFonts w:eastAsia="Times New Roman" w:cs="Tahoma"/>
                <w:sz w:val="16"/>
                <w:szCs w:val="16"/>
                <w:lang w:eastAsia="en-GB"/>
              </w:rPr>
              <w:t>u</w:t>
            </w:r>
            <w:r w:rsidRPr="00C223D2">
              <w:rPr>
                <w:rFonts w:eastAsia="Times New Roman" w:cs="Tahoma"/>
                <w:sz w:val="16"/>
                <w:szCs w:val="16"/>
                <w:lang w:eastAsia="en-GB"/>
              </w:rPr>
              <w:t>ntil 2020) </w:t>
            </w:r>
          </w:p>
        </w:tc>
        <w:tc>
          <w:tcPr>
            <w:tcW w:w="3855" w:type="dxa"/>
            <w:tcBorders>
              <w:top w:val="nil"/>
              <w:left w:val="single" w:sz="4" w:space="0" w:color="auto"/>
              <w:bottom w:val="single" w:sz="4" w:space="0" w:color="auto"/>
              <w:right w:val="single" w:sz="4" w:space="0" w:color="auto"/>
            </w:tcBorders>
            <w:shd w:val="clear" w:color="auto" w:fill="auto"/>
            <w:vAlign w:val="center"/>
            <w:hideMark/>
          </w:tcPr>
          <w:p w14:paraId="60616250" w14:textId="77777777" w:rsidR="00C223D2" w:rsidRPr="00C223D2" w:rsidRDefault="00C223D2" w:rsidP="00C223D2">
            <w:pPr>
              <w:spacing w:after="0" w:line="240" w:lineRule="auto"/>
              <w:textAlignment w:val="baseline"/>
              <w:rPr>
                <w:rFonts w:ascii="Segoe UI" w:eastAsia="Times New Roman" w:hAnsi="Segoe UI" w:cs="Segoe UI"/>
                <w:szCs w:val="18"/>
                <w:lang w:eastAsia="en-GB"/>
              </w:rPr>
            </w:pPr>
            <w:r w:rsidRPr="00C223D2">
              <w:rPr>
                <w:rFonts w:eastAsia="Times New Roman" w:cs="Tahoma"/>
                <w:sz w:val="16"/>
                <w:szCs w:val="16"/>
                <w:lang w:eastAsia="en-GB"/>
              </w:rPr>
              <w:t> </w:t>
            </w:r>
          </w:p>
        </w:tc>
      </w:tr>
    </w:tbl>
    <w:p w14:paraId="26AF83A2" w14:textId="77777777" w:rsidR="00C223D2" w:rsidRDefault="00C223D2" w:rsidP="000E6C8A">
      <w:pPr>
        <w:pStyle w:val="EC-Para"/>
        <w:rPr>
          <w:lang w:eastAsia="en-US"/>
        </w:rPr>
      </w:pPr>
    </w:p>
    <w:p w14:paraId="472E5156" w14:textId="77777777" w:rsidR="000E6C8A" w:rsidRDefault="000E6C8A" w:rsidP="000E6C8A">
      <w:pPr>
        <w:pStyle w:val="EC-Para"/>
        <w:rPr>
          <w:lang w:eastAsia="en-US"/>
        </w:rPr>
      </w:pPr>
    </w:p>
    <w:p w14:paraId="652DC975" w14:textId="77777777" w:rsidR="000E6C8A" w:rsidRDefault="000E6C8A" w:rsidP="000E6C8A">
      <w:pPr>
        <w:pStyle w:val="EC-Para"/>
        <w:rPr>
          <w:lang w:eastAsia="en-US"/>
        </w:rPr>
      </w:pPr>
    </w:p>
    <w:p w14:paraId="696997D2" w14:textId="77777777" w:rsidR="000E6C8A" w:rsidRPr="000E6C8A" w:rsidRDefault="000E6C8A" w:rsidP="000E6C8A">
      <w:pPr>
        <w:pStyle w:val="EC-Para"/>
        <w:rPr>
          <w:lang w:eastAsia="en-US"/>
        </w:rPr>
      </w:pPr>
    </w:p>
    <w:p w14:paraId="655C06A6" w14:textId="1678079E" w:rsidR="00D327B7" w:rsidRDefault="00D327B7" w:rsidP="00D327B7">
      <w:pPr>
        <w:pStyle w:val="EC-Para"/>
        <w:rPr>
          <w:lang w:eastAsia="en-US"/>
        </w:rPr>
      </w:pPr>
    </w:p>
    <w:p w14:paraId="4955AAFF" w14:textId="1900700F" w:rsidR="00AC0043" w:rsidRDefault="006620DD">
      <w:pPr>
        <w:spacing w:after="200" w:line="276" w:lineRule="auto"/>
        <w:rPr>
          <w:rFonts w:eastAsia="Arial Unicode MS"/>
          <w:kern w:val="22"/>
          <w:szCs w:val="18"/>
        </w:rPr>
      </w:pPr>
      <w:r>
        <w:br w:type="textWrapping" w:clear="all"/>
      </w:r>
      <w:r w:rsidR="00AC0043">
        <w:br w:type="page"/>
      </w:r>
    </w:p>
    <w:p w14:paraId="17AD6F2C" w14:textId="77777777" w:rsidR="009F5B73" w:rsidRDefault="009F5B73" w:rsidP="00B3152F">
      <w:pPr>
        <w:pStyle w:val="EC-Title-5"/>
        <w:outlineLvl w:val="0"/>
        <w:rPr>
          <w:i/>
        </w:rPr>
      </w:pPr>
      <w:bookmarkStart w:id="84" w:name="_Toc437442031"/>
      <w:bookmarkStart w:id="85" w:name="_Toc127531833"/>
      <w:proofErr w:type="spellStart"/>
      <w:r>
        <w:lastRenderedPageBreak/>
        <w:t>Trichinellosis</w:t>
      </w:r>
      <w:bookmarkEnd w:id="84"/>
      <w:bookmarkEnd w:id="85"/>
      <w:proofErr w:type="spellEnd"/>
    </w:p>
    <w:p w14:paraId="1981E994" w14:textId="0BCAC0CC" w:rsidR="00EE1F3C" w:rsidRPr="00A32FE1" w:rsidRDefault="00CB3144" w:rsidP="00EE1F3C">
      <w:pPr>
        <w:pStyle w:val="EC-Para"/>
        <w:jc w:val="right"/>
        <w:rPr>
          <w:b/>
          <w:lang w:eastAsia="en-US"/>
        </w:rPr>
      </w:pPr>
      <w:r>
        <w:rPr>
          <w:b/>
          <w:lang w:eastAsia="en-US"/>
        </w:rPr>
        <w:t>Last updated: 13 August 2024</w:t>
      </w:r>
    </w:p>
    <w:p w14:paraId="0261782B" w14:textId="42C19B15" w:rsidR="005D1339" w:rsidRDefault="0045529D" w:rsidP="00D77D35">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43FFA868" w14:textId="77777777" w:rsidR="009F5B73" w:rsidRDefault="009F5B73" w:rsidP="009F5B73">
      <w:pPr>
        <w:autoSpaceDE w:val="0"/>
        <w:autoSpaceDN w:val="0"/>
        <w:adjustRightInd w:val="0"/>
        <w:rPr>
          <w:rStyle w:val="Hyperlink"/>
          <w:i/>
        </w:rPr>
      </w:pPr>
      <w:proofErr w:type="spellStart"/>
      <w:r w:rsidRPr="0009264C">
        <w:rPr>
          <w:rFonts w:eastAsiaTheme="minorHAnsi" w:cs="Tahoma"/>
          <w:szCs w:val="18"/>
        </w:rPr>
        <w:t>Trichinellosis</w:t>
      </w:r>
      <w:proofErr w:type="spellEnd"/>
      <w:r w:rsidRPr="0009264C">
        <w:rPr>
          <w:rFonts w:eastAsiaTheme="minorHAnsi" w:cs="Tahoma"/>
          <w:szCs w:val="18"/>
        </w:rPr>
        <w:t xml:space="preserve"> is a disease caused by </w:t>
      </w:r>
      <w:r>
        <w:rPr>
          <w:rFonts w:eastAsiaTheme="minorHAnsi" w:cs="Tahoma"/>
          <w:szCs w:val="18"/>
        </w:rPr>
        <w:t>an</w:t>
      </w:r>
      <w:r w:rsidRPr="0009264C">
        <w:rPr>
          <w:rFonts w:eastAsiaTheme="minorHAnsi" w:cs="Tahoma"/>
          <w:szCs w:val="18"/>
        </w:rPr>
        <w:t xml:space="preserve"> infection with the intestinal parasite </w:t>
      </w:r>
      <w:r w:rsidRPr="0009264C">
        <w:rPr>
          <w:rFonts w:eastAsiaTheme="minorHAnsi" w:cs="Tahoma"/>
          <w:i/>
          <w:szCs w:val="18"/>
        </w:rPr>
        <w:t>Trichinella</w:t>
      </w:r>
      <w:r w:rsidRPr="0009264C">
        <w:rPr>
          <w:rFonts w:eastAsiaTheme="minorHAnsi" w:cs="Tahoma"/>
          <w:szCs w:val="18"/>
        </w:rPr>
        <w:t xml:space="preserve">, most commonly the species </w:t>
      </w:r>
      <w:r w:rsidRPr="0009264C">
        <w:rPr>
          <w:rFonts w:eastAsiaTheme="minorHAnsi" w:cs="Tahoma"/>
          <w:i/>
          <w:szCs w:val="18"/>
        </w:rPr>
        <w:t>T. spiralis</w:t>
      </w:r>
      <w:r w:rsidRPr="0009264C">
        <w:rPr>
          <w:rFonts w:eastAsia="Times New Roman" w:cs="Tahoma"/>
          <w:szCs w:val="18"/>
          <w:lang w:val="en-US" w:eastAsia="en-GB"/>
        </w:rPr>
        <w:t xml:space="preserve">. </w:t>
      </w:r>
      <w:r w:rsidRPr="0009264C">
        <w:rPr>
          <w:rFonts w:eastAsiaTheme="minorHAnsi" w:cs="Tahoma"/>
          <w:szCs w:val="18"/>
        </w:rPr>
        <w:t>For a more detailed description of the disease and its epidemiology</w:t>
      </w:r>
      <w:r>
        <w:rPr>
          <w:rFonts w:eastAsiaTheme="minorHAnsi" w:cs="Tahoma"/>
          <w:szCs w:val="18"/>
        </w:rPr>
        <w:t>,</w:t>
      </w:r>
      <w:r w:rsidRPr="0009264C">
        <w:rPr>
          <w:rFonts w:eastAsiaTheme="minorHAnsi" w:cs="Tahoma"/>
          <w:szCs w:val="18"/>
        </w:rPr>
        <w:t xml:space="preserve"> please </w:t>
      </w:r>
      <w:r w:rsidRPr="00B36CF2">
        <w:rPr>
          <w:rFonts w:eastAsiaTheme="minorHAnsi" w:cs="Tahoma"/>
          <w:szCs w:val="18"/>
        </w:rPr>
        <w:t>click</w:t>
      </w:r>
      <w:r w:rsidRPr="00B36CF2">
        <w:rPr>
          <w:rFonts w:cs="Tahoma"/>
          <w:szCs w:val="18"/>
        </w:rPr>
        <w:t xml:space="preserve"> </w:t>
      </w:r>
      <w:hyperlink r:id="rId92" w:history="1">
        <w:r w:rsidRPr="00B36CF2">
          <w:rPr>
            <w:rStyle w:val="Hyperlink"/>
            <w:i/>
            <w:sz w:val="18"/>
            <w:szCs w:val="18"/>
          </w:rPr>
          <w:t>here</w:t>
        </w:r>
      </w:hyperlink>
      <w:r w:rsidRPr="00B36CF2">
        <w:rPr>
          <w:rStyle w:val="Hyperlink"/>
          <w:i/>
          <w:sz w:val="18"/>
          <w:szCs w:val="18"/>
        </w:rPr>
        <w:t>.</w:t>
      </w:r>
      <w:r w:rsidRPr="00F44E9A">
        <w:rPr>
          <w:rStyle w:val="Hyperlink"/>
          <w:i/>
        </w:rPr>
        <w:t xml:space="preserve">  </w:t>
      </w:r>
    </w:p>
    <w:p w14:paraId="41EC761F" w14:textId="77777777" w:rsidR="009F5B73" w:rsidRPr="00E82D5E" w:rsidRDefault="009F5B73" w:rsidP="009F5B73">
      <w:pPr>
        <w:shd w:val="clear" w:color="auto" w:fill="FFFFFF"/>
        <w:textAlignment w:val="top"/>
        <w:rPr>
          <w:rFonts w:eastAsia="Times New Roman" w:cs="Tahoma"/>
          <w:color w:val="333333"/>
          <w:szCs w:val="18"/>
          <w:lang w:val="en-US" w:eastAsia="en-GB"/>
        </w:rPr>
      </w:pPr>
    </w:p>
    <w:p w14:paraId="277C6306" w14:textId="77777777" w:rsidR="009F5B73" w:rsidRDefault="009F5B73" w:rsidP="00B3152F">
      <w:pPr>
        <w:pStyle w:val="EC-Title-6"/>
        <w:outlineLvl w:val="1"/>
        <w:rPr>
          <w:rFonts w:cs="Tahoma"/>
        </w:rPr>
      </w:pPr>
      <w:r>
        <w:rPr>
          <w:rFonts w:cs="Tahoma"/>
        </w:rPr>
        <w:t>Data</w:t>
      </w:r>
    </w:p>
    <w:p w14:paraId="69EF95E6" w14:textId="2259C43B" w:rsidR="009F5B73" w:rsidRPr="00B337DA" w:rsidRDefault="009F5B73" w:rsidP="009F5B73">
      <w:pPr>
        <w:pStyle w:val="EC-Para"/>
        <w:jc w:val="both"/>
        <w:rPr>
          <w:rFonts w:cs="Tahoma"/>
        </w:rPr>
      </w:pPr>
      <w:r>
        <w:rPr>
          <w:rFonts w:cs="Tahoma"/>
        </w:rPr>
        <w:t xml:space="preserve">The Surveillance Atlas of Infectious Diseases displays data on </w:t>
      </w:r>
      <w:proofErr w:type="spellStart"/>
      <w:r>
        <w:rPr>
          <w:rFonts w:cs="Tahoma"/>
        </w:rPr>
        <w:t>trichinellosis</w:t>
      </w:r>
      <w:proofErr w:type="spellEnd"/>
      <w:r>
        <w:rPr>
          <w:rFonts w:cs="Tahoma"/>
        </w:rPr>
        <w:t xml:space="preserve"> reported by the </w:t>
      </w:r>
      <w:r w:rsidR="00E75405">
        <w:rPr>
          <w:rFonts w:cs="Tahoma"/>
        </w:rPr>
        <w:t>EU/EEA countries</w:t>
      </w:r>
      <w:r>
        <w:rPr>
          <w:rFonts w:cs="Tahoma"/>
        </w:rPr>
        <w:t>. C</w:t>
      </w:r>
      <w:r w:rsidRPr="007B34B1">
        <w:rPr>
          <w:rFonts w:cs="Tahoma"/>
        </w:rPr>
        <w:t xml:space="preserve">ases </w:t>
      </w:r>
      <w:r>
        <w:rPr>
          <w:rFonts w:cs="Tahoma"/>
        </w:rPr>
        <w:t>are to</w:t>
      </w:r>
      <w:r w:rsidRPr="007B34B1">
        <w:rPr>
          <w:rFonts w:cs="Tahoma"/>
        </w:rPr>
        <w:t xml:space="preserve"> be reported according to the 201</w:t>
      </w:r>
      <w:r w:rsidR="00F53BCA">
        <w:rPr>
          <w:rFonts w:cs="Tahoma"/>
        </w:rPr>
        <w:t>8</w:t>
      </w:r>
      <w:r w:rsidRPr="007B34B1">
        <w:rPr>
          <w:rFonts w:cs="Tahoma"/>
        </w:rPr>
        <w:t xml:space="preserve"> EU case definition for </w:t>
      </w:r>
      <w:proofErr w:type="spellStart"/>
      <w:r>
        <w:rPr>
          <w:rFonts w:cs="Tahoma"/>
        </w:rPr>
        <w:t>trichinellosis</w:t>
      </w:r>
      <w:proofErr w:type="spellEnd"/>
      <w:r>
        <w:rPr>
          <w:rStyle w:val="FootnoteReference"/>
          <w:rFonts w:cs="Tahoma"/>
        </w:rPr>
        <w:footnoteReference w:id="38"/>
      </w:r>
      <w:r>
        <w:rPr>
          <w:rFonts w:cs="Tahoma"/>
        </w:rPr>
        <w:t>:</w:t>
      </w:r>
    </w:p>
    <w:p w14:paraId="275685A7"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b/>
          <w:bCs/>
          <w:color w:val="000000"/>
          <w:szCs w:val="18"/>
        </w:rPr>
        <w:t xml:space="preserve">Clinical </w:t>
      </w:r>
      <w:r>
        <w:rPr>
          <w:rFonts w:eastAsiaTheme="minorHAnsi" w:cs="Tahoma"/>
          <w:b/>
          <w:bCs/>
          <w:color w:val="000000"/>
          <w:szCs w:val="18"/>
        </w:rPr>
        <w:t>c</w:t>
      </w:r>
      <w:r w:rsidRPr="0098596D">
        <w:rPr>
          <w:rFonts w:eastAsiaTheme="minorHAnsi" w:cs="Tahoma"/>
          <w:b/>
          <w:bCs/>
          <w:color w:val="000000"/>
          <w:szCs w:val="18"/>
        </w:rPr>
        <w:t xml:space="preserve">riteria </w:t>
      </w:r>
    </w:p>
    <w:p w14:paraId="3D521D21"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xml:space="preserve">Any person with at least three of the following six: </w:t>
      </w:r>
    </w:p>
    <w:p w14:paraId="12343D14"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xml:space="preserve">— </w:t>
      </w:r>
      <w:proofErr w:type="gramStart"/>
      <w:r w:rsidRPr="0098596D">
        <w:rPr>
          <w:rFonts w:eastAsiaTheme="minorHAnsi" w:cs="Tahoma"/>
          <w:color w:val="000000"/>
          <w:szCs w:val="18"/>
        </w:rPr>
        <w:t>Fever</w:t>
      </w:r>
      <w:r>
        <w:rPr>
          <w:rFonts w:eastAsiaTheme="minorHAnsi" w:cs="Tahoma"/>
          <w:color w:val="000000"/>
          <w:szCs w:val="18"/>
        </w:rPr>
        <w:t>;</w:t>
      </w:r>
      <w:proofErr w:type="gramEnd"/>
      <w:r w:rsidRPr="0098596D">
        <w:rPr>
          <w:rFonts w:eastAsiaTheme="minorHAnsi" w:cs="Tahoma"/>
          <w:color w:val="000000"/>
          <w:szCs w:val="18"/>
        </w:rPr>
        <w:t xml:space="preserve"> </w:t>
      </w:r>
    </w:p>
    <w:p w14:paraId="7917E3AE"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xml:space="preserve">— Muscle soreness and </w:t>
      </w:r>
      <w:proofErr w:type="gramStart"/>
      <w:r w:rsidRPr="0098596D">
        <w:rPr>
          <w:rFonts w:eastAsiaTheme="minorHAnsi" w:cs="Tahoma"/>
          <w:color w:val="000000"/>
          <w:szCs w:val="18"/>
        </w:rPr>
        <w:t>pain</w:t>
      </w:r>
      <w:r>
        <w:rPr>
          <w:rFonts w:eastAsiaTheme="minorHAnsi" w:cs="Tahoma"/>
          <w:color w:val="000000"/>
          <w:szCs w:val="18"/>
        </w:rPr>
        <w:t>;</w:t>
      </w:r>
      <w:proofErr w:type="gramEnd"/>
      <w:r w:rsidRPr="0098596D">
        <w:rPr>
          <w:rFonts w:eastAsiaTheme="minorHAnsi" w:cs="Tahoma"/>
          <w:color w:val="000000"/>
          <w:szCs w:val="18"/>
        </w:rPr>
        <w:t xml:space="preserve"> </w:t>
      </w:r>
    </w:p>
    <w:p w14:paraId="24868BFD"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xml:space="preserve">— </w:t>
      </w:r>
      <w:proofErr w:type="gramStart"/>
      <w:r w:rsidRPr="0098596D">
        <w:rPr>
          <w:rFonts w:eastAsiaTheme="minorHAnsi" w:cs="Tahoma"/>
          <w:color w:val="000000"/>
          <w:szCs w:val="18"/>
        </w:rPr>
        <w:t>Diarrhoea</w:t>
      </w:r>
      <w:r>
        <w:rPr>
          <w:rFonts w:eastAsiaTheme="minorHAnsi" w:cs="Tahoma"/>
          <w:color w:val="000000"/>
          <w:szCs w:val="18"/>
        </w:rPr>
        <w:t>;</w:t>
      </w:r>
      <w:proofErr w:type="gramEnd"/>
      <w:r w:rsidRPr="0098596D">
        <w:rPr>
          <w:rFonts w:eastAsiaTheme="minorHAnsi" w:cs="Tahoma"/>
          <w:color w:val="000000"/>
          <w:szCs w:val="18"/>
        </w:rPr>
        <w:t xml:space="preserve"> </w:t>
      </w:r>
    </w:p>
    <w:p w14:paraId="58B53376"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xml:space="preserve">— Facial </w:t>
      </w:r>
      <w:proofErr w:type="gramStart"/>
      <w:r w:rsidRPr="0098596D">
        <w:rPr>
          <w:rFonts w:eastAsiaTheme="minorHAnsi" w:cs="Tahoma"/>
          <w:color w:val="000000"/>
          <w:szCs w:val="18"/>
        </w:rPr>
        <w:t>oedema</w:t>
      </w:r>
      <w:r>
        <w:rPr>
          <w:rFonts w:eastAsiaTheme="minorHAnsi" w:cs="Tahoma"/>
          <w:color w:val="000000"/>
          <w:szCs w:val="18"/>
        </w:rPr>
        <w:t>;</w:t>
      </w:r>
      <w:proofErr w:type="gramEnd"/>
      <w:r w:rsidRPr="0098596D">
        <w:rPr>
          <w:rFonts w:eastAsiaTheme="minorHAnsi" w:cs="Tahoma"/>
          <w:color w:val="000000"/>
          <w:szCs w:val="18"/>
        </w:rPr>
        <w:t xml:space="preserve"> </w:t>
      </w:r>
    </w:p>
    <w:p w14:paraId="3A842BCE"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xml:space="preserve">— </w:t>
      </w:r>
      <w:proofErr w:type="gramStart"/>
      <w:r w:rsidRPr="0098596D">
        <w:rPr>
          <w:rFonts w:eastAsiaTheme="minorHAnsi" w:cs="Tahoma"/>
          <w:color w:val="000000"/>
          <w:szCs w:val="18"/>
        </w:rPr>
        <w:t>Eosinophilia</w:t>
      </w:r>
      <w:r>
        <w:rPr>
          <w:rFonts w:eastAsiaTheme="minorHAnsi" w:cs="Tahoma"/>
          <w:color w:val="000000"/>
          <w:szCs w:val="18"/>
        </w:rPr>
        <w:t>;</w:t>
      </w:r>
      <w:proofErr w:type="gramEnd"/>
      <w:r w:rsidRPr="0098596D">
        <w:rPr>
          <w:rFonts w:eastAsiaTheme="minorHAnsi" w:cs="Tahoma"/>
          <w:color w:val="000000"/>
          <w:szCs w:val="18"/>
        </w:rPr>
        <w:t xml:space="preserve"> </w:t>
      </w:r>
    </w:p>
    <w:p w14:paraId="7B9153ED"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Subconjunctival, subungual and retinal haemorrhages</w:t>
      </w:r>
      <w:r>
        <w:rPr>
          <w:rFonts w:eastAsiaTheme="minorHAnsi" w:cs="Tahoma"/>
          <w:color w:val="000000"/>
          <w:szCs w:val="18"/>
        </w:rPr>
        <w:t>.</w:t>
      </w:r>
      <w:r w:rsidRPr="0098596D">
        <w:rPr>
          <w:rFonts w:eastAsiaTheme="minorHAnsi" w:cs="Tahoma"/>
          <w:color w:val="000000"/>
          <w:szCs w:val="18"/>
        </w:rPr>
        <w:t xml:space="preserve"> </w:t>
      </w:r>
    </w:p>
    <w:p w14:paraId="114D9FFD"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b/>
          <w:bCs/>
          <w:color w:val="000000"/>
          <w:szCs w:val="18"/>
        </w:rPr>
        <w:t xml:space="preserve">Laboratory </w:t>
      </w:r>
      <w:r>
        <w:rPr>
          <w:rFonts w:eastAsiaTheme="minorHAnsi" w:cs="Tahoma"/>
          <w:b/>
          <w:bCs/>
          <w:color w:val="000000"/>
          <w:szCs w:val="18"/>
        </w:rPr>
        <w:t>c</w:t>
      </w:r>
      <w:r w:rsidRPr="0098596D">
        <w:rPr>
          <w:rFonts w:eastAsiaTheme="minorHAnsi" w:cs="Tahoma"/>
          <w:b/>
          <w:bCs/>
          <w:color w:val="000000"/>
          <w:szCs w:val="18"/>
        </w:rPr>
        <w:t xml:space="preserve">riteria </w:t>
      </w:r>
    </w:p>
    <w:p w14:paraId="69FF6E2C"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xml:space="preserve">At least one of the following two: </w:t>
      </w:r>
    </w:p>
    <w:p w14:paraId="07326FD8"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xml:space="preserve">— Demonstration of </w:t>
      </w:r>
      <w:r w:rsidRPr="0098596D">
        <w:rPr>
          <w:rFonts w:eastAsiaTheme="minorHAnsi" w:cs="Tahoma"/>
          <w:i/>
          <w:iCs/>
          <w:color w:val="000000"/>
          <w:szCs w:val="18"/>
        </w:rPr>
        <w:t xml:space="preserve">Trichinella </w:t>
      </w:r>
      <w:r w:rsidRPr="0098596D">
        <w:rPr>
          <w:rFonts w:eastAsiaTheme="minorHAnsi" w:cs="Tahoma"/>
          <w:color w:val="000000"/>
          <w:szCs w:val="18"/>
        </w:rPr>
        <w:t xml:space="preserve">larvae in tissue obtained by muscle </w:t>
      </w:r>
      <w:proofErr w:type="gramStart"/>
      <w:r w:rsidRPr="0098596D">
        <w:rPr>
          <w:rFonts w:eastAsiaTheme="minorHAnsi" w:cs="Tahoma"/>
          <w:color w:val="000000"/>
          <w:szCs w:val="18"/>
        </w:rPr>
        <w:t>biopsy</w:t>
      </w:r>
      <w:r>
        <w:rPr>
          <w:rFonts w:eastAsiaTheme="minorHAnsi" w:cs="Tahoma"/>
          <w:color w:val="000000"/>
          <w:szCs w:val="18"/>
        </w:rPr>
        <w:t>;</w:t>
      </w:r>
      <w:proofErr w:type="gramEnd"/>
      <w:r w:rsidRPr="0098596D">
        <w:rPr>
          <w:rFonts w:eastAsiaTheme="minorHAnsi" w:cs="Tahoma"/>
          <w:color w:val="000000"/>
          <w:szCs w:val="18"/>
        </w:rPr>
        <w:t xml:space="preserve"> </w:t>
      </w:r>
    </w:p>
    <w:p w14:paraId="34F96D7D"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color w:val="000000"/>
          <w:szCs w:val="18"/>
        </w:rPr>
        <w:t xml:space="preserve">— </w:t>
      </w:r>
      <w:r w:rsidRPr="0098596D">
        <w:rPr>
          <w:rFonts w:eastAsiaTheme="minorHAnsi" w:cs="Tahoma"/>
          <w:i/>
          <w:iCs/>
          <w:color w:val="000000"/>
          <w:szCs w:val="18"/>
        </w:rPr>
        <w:t xml:space="preserve">Trichinella </w:t>
      </w:r>
      <w:r w:rsidRPr="0098596D">
        <w:rPr>
          <w:rFonts w:eastAsiaTheme="minorHAnsi" w:cs="Tahoma"/>
          <w:color w:val="000000"/>
          <w:szCs w:val="18"/>
        </w:rPr>
        <w:t>specific antibody response (IFA test, ELISA or Western Blot)</w:t>
      </w:r>
      <w:r>
        <w:rPr>
          <w:rFonts w:eastAsiaTheme="minorHAnsi" w:cs="Tahoma"/>
          <w:color w:val="000000"/>
          <w:szCs w:val="18"/>
        </w:rPr>
        <w:t>.</w:t>
      </w:r>
      <w:r w:rsidRPr="0098596D">
        <w:rPr>
          <w:rFonts w:eastAsiaTheme="minorHAnsi" w:cs="Tahoma"/>
          <w:color w:val="000000"/>
          <w:szCs w:val="18"/>
        </w:rPr>
        <w:t xml:space="preserve"> </w:t>
      </w:r>
    </w:p>
    <w:p w14:paraId="5FEA1AD7" w14:textId="77777777" w:rsidR="009F5B73" w:rsidRPr="0098596D" w:rsidRDefault="009F5B73" w:rsidP="009F5B73">
      <w:pPr>
        <w:autoSpaceDE w:val="0"/>
        <w:autoSpaceDN w:val="0"/>
        <w:adjustRightInd w:val="0"/>
        <w:spacing w:before="60" w:after="60"/>
        <w:rPr>
          <w:rFonts w:eastAsiaTheme="minorHAnsi" w:cs="Tahoma"/>
          <w:color w:val="000000"/>
          <w:szCs w:val="18"/>
        </w:rPr>
      </w:pPr>
      <w:r w:rsidRPr="0098596D">
        <w:rPr>
          <w:rFonts w:eastAsiaTheme="minorHAnsi" w:cs="Tahoma"/>
          <w:b/>
          <w:bCs/>
          <w:color w:val="000000"/>
          <w:szCs w:val="18"/>
        </w:rPr>
        <w:t xml:space="preserve">Epidemiological </w:t>
      </w:r>
      <w:r>
        <w:rPr>
          <w:rFonts w:eastAsiaTheme="minorHAnsi" w:cs="Tahoma"/>
          <w:b/>
          <w:bCs/>
          <w:color w:val="000000"/>
          <w:szCs w:val="18"/>
        </w:rPr>
        <w:t>c</w:t>
      </w:r>
      <w:r w:rsidRPr="0098596D">
        <w:rPr>
          <w:rFonts w:eastAsiaTheme="minorHAnsi" w:cs="Tahoma"/>
          <w:b/>
          <w:bCs/>
          <w:color w:val="000000"/>
          <w:szCs w:val="18"/>
        </w:rPr>
        <w:t xml:space="preserve">riteria </w:t>
      </w:r>
    </w:p>
    <w:p w14:paraId="3314A06B" w14:textId="77777777" w:rsidR="009F5B73" w:rsidRPr="00516E0D" w:rsidRDefault="009F5B73" w:rsidP="009F5B7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 xml:space="preserve">At least one of the following two epidemiological links: </w:t>
      </w:r>
    </w:p>
    <w:p w14:paraId="395AFB71" w14:textId="77777777" w:rsidR="009F5B73" w:rsidRPr="00516E0D" w:rsidRDefault="009F5B73" w:rsidP="009F5B7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 Exposure to contaminated food (meat</w:t>
      </w:r>
      <w:proofErr w:type="gramStart"/>
      <w:r w:rsidRPr="00516E0D">
        <w:rPr>
          <w:rFonts w:eastAsiaTheme="minorHAnsi" w:cs="Tahoma"/>
          <w:color w:val="000000"/>
          <w:szCs w:val="18"/>
        </w:rPr>
        <w:t>);</w:t>
      </w:r>
      <w:proofErr w:type="gramEnd"/>
      <w:r w:rsidRPr="00516E0D">
        <w:rPr>
          <w:rFonts w:eastAsiaTheme="minorHAnsi" w:cs="Tahoma"/>
          <w:color w:val="000000"/>
          <w:szCs w:val="18"/>
        </w:rPr>
        <w:t xml:space="preserve"> </w:t>
      </w:r>
    </w:p>
    <w:p w14:paraId="5A65EC60" w14:textId="4CFEE3AE" w:rsidR="009F5B73" w:rsidRPr="00516E0D" w:rsidRDefault="009F5B73" w:rsidP="009F5B7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 Exposure to a common source.</w:t>
      </w:r>
    </w:p>
    <w:p w14:paraId="132A157D" w14:textId="68C9DD1A" w:rsidR="009F5B73" w:rsidRPr="00516E0D" w:rsidRDefault="009F5B73" w:rsidP="009F5B73">
      <w:pPr>
        <w:pStyle w:val="CM4"/>
        <w:spacing w:before="60" w:after="60"/>
        <w:rPr>
          <w:rFonts w:ascii="Tahoma" w:hAnsi="Tahoma" w:cs="Tahoma"/>
          <w:color w:val="000000"/>
          <w:sz w:val="18"/>
          <w:szCs w:val="18"/>
        </w:rPr>
      </w:pPr>
      <w:r w:rsidRPr="00516E0D">
        <w:rPr>
          <w:rFonts w:ascii="Tahoma" w:hAnsi="Tahoma" w:cs="Tahoma"/>
          <w:b/>
          <w:sz w:val="18"/>
          <w:szCs w:val="18"/>
        </w:rPr>
        <w:t>Case classification</w:t>
      </w:r>
      <w:r w:rsidR="006E39BD" w:rsidRPr="00516E0D">
        <w:rPr>
          <w:rFonts w:ascii="Tahoma" w:hAnsi="Tahoma" w:cs="Tahoma"/>
          <w:b/>
          <w:sz w:val="18"/>
          <w:szCs w:val="18"/>
        </w:rPr>
        <w:br/>
      </w:r>
      <w:r w:rsidR="006E39BD" w:rsidRPr="00516E0D">
        <w:rPr>
          <w:rFonts w:ascii="Tahoma" w:hAnsi="Tahoma" w:cs="Tahoma"/>
          <w:sz w:val="18"/>
          <w:szCs w:val="18"/>
        </w:rPr>
        <w:t xml:space="preserve">A. Possible case NA </w:t>
      </w:r>
    </w:p>
    <w:p w14:paraId="5087247E" w14:textId="23342E33" w:rsidR="009F5B73" w:rsidRPr="00516E0D" w:rsidRDefault="006E39BD" w:rsidP="009F5B7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B</w:t>
      </w:r>
      <w:r w:rsidR="009F5B73" w:rsidRPr="00516E0D">
        <w:rPr>
          <w:rFonts w:eastAsiaTheme="minorHAnsi" w:cs="Tahoma"/>
          <w:color w:val="000000"/>
          <w:szCs w:val="18"/>
        </w:rPr>
        <w:t xml:space="preserve">. </w:t>
      </w:r>
      <w:r w:rsidR="009F5B73" w:rsidRPr="00516E0D">
        <w:rPr>
          <w:rFonts w:eastAsiaTheme="minorHAnsi" w:cs="Tahoma"/>
          <w:bCs/>
          <w:color w:val="000000"/>
          <w:szCs w:val="18"/>
        </w:rPr>
        <w:t xml:space="preserve">Probable case: </w:t>
      </w:r>
      <w:r w:rsidR="009F5B73" w:rsidRPr="00516E0D">
        <w:rPr>
          <w:rFonts w:eastAsiaTheme="minorHAnsi" w:cs="Tahoma"/>
          <w:color w:val="000000"/>
          <w:szCs w:val="18"/>
        </w:rPr>
        <w:t>Any person meeting the clinical criteria with an epidemiological link</w:t>
      </w:r>
    </w:p>
    <w:p w14:paraId="6B8FC592" w14:textId="23DD28C1" w:rsidR="009F5B73" w:rsidRPr="00516E0D" w:rsidRDefault="006E39BD" w:rsidP="009F5B73">
      <w:pPr>
        <w:autoSpaceDE w:val="0"/>
        <w:autoSpaceDN w:val="0"/>
        <w:adjustRightInd w:val="0"/>
        <w:spacing w:before="60" w:after="60"/>
        <w:rPr>
          <w:rFonts w:eastAsiaTheme="minorHAnsi" w:cs="Tahoma"/>
          <w:color w:val="000000"/>
          <w:szCs w:val="18"/>
        </w:rPr>
      </w:pPr>
      <w:r w:rsidRPr="00516E0D">
        <w:rPr>
          <w:rFonts w:eastAsiaTheme="minorHAnsi" w:cs="Tahoma"/>
          <w:color w:val="000000"/>
          <w:szCs w:val="18"/>
        </w:rPr>
        <w:t>C</w:t>
      </w:r>
      <w:r w:rsidR="009F5B73" w:rsidRPr="00516E0D">
        <w:rPr>
          <w:rFonts w:eastAsiaTheme="minorHAnsi" w:cs="Tahoma"/>
          <w:color w:val="000000"/>
          <w:szCs w:val="18"/>
        </w:rPr>
        <w:t xml:space="preserve">. </w:t>
      </w:r>
      <w:r w:rsidR="009F5B73" w:rsidRPr="00516E0D">
        <w:rPr>
          <w:rFonts w:eastAsiaTheme="minorHAnsi" w:cs="Tahoma"/>
          <w:bCs/>
          <w:color w:val="000000"/>
          <w:szCs w:val="18"/>
        </w:rPr>
        <w:t xml:space="preserve">Confirmed case: </w:t>
      </w:r>
      <w:r w:rsidR="009F5B73" w:rsidRPr="00516E0D">
        <w:rPr>
          <w:rFonts w:eastAsiaTheme="minorHAnsi" w:cs="Tahoma"/>
          <w:szCs w:val="18"/>
        </w:rPr>
        <w:t>Any person meeting the clinical and the laboratory criteria</w:t>
      </w:r>
    </w:p>
    <w:p w14:paraId="059B5D0A" w14:textId="77777777" w:rsidR="009F5B73" w:rsidRPr="00516E0D" w:rsidRDefault="009F5B73" w:rsidP="009F5B73">
      <w:pPr>
        <w:pStyle w:val="Default"/>
        <w:rPr>
          <w:rFonts w:ascii="Tahoma" w:eastAsiaTheme="minorHAnsi" w:hAnsi="Tahoma" w:cs="Tahoma"/>
          <w:sz w:val="18"/>
          <w:szCs w:val="18"/>
          <w:lang w:eastAsia="en-US"/>
        </w:rPr>
      </w:pPr>
    </w:p>
    <w:p w14:paraId="37C9C2F0" w14:textId="5D355134" w:rsidR="00CC5CEC" w:rsidRDefault="00CC5CEC" w:rsidP="009F5B73">
      <w:pPr>
        <w:autoSpaceDE w:val="0"/>
        <w:autoSpaceDN w:val="0"/>
        <w:adjustRightInd w:val="0"/>
        <w:jc w:val="both"/>
        <w:rPr>
          <w:szCs w:val="18"/>
        </w:rPr>
      </w:pPr>
      <w:r w:rsidRPr="00516E0D">
        <w:rPr>
          <w:szCs w:val="18"/>
        </w:rPr>
        <w:t>Note: If the national surveillance system is not capturing clinical symptoms, all laboratory-confirmed individuals should be reported as confirmed cases.</w:t>
      </w:r>
    </w:p>
    <w:p w14:paraId="617930D3" w14:textId="0D3BB068" w:rsidR="00516E0D" w:rsidRDefault="00516E0D" w:rsidP="009F5B73">
      <w:pPr>
        <w:autoSpaceDE w:val="0"/>
        <w:autoSpaceDN w:val="0"/>
        <w:adjustRightInd w:val="0"/>
        <w:jc w:val="both"/>
        <w:rPr>
          <w:szCs w:val="18"/>
        </w:rPr>
      </w:pPr>
    </w:p>
    <w:p w14:paraId="45EB32F7" w14:textId="4AA24FB4" w:rsidR="00516E0D" w:rsidRDefault="00516E0D" w:rsidP="009F5B73">
      <w:pPr>
        <w:autoSpaceDE w:val="0"/>
        <w:autoSpaceDN w:val="0"/>
        <w:adjustRightInd w:val="0"/>
        <w:jc w:val="both"/>
        <w:rPr>
          <w:szCs w:val="18"/>
        </w:rPr>
      </w:pPr>
      <w:r>
        <w:rPr>
          <w:szCs w:val="18"/>
        </w:rPr>
        <w:t>--------------------------</w:t>
      </w:r>
    </w:p>
    <w:p w14:paraId="495BAE2A" w14:textId="4862B8E6" w:rsidR="00516E0D" w:rsidRPr="00516E0D" w:rsidRDefault="00516E0D" w:rsidP="00516E0D">
      <w:pPr>
        <w:autoSpaceDE w:val="0"/>
        <w:autoSpaceDN w:val="0"/>
        <w:adjustRightInd w:val="0"/>
        <w:jc w:val="both"/>
        <w:rPr>
          <w:rFonts w:cs="Tahoma"/>
          <w:szCs w:val="18"/>
        </w:rPr>
      </w:pPr>
      <w:r w:rsidRPr="00516E0D">
        <w:t>(The note is the only difference between the 2018 EU case definition of anthrax and the 2012 and 2008 EU case definitions.)</w:t>
      </w:r>
    </w:p>
    <w:p w14:paraId="0AA3F680" w14:textId="77777777" w:rsidR="009F5B73" w:rsidRDefault="009F5B73" w:rsidP="009F5B73">
      <w:pPr>
        <w:pStyle w:val="EC-Para"/>
        <w:spacing w:after="0" w:line="240" w:lineRule="auto"/>
        <w:jc w:val="both"/>
        <w:rPr>
          <w:color w:val="FF0000"/>
          <w:lang w:eastAsia="en-US"/>
        </w:rPr>
      </w:pPr>
    </w:p>
    <w:p w14:paraId="4F343D6D" w14:textId="77777777" w:rsidR="009F5B73" w:rsidRPr="00452AF8" w:rsidRDefault="009F5B73" w:rsidP="00B36CF2">
      <w:pPr>
        <w:pStyle w:val="EC-Title-6"/>
      </w:pPr>
      <w:r w:rsidRPr="00BD0ACE">
        <w:t xml:space="preserve">Data </w:t>
      </w:r>
      <w:r w:rsidRPr="00B36CF2">
        <w:t>collection</w:t>
      </w:r>
      <w:r w:rsidRPr="00BD0ACE">
        <w:t xml:space="preserve"> and analysis </w:t>
      </w:r>
    </w:p>
    <w:p w14:paraId="22256FE4" w14:textId="06CB2960" w:rsidR="009F5B73" w:rsidRDefault="009F5B73" w:rsidP="009F5B7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C345F5">
        <w:rPr>
          <w:rFonts w:cs="Tahoma"/>
        </w:rPr>
        <w:t>EU/EEA countries</w:t>
      </w:r>
      <w:r>
        <w:rPr>
          <w:rFonts w:cs="Tahoma"/>
        </w:rPr>
        <w:t>. C</w:t>
      </w:r>
      <w:r>
        <w:t>ountry population denominators by age group for the calculation of notification rates were obtained from Eurostat</w:t>
      </w:r>
      <w:r>
        <w:rPr>
          <w:rStyle w:val="FootnoteReference"/>
        </w:rPr>
        <w:footnoteReference w:id="39"/>
      </w:r>
      <w:r>
        <w:t>.</w:t>
      </w:r>
      <w:r>
        <w:rPr>
          <w:rFonts w:cstheme="minorHAnsi"/>
        </w:rPr>
        <w:t xml:space="preserve"> Note that data published in the </w:t>
      </w:r>
      <w:r>
        <w:rPr>
          <w:rFonts w:cstheme="minorHAnsi"/>
        </w:rPr>
        <w:lastRenderedPageBreak/>
        <w:t>Surveillance Atlas might differ from figures in national reports due to different times of reporting, inclusion of cases by different case definitions and use of different denominators.</w:t>
      </w:r>
    </w:p>
    <w:p w14:paraId="114249E2" w14:textId="77777777" w:rsidR="009F5B73" w:rsidRDefault="009F5B73" w:rsidP="009F5B73">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37192497" w14:textId="77777777" w:rsidR="009F5B73" w:rsidRDefault="009F5B73" w:rsidP="009F5B73">
      <w:pPr>
        <w:pStyle w:val="EC-Para"/>
        <w:jc w:val="both"/>
        <w:rPr>
          <w:rFonts w:cs="Tahoma"/>
        </w:rPr>
      </w:pPr>
      <w:r>
        <w:rPr>
          <w:rFonts w:cs="Tahoma"/>
        </w:rPr>
        <w:t>Surveillance systems across the EU/EEA countries are heterogeneous and a surveillance systems overview is displayed in Annex 1.</w:t>
      </w:r>
    </w:p>
    <w:p w14:paraId="73169972" w14:textId="77777777" w:rsidR="00B36CF2" w:rsidRDefault="00B36CF2" w:rsidP="009F5B73">
      <w:pPr>
        <w:pStyle w:val="EC-Para"/>
        <w:jc w:val="both"/>
        <w:rPr>
          <w:rFonts w:cs="Tahoma"/>
        </w:rPr>
      </w:pPr>
    </w:p>
    <w:p w14:paraId="5A9D8541" w14:textId="77777777" w:rsidR="009F5B73" w:rsidRPr="0072746F" w:rsidRDefault="009F5B73" w:rsidP="00B36CF2">
      <w:pPr>
        <w:pStyle w:val="EC-Title-6"/>
      </w:pPr>
      <w:r w:rsidRPr="0072746F">
        <w:t>Surveillance Atlas indicators</w:t>
      </w:r>
    </w:p>
    <w:p w14:paraId="680DE4A1" w14:textId="77777777" w:rsidR="009F5B73" w:rsidRPr="007B34B1" w:rsidRDefault="009F5B73" w:rsidP="009F5B73">
      <w:pPr>
        <w:pStyle w:val="EC-Para"/>
        <w:rPr>
          <w:rFonts w:cs="Tahoma"/>
        </w:rPr>
      </w:pPr>
      <w:r w:rsidRPr="005E139C">
        <w:rPr>
          <w:rFonts w:cs="Tahoma"/>
        </w:rPr>
        <w:t xml:space="preserve">The Surveillance Atlas indicators for </w:t>
      </w:r>
      <w:r>
        <w:rPr>
          <w:rFonts w:cs="Tahoma"/>
        </w:rPr>
        <w:t xml:space="preserve">confirmed </w:t>
      </w:r>
      <w:proofErr w:type="spellStart"/>
      <w:r>
        <w:rPr>
          <w:rFonts w:cs="Tahoma"/>
        </w:rPr>
        <w:t>trichinellosis</w:t>
      </w:r>
      <w:proofErr w:type="spellEnd"/>
      <w:r w:rsidRPr="005E139C">
        <w:rPr>
          <w:rFonts w:cs="Tahoma"/>
        </w:rPr>
        <w:t xml:space="preserve"> </w:t>
      </w:r>
      <w:r>
        <w:rPr>
          <w:rFonts w:cs="Tahoma"/>
        </w:rPr>
        <w:t>cases</w:t>
      </w:r>
      <w:r w:rsidRPr="005E139C">
        <w:rPr>
          <w:rFonts w:cs="Tahoma"/>
        </w:rPr>
        <w:t xml:space="preserve"> are:</w:t>
      </w:r>
    </w:p>
    <w:p w14:paraId="7808E268" w14:textId="77777777" w:rsidR="009F5B73" w:rsidRPr="007B34B1" w:rsidRDefault="009F5B73" w:rsidP="000617B1">
      <w:pPr>
        <w:numPr>
          <w:ilvl w:val="0"/>
          <w:numId w:val="2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07E29B88" w14:textId="77777777" w:rsidR="009F5B73" w:rsidRDefault="009F5B73" w:rsidP="000617B1">
      <w:pPr>
        <w:numPr>
          <w:ilvl w:val="0"/>
          <w:numId w:val="2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1B756BAD" w14:textId="77777777" w:rsidR="009F5B73" w:rsidRPr="00A43AA0" w:rsidRDefault="009F5B73" w:rsidP="000617B1">
      <w:pPr>
        <w:numPr>
          <w:ilvl w:val="0"/>
          <w:numId w:val="23"/>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Age-standardised rate per 100 000 </w:t>
      </w:r>
      <w:proofErr w:type="gramStart"/>
      <w:r>
        <w:rPr>
          <w:rFonts w:eastAsia="Arial Unicode MS" w:cs="Tahoma"/>
          <w:kern w:val="22"/>
          <w:szCs w:val="18"/>
        </w:rPr>
        <w:t>population;</w:t>
      </w:r>
      <w:proofErr w:type="gramEnd"/>
    </w:p>
    <w:p w14:paraId="02B09954" w14:textId="77777777" w:rsidR="009F5B73" w:rsidRPr="007B34B1" w:rsidRDefault="009F5B73" w:rsidP="000617B1">
      <w:pPr>
        <w:numPr>
          <w:ilvl w:val="0"/>
          <w:numId w:val="2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4BF6D7F3" w14:textId="77777777" w:rsidR="009F5B73" w:rsidRPr="00C31313" w:rsidRDefault="009F5B73" w:rsidP="000617B1">
      <w:pPr>
        <w:numPr>
          <w:ilvl w:val="0"/>
          <w:numId w:val="2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 xml:space="preserve">cases </w:t>
      </w:r>
      <w:r w:rsidRPr="002F58C3">
        <w:rPr>
          <w:rFonts w:eastAsia="Arial Unicode MS" w:cs="Tahoma"/>
          <w:kern w:val="22"/>
          <w:szCs w:val="18"/>
        </w:rPr>
        <w:t>with known history of hospitalisation</w:t>
      </w:r>
      <w:r w:rsidRPr="007B34B1">
        <w:rPr>
          <w:rFonts w:eastAsia="Arial Unicode MS" w:cs="Tahoma"/>
          <w:kern w:val="22"/>
          <w:szCs w:val="18"/>
        </w:rPr>
        <w:t xml:space="preserve"> (%</w:t>
      </w:r>
      <w:proofErr w:type="gramStart"/>
      <w:r w:rsidRPr="007B34B1">
        <w:rPr>
          <w:rFonts w:eastAsia="Arial Unicode MS" w:cs="Tahoma"/>
          <w:kern w:val="22"/>
          <w:szCs w:val="18"/>
        </w:rPr>
        <w:t>);</w:t>
      </w:r>
      <w:proofErr w:type="gramEnd"/>
    </w:p>
    <w:p w14:paraId="57C7541A" w14:textId="77777777" w:rsidR="009F5B73" w:rsidRPr="007B34B1" w:rsidRDefault="009F5B73" w:rsidP="000617B1">
      <w:pPr>
        <w:numPr>
          <w:ilvl w:val="0"/>
          <w:numId w:val="2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14F25D96" w14:textId="77777777" w:rsidR="009F5B73" w:rsidRPr="007B34B1" w:rsidRDefault="009F5B73" w:rsidP="000617B1">
      <w:pPr>
        <w:numPr>
          <w:ilvl w:val="0"/>
          <w:numId w:val="23"/>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Case fatality calculated as proportion of deaths among confirmed cases with known disease 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30FD0BCD" w14:textId="77777777" w:rsidR="009F5B73" w:rsidRPr="007B34B1" w:rsidRDefault="009F5B73" w:rsidP="000617B1">
      <w:pPr>
        <w:numPr>
          <w:ilvl w:val="0"/>
          <w:numId w:val="23"/>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76BA75CF" w14:textId="77777777" w:rsidR="009F5B73" w:rsidRPr="007B34B1" w:rsidRDefault="009F5B73" w:rsidP="000617B1">
      <w:pPr>
        <w:numPr>
          <w:ilvl w:val="0"/>
          <w:numId w:val="23"/>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6A468B32" w14:textId="77777777" w:rsidR="009F5B73" w:rsidRDefault="009F5B73" w:rsidP="009F5B73">
      <w:pPr>
        <w:kinsoku w:val="0"/>
        <w:autoSpaceDE w:val="0"/>
        <w:autoSpaceDN w:val="0"/>
        <w:adjustRightInd w:val="0"/>
        <w:spacing w:line="200" w:lineRule="atLeast"/>
        <w:rPr>
          <w:rFonts w:eastAsia="Arial Unicode MS"/>
          <w:b/>
          <w:bCs/>
          <w:kern w:val="22"/>
          <w:szCs w:val="18"/>
        </w:rPr>
      </w:pPr>
    </w:p>
    <w:p w14:paraId="2F56E6E4" w14:textId="77777777" w:rsidR="009F5B73" w:rsidRPr="007B34B1" w:rsidRDefault="009F5B73" w:rsidP="009F5B7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33E4779E" w14:textId="77777777" w:rsidR="009F5B73" w:rsidRPr="007B34B1" w:rsidRDefault="009F5B7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5ECDCA7A" w14:textId="77777777" w:rsidR="009F5B73" w:rsidRPr="007B34B1" w:rsidRDefault="009F5B7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17DDA19C" w14:textId="77777777" w:rsidR="009F5B73" w:rsidRDefault="009F5B73" w:rsidP="009F5B73">
      <w:pPr>
        <w:kinsoku w:val="0"/>
        <w:autoSpaceDE w:val="0"/>
        <w:autoSpaceDN w:val="0"/>
        <w:adjustRightInd w:val="0"/>
        <w:spacing w:line="200" w:lineRule="atLeast"/>
        <w:rPr>
          <w:rFonts w:eastAsia="Arial Unicode MS" w:cs="Tahoma"/>
          <w:kern w:val="22"/>
          <w:szCs w:val="18"/>
        </w:rPr>
      </w:pPr>
    </w:p>
    <w:p w14:paraId="2C8D97BE" w14:textId="77777777" w:rsidR="009F5B73" w:rsidRPr="007B34B1" w:rsidRDefault="009F5B73" w:rsidP="009F5B7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all 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4F032518" w14:textId="77777777" w:rsidR="009F5B73" w:rsidRPr="007B34B1" w:rsidRDefault="009F5B7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46B2F817" w14:textId="77777777" w:rsidR="009F5B73" w:rsidRDefault="009F5B73"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5AE4532F" w14:textId="2F402728" w:rsidR="009F5B73" w:rsidRPr="00206DFA" w:rsidRDefault="009F5B7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Pathogen species</w:t>
      </w:r>
      <w:r w:rsidR="00B32369">
        <w:rPr>
          <w:rFonts w:eastAsia="Arial Unicode MS" w:cs="Tahoma"/>
          <w:kern w:val="22"/>
          <w:szCs w:val="18"/>
        </w:rPr>
        <w:t xml:space="preserve"> (</w:t>
      </w:r>
      <w:r w:rsidR="00B32369" w:rsidRPr="00E75405">
        <w:rPr>
          <w:rFonts w:eastAsia="Arial Unicode MS" w:cs="Tahoma"/>
          <w:i/>
          <w:kern w:val="22"/>
          <w:szCs w:val="18"/>
        </w:rPr>
        <w:t>T.</w:t>
      </w:r>
      <w:r w:rsidR="00E75405">
        <w:rPr>
          <w:rFonts w:eastAsia="Arial Unicode MS" w:cs="Tahoma"/>
          <w:i/>
          <w:kern w:val="22"/>
          <w:szCs w:val="18"/>
        </w:rPr>
        <w:t xml:space="preserve"> sp</w:t>
      </w:r>
      <w:r w:rsidR="00B32369" w:rsidRPr="00E75405">
        <w:rPr>
          <w:rFonts w:eastAsia="Arial Unicode MS" w:cs="Tahoma"/>
          <w:i/>
          <w:kern w:val="22"/>
          <w:szCs w:val="18"/>
        </w:rPr>
        <w:t>iralis</w:t>
      </w:r>
      <w:r w:rsidR="00B32369">
        <w:rPr>
          <w:rFonts w:eastAsia="Arial Unicode MS" w:cs="Tahoma"/>
          <w:kern w:val="22"/>
          <w:szCs w:val="18"/>
        </w:rPr>
        <w:t xml:space="preserve"> or other species)</w:t>
      </w:r>
      <w:r>
        <w:rPr>
          <w:rFonts w:eastAsia="Arial Unicode MS" w:cs="Tahoma"/>
          <w:kern w:val="22"/>
          <w:szCs w:val="18"/>
        </w:rPr>
        <w:t>.</w:t>
      </w:r>
    </w:p>
    <w:p w14:paraId="04582132" w14:textId="77777777" w:rsidR="009F5B73" w:rsidRPr="00E8283A" w:rsidRDefault="009F5B73" w:rsidP="009F5B73">
      <w:pPr>
        <w:kinsoku w:val="0"/>
        <w:autoSpaceDE w:val="0"/>
        <w:autoSpaceDN w:val="0"/>
        <w:adjustRightInd w:val="0"/>
        <w:spacing w:line="200" w:lineRule="atLeast"/>
        <w:rPr>
          <w:rFonts w:eastAsia="Arial Unicode MS" w:cs="Tahoma"/>
          <w:color w:val="000000"/>
          <w:kern w:val="22"/>
          <w:szCs w:val="18"/>
        </w:rPr>
      </w:pPr>
    </w:p>
    <w:p w14:paraId="43FE3CF4" w14:textId="77777777" w:rsidR="009F5B73" w:rsidRDefault="009F5B73" w:rsidP="009F5B7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9F5B73" w14:paraId="55B01B88" w14:textId="77777777" w:rsidTr="009F5B73">
        <w:tc>
          <w:tcPr>
            <w:tcW w:w="1101" w:type="dxa"/>
            <w:tcBorders>
              <w:top w:val="single" w:sz="4" w:space="0" w:color="000000"/>
              <w:left w:val="single" w:sz="4" w:space="0" w:color="000000"/>
              <w:bottom w:val="single" w:sz="4" w:space="0" w:color="000000"/>
              <w:right w:val="single" w:sz="4" w:space="0" w:color="000000"/>
            </w:tcBorders>
            <w:hideMark/>
          </w:tcPr>
          <w:p w14:paraId="0B75228D" w14:textId="77777777" w:rsidR="009F5B73" w:rsidRDefault="009F5B73" w:rsidP="009F5B7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27BB40C2" w14:textId="77777777" w:rsidR="009F5B73" w:rsidRDefault="009F5B73" w:rsidP="009F5B73">
            <w:pPr>
              <w:pStyle w:val="EC-Para"/>
              <w:rPr>
                <w:lang w:eastAsia="en-US"/>
              </w:rPr>
            </w:pPr>
            <w:r>
              <w:rPr>
                <w:lang w:eastAsia="en-US"/>
              </w:rPr>
              <w:t>Comment</w:t>
            </w:r>
          </w:p>
        </w:tc>
      </w:tr>
      <w:tr w:rsidR="009F5B73" w14:paraId="153A33C4" w14:textId="77777777" w:rsidTr="009F5B73">
        <w:tc>
          <w:tcPr>
            <w:tcW w:w="1101" w:type="dxa"/>
            <w:tcBorders>
              <w:top w:val="single" w:sz="4" w:space="0" w:color="000000"/>
              <w:left w:val="single" w:sz="4" w:space="0" w:color="000000"/>
              <w:bottom w:val="single" w:sz="4" w:space="0" w:color="000000"/>
              <w:right w:val="single" w:sz="4" w:space="0" w:color="000000"/>
            </w:tcBorders>
            <w:hideMark/>
          </w:tcPr>
          <w:p w14:paraId="601D0E11" w14:textId="77777777" w:rsidR="009F5B73" w:rsidRDefault="009F5B73" w:rsidP="009F5B7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5B17DF6" w14:textId="77777777" w:rsidR="009F5B73" w:rsidRDefault="009F5B73" w:rsidP="009F5B7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9F5B73" w14:paraId="0DF609B6" w14:textId="77777777" w:rsidTr="009F5B73">
        <w:tc>
          <w:tcPr>
            <w:tcW w:w="1101" w:type="dxa"/>
            <w:tcBorders>
              <w:top w:val="single" w:sz="4" w:space="0" w:color="000000"/>
              <w:left w:val="single" w:sz="4" w:space="0" w:color="000000"/>
              <w:bottom w:val="single" w:sz="4" w:space="0" w:color="000000"/>
              <w:right w:val="single" w:sz="4" w:space="0" w:color="000000"/>
            </w:tcBorders>
            <w:hideMark/>
          </w:tcPr>
          <w:p w14:paraId="74E0A12B" w14:textId="77777777" w:rsidR="009F5B73" w:rsidRDefault="009F5B73" w:rsidP="009F5B7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6893ECF3" w14:textId="77777777" w:rsidR="009F5B73" w:rsidRDefault="009F5B73" w:rsidP="009F5B7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32DF4005" w14:textId="77777777" w:rsidR="009F5B73" w:rsidRDefault="009F5B73" w:rsidP="009F5B73">
      <w:pPr>
        <w:pStyle w:val="EC-Para"/>
        <w:rPr>
          <w:lang w:eastAsia="en-US"/>
        </w:rPr>
      </w:pPr>
    </w:p>
    <w:p w14:paraId="39A7BC6F" w14:textId="65A99E96" w:rsidR="009F5B73" w:rsidRPr="0072746F" w:rsidRDefault="009F5B73" w:rsidP="00B36CF2">
      <w:pPr>
        <w:pStyle w:val="EC-Title-6"/>
      </w:pPr>
      <w:r w:rsidRPr="0072746F">
        <w:t xml:space="preserve">Data </w:t>
      </w:r>
      <w:r w:rsidRPr="00B36CF2">
        <w:t>quality</w:t>
      </w:r>
    </w:p>
    <w:p w14:paraId="2C9FD643" w14:textId="2F01C8BA" w:rsidR="0097253D" w:rsidRDefault="0097253D" w:rsidP="0097253D">
      <w:pPr>
        <w:autoSpaceDE w:val="0"/>
        <w:autoSpaceDN w:val="0"/>
        <w:adjustRightInd w:val="0"/>
        <w:jc w:val="both"/>
        <w:rPr>
          <w:rFonts w:eastAsia="Arial Unicode MS" w:cs="Tahoma"/>
          <w:kern w:val="22"/>
          <w:szCs w:val="18"/>
        </w:rPr>
      </w:pPr>
      <w:bookmarkStart w:id="86" w:name="_Toc437442032"/>
      <w:r w:rsidRPr="009E3B9F">
        <w:rPr>
          <w:rFonts w:eastAsia="Arial Unicode MS" w:cs="Tahoma"/>
          <w:kern w:val="22"/>
          <w:szCs w:val="18"/>
        </w:rPr>
        <w:t xml:space="preserve">EU/EEA countries reporting data on </w:t>
      </w:r>
      <w:proofErr w:type="spellStart"/>
      <w:r w:rsidR="004B3B71">
        <w:rPr>
          <w:rFonts w:eastAsia="Arial Unicode MS" w:cs="Tahoma"/>
          <w:kern w:val="22"/>
          <w:szCs w:val="18"/>
        </w:rPr>
        <w:t>trichinellosis</w:t>
      </w:r>
      <w:proofErr w:type="spellEnd"/>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w:t>
      </w:r>
      <w:r w:rsidRPr="009E3B9F">
        <w:rPr>
          <w:rFonts w:eastAsia="Arial Unicode MS" w:cs="Tahoma"/>
          <w:kern w:val="22"/>
          <w:szCs w:val="18"/>
        </w:rPr>
        <w:lastRenderedPageBreak/>
        <w:t xml:space="preserve">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0AEB9140" w14:textId="77777777" w:rsidR="0097253D" w:rsidRDefault="0097253D" w:rsidP="0097253D">
      <w:pPr>
        <w:autoSpaceDE w:val="0"/>
        <w:autoSpaceDN w:val="0"/>
        <w:adjustRightInd w:val="0"/>
        <w:jc w:val="both"/>
        <w:rPr>
          <w:rFonts w:eastAsia="Arial Unicode MS" w:cs="Tahoma"/>
          <w:kern w:val="22"/>
          <w:szCs w:val="18"/>
        </w:rPr>
      </w:pPr>
    </w:p>
    <w:p w14:paraId="0A30049E" w14:textId="0464E0F1"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Pr="00E95571">
        <w:rPr>
          <w:rFonts w:eastAsia="Arial Unicode MS" w:cs="Tahoma"/>
          <w:kern w:val="22"/>
          <w:szCs w:val="18"/>
        </w:rPr>
        <w:t xml:space="preserve">confirmed </w:t>
      </w:r>
      <w:proofErr w:type="spellStart"/>
      <w:r w:rsidR="004B3B71">
        <w:rPr>
          <w:rFonts w:eastAsia="Arial Unicode MS" w:cs="Tahoma"/>
          <w:kern w:val="22"/>
          <w:szCs w:val="18"/>
        </w:rPr>
        <w:t>trichinellosis</w:t>
      </w:r>
      <w:proofErr w:type="spellEnd"/>
      <w:r>
        <w:rPr>
          <w:rFonts w:eastAsia="Arial Unicode MS" w:cs="Tahoma"/>
          <w:kern w:val="22"/>
          <w:szCs w:val="18"/>
        </w:rPr>
        <w:t xml:space="preserve"> are:</w:t>
      </w:r>
    </w:p>
    <w:p w14:paraId="6F2DD5FF" w14:textId="788DECC4"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4C77851B" w14:textId="054D777C"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203A4530" w14:textId="1126D2A2"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767CF6E2" w14:textId="228F1C03"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33184200" w14:textId="1A789C52"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proofErr w:type="gramStart"/>
      <w:r>
        <w:rPr>
          <w:rFonts w:eastAsia="Arial Unicode MS" w:cs="Tahoma"/>
          <w:kern w:val="22"/>
          <w:szCs w:val="18"/>
        </w:rPr>
        <w:t>);</w:t>
      </w:r>
      <w:proofErr w:type="gramEnd"/>
    </w:p>
    <w:p w14:paraId="44A8C441" w14:textId="3CA28667"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4B3B71">
        <w:rPr>
          <w:rFonts w:eastAsia="Arial Unicode MS" w:cs="Tahoma"/>
          <w:kern w:val="22"/>
          <w:szCs w:val="18"/>
        </w:rPr>
        <w:t xml:space="preserve">pathogen species </w:t>
      </w:r>
      <w:r>
        <w:rPr>
          <w:rFonts w:eastAsia="Arial Unicode MS" w:cs="Tahoma"/>
          <w:kern w:val="22"/>
          <w:szCs w:val="18"/>
        </w:rPr>
        <w:t>(%</w:t>
      </w:r>
      <w:proofErr w:type="gramStart"/>
      <w:r>
        <w:rPr>
          <w:rFonts w:eastAsia="Arial Unicode MS" w:cs="Tahoma"/>
          <w:kern w:val="22"/>
          <w:szCs w:val="18"/>
        </w:rPr>
        <w:t>);</w:t>
      </w:r>
      <w:proofErr w:type="gramEnd"/>
    </w:p>
    <w:p w14:paraId="420AFB01" w14:textId="77777777" w:rsidR="007D4EE3" w:rsidRDefault="007D4EE3" w:rsidP="007D4EE3">
      <w:pPr>
        <w:pStyle w:val="ListParagraph"/>
        <w:autoSpaceDE w:val="0"/>
        <w:autoSpaceDN w:val="0"/>
        <w:adjustRightInd w:val="0"/>
        <w:jc w:val="both"/>
        <w:rPr>
          <w:rFonts w:eastAsia="Arial Unicode MS" w:cs="Tahoma"/>
          <w:kern w:val="22"/>
          <w:szCs w:val="18"/>
        </w:rPr>
      </w:pPr>
    </w:p>
    <w:p w14:paraId="7A57C757" w14:textId="77777777" w:rsidR="009F5B73" w:rsidRDefault="009F5B73" w:rsidP="00B36CF2">
      <w:pPr>
        <w:pStyle w:val="EC-Title-6"/>
      </w:pPr>
      <w:r w:rsidRPr="00B36CF2">
        <w:t>Interpretation</w:t>
      </w:r>
      <w:bookmarkEnd w:id="86"/>
      <w:r w:rsidRPr="00C82DDE">
        <w:t xml:space="preserve"> </w:t>
      </w:r>
    </w:p>
    <w:p w14:paraId="14874C45" w14:textId="77777777" w:rsidR="009F5B73" w:rsidRDefault="009F5B73" w:rsidP="009F5B73">
      <w:pPr>
        <w:pStyle w:val="EC-Para"/>
        <w:jc w:val="both"/>
        <w:rPr>
          <w:rFonts w:cs="Tahoma"/>
        </w:rPr>
      </w:pPr>
      <w:r w:rsidRPr="00D45E3C">
        <w:rPr>
          <w:rFonts w:eastAsiaTheme="minorHAnsi" w:cs="Tahoma"/>
          <w:lang w:eastAsia="en-US"/>
        </w:rPr>
        <w:t xml:space="preserve">The results shown in the Surveillance Atlas should be interpreted carefully. </w:t>
      </w:r>
      <w:r>
        <w:rPr>
          <w:rFonts w:eastAsiaTheme="minorHAnsi" w:cs="Tahoma"/>
          <w:lang w:eastAsia="en-US"/>
        </w:rPr>
        <w:t xml:space="preserve">National </w:t>
      </w:r>
      <w:r>
        <w:rPr>
          <w:rFonts w:cs="Tahoma"/>
        </w:rPr>
        <w:t>s</w:t>
      </w:r>
      <w:r w:rsidRPr="00D45E3C">
        <w:rPr>
          <w:rFonts w:cs="Tahoma"/>
        </w:rPr>
        <w:t xml:space="preserve">urveillance systems </w:t>
      </w:r>
      <w:r>
        <w:rPr>
          <w:rFonts w:cs="Tahoma"/>
        </w:rPr>
        <w:t xml:space="preserve">differ from each other and </w:t>
      </w:r>
      <w:r w:rsidRPr="00D45E3C">
        <w:rPr>
          <w:rFonts w:cs="Tahoma"/>
        </w:rPr>
        <w:t xml:space="preserve">so </w:t>
      </w:r>
      <w:r>
        <w:rPr>
          <w:rFonts w:cs="Tahoma"/>
        </w:rPr>
        <w:t>does</w:t>
      </w:r>
      <w:r w:rsidRPr="00D45E3C">
        <w:rPr>
          <w:rFonts w:cs="Tahoma"/>
        </w:rPr>
        <w:t xml:space="preserve"> t</w:t>
      </w:r>
      <w:r>
        <w:rPr>
          <w:rFonts w:cs="Tahoma"/>
        </w:rPr>
        <w:t xml:space="preserve">he </w:t>
      </w:r>
      <w:proofErr w:type="gramStart"/>
      <w:r>
        <w:rPr>
          <w:rFonts w:cs="Tahoma"/>
        </w:rPr>
        <w:t>amount</w:t>
      </w:r>
      <w:proofErr w:type="gramEnd"/>
      <w:r>
        <w:rPr>
          <w:rFonts w:cs="Tahoma"/>
        </w:rPr>
        <w:t xml:space="preserve"> of samples tested</w:t>
      </w:r>
      <w:r w:rsidRPr="00D45E3C">
        <w:rPr>
          <w:rFonts w:cs="Tahoma"/>
        </w:rPr>
        <w:t>.</w:t>
      </w:r>
    </w:p>
    <w:p w14:paraId="5D47E788" w14:textId="385D82B9" w:rsidR="00C215D2" w:rsidRPr="00D45E3C" w:rsidRDefault="00C215D2" w:rsidP="009F5B73">
      <w:pPr>
        <w:pStyle w:val="EC-Para"/>
        <w:jc w:val="both"/>
        <w:rPr>
          <w:rFonts w:cs="Tahoma"/>
        </w:rPr>
      </w:pPr>
      <w:r w:rsidRPr="0066201E">
        <w:t xml:space="preserve">The notification of </w:t>
      </w:r>
      <w:proofErr w:type="spellStart"/>
      <w:r w:rsidRPr="0066201E">
        <w:t>trichinellosis</w:t>
      </w:r>
      <w:proofErr w:type="spellEnd"/>
      <w:r w:rsidRPr="0066201E">
        <w:t xml:space="preserve"> is mandatory in</w:t>
      </w:r>
      <w:r w:rsidR="008B0E71">
        <w:t xml:space="preserve"> 2</w:t>
      </w:r>
      <w:r w:rsidR="002A7A96">
        <w:t>7</w:t>
      </w:r>
      <w:r w:rsidRPr="0066201E">
        <w:t xml:space="preserve"> EU</w:t>
      </w:r>
      <w:r w:rsidR="002A7A96">
        <w:t>/EEA</w:t>
      </w:r>
      <w:r w:rsidR="00A105CD">
        <w:t xml:space="preserve"> </w:t>
      </w:r>
      <w:r w:rsidR="002A7A96">
        <w:t>countries</w:t>
      </w:r>
      <w:r w:rsidRPr="0066201E">
        <w:t xml:space="preserve">. </w:t>
      </w:r>
      <w:r w:rsidR="00AC07EB">
        <w:t>T</w:t>
      </w:r>
      <w:r w:rsidR="00E17746">
        <w:t>wo</w:t>
      </w:r>
      <w:r w:rsidRPr="0066201E">
        <w:t xml:space="preserve"> </w:t>
      </w:r>
      <w:r w:rsidR="002A7A96">
        <w:t>countries</w:t>
      </w:r>
      <w:r w:rsidRPr="0066201E">
        <w:t xml:space="preserve"> have voluntary notification (Belgium</w:t>
      </w:r>
      <w:r w:rsidR="00E17746">
        <w:t xml:space="preserve"> and</w:t>
      </w:r>
      <w:r w:rsidR="00D8211F">
        <w:t xml:space="preserve"> </w:t>
      </w:r>
      <w:r w:rsidRPr="0066201E">
        <w:t xml:space="preserve">France). No surveillance system for </w:t>
      </w:r>
      <w:proofErr w:type="spellStart"/>
      <w:r w:rsidRPr="0066201E">
        <w:t>trichinellosis</w:t>
      </w:r>
      <w:proofErr w:type="spellEnd"/>
      <w:r w:rsidRPr="0066201E">
        <w:t xml:space="preserve"> exists in Denmark. The surveillance systems for </w:t>
      </w:r>
      <w:proofErr w:type="spellStart"/>
      <w:r w:rsidRPr="0066201E">
        <w:t>trichinellosis</w:t>
      </w:r>
      <w:proofErr w:type="spellEnd"/>
      <w:r w:rsidRPr="0066201E">
        <w:t xml:space="preserve"> have full national </w:t>
      </w:r>
      <w:r w:rsidRPr="00E52EB6">
        <w:t>coverage</w:t>
      </w:r>
      <w:r w:rsidR="002A7A96">
        <w:t xml:space="preserve"> in all reporting countries</w:t>
      </w:r>
      <w:r w:rsidRPr="00E52EB6">
        <w:t>.</w:t>
      </w:r>
      <w:r w:rsidRPr="0066201E">
        <w:t xml:space="preserve"> </w:t>
      </w:r>
      <w:r w:rsidR="002450D6" w:rsidRPr="002450D6">
        <w:t xml:space="preserve">For 2020 and 2021, Spain </w:t>
      </w:r>
      <w:r w:rsidR="00A1344D">
        <w:t>did not</w:t>
      </w:r>
      <w:r w:rsidR="002450D6" w:rsidRPr="002450D6">
        <w:t xml:space="preserve"> receive data from all regions normally reporting</w:t>
      </w:r>
      <w:r w:rsidR="002450D6">
        <w:t>. T</w:t>
      </w:r>
      <w:r w:rsidR="002450D6" w:rsidRPr="002450D6">
        <w:t>he case numbers are therefore lower than expected</w:t>
      </w:r>
      <w:r w:rsidR="002450D6">
        <w:t xml:space="preserve"> and notification rates were not calculated for these </w:t>
      </w:r>
      <w:r w:rsidR="001C7031">
        <w:t xml:space="preserve">two </w:t>
      </w:r>
      <w:r w:rsidR="002450D6">
        <w:t xml:space="preserve">years. </w:t>
      </w:r>
      <w:r w:rsidR="008B0E71" w:rsidRPr="0066201E">
        <w:t>Most of</w:t>
      </w:r>
      <w:r w:rsidRPr="0066201E">
        <w:t xml:space="preserve"> the countries provide case-based data except Belgium</w:t>
      </w:r>
      <w:r w:rsidR="000C01D1">
        <w:t xml:space="preserve">, </w:t>
      </w:r>
      <w:r w:rsidRPr="0066201E">
        <w:t>Bulgaria</w:t>
      </w:r>
      <w:r w:rsidR="000C01D1">
        <w:t xml:space="preserve"> and the Netherlands</w:t>
      </w:r>
      <w:r w:rsidR="00AC07EB">
        <w:t>,</w:t>
      </w:r>
      <w:r w:rsidRPr="0066201E">
        <w:t xml:space="preserve"> which report aggregate data. </w:t>
      </w:r>
      <w:r w:rsidR="00C96C10">
        <w:t>Aggregated</w:t>
      </w:r>
      <w:r w:rsidR="00C96C10" w:rsidRPr="004C1587">
        <w:t xml:space="preserve"> reporting format w</w:t>
      </w:r>
      <w:r w:rsidR="00C96C10">
        <w:t>as</w:t>
      </w:r>
      <w:r w:rsidR="00C96C10" w:rsidRPr="004C1587">
        <w:t xml:space="preserve"> included to calculate numbers of cases</w:t>
      </w:r>
      <w:r w:rsidR="00C96C10">
        <w:t xml:space="preserve"> and </w:t>
      </w:r>
      <w:r w:rsidR="00C96C10" w:rsidRPr="004C1587">
        <w:t xml:space="preserve">notification rates, </w:t>
      </w:r>
      <w:r w:rsidR="00C96C10">
        <w:t xml:space="preserve">as well as </w:t>
      </w:r>
      <w:r w:rsidR="00C96C10" w:rsidRPr="004C1587">
        <w:t xml:space="preserve">disease trends, </w:t>
      </w:r>
      <w:r w:rsidR="00C96C10">
        <w:t>a</w:t>
      </w:r>
      <w:r w:rsidR="00C96C10" w:rsidRPr="004C1587">
        <w:t xml:space="preserve">ge and gender </w:t>
      </w:r>
      <w:r w:rsidR="00C96C10" w:rsidRPr="004C1587">
        <w:t>distributions</w:t>
      </w:r>
      <w:r w:rsidR="00C96C10">
        <w:t xml:space="preserve"> when this data was available</w:t>
      </w:r>
      <w:r w:rsidR="00C96C10" w:rsidRPr="004C1587">
        <w:t>.</w:t>
      </w:r>
    </w:p>
    <w:p w14:paraId="13CBAEBD" w14:textId="77777777" w:rsidR="009F5B73" w:rsidRDefault="009F5B73" w:rsidP="009F5B73">
      <w:pPr>
        <w:pStyle w:val="EC-Para"/>
        <w:jc w:val="both"/>
        <w:rPr>
          <w:rFonts w:cs="Tahoma"/>
          <w:lang w:eastAsia="en-US"/>
        </w:rPr>
      </w:pPr>
      <w:r w:rsidRPr="00EA31E5">
        <w:rPr>
          <w:rFonts w:cs="Tahoma"/>
          <w:lang w:eastAsia="en-US"/>
        </w:rPr>
        <w:t>The completeness of some variable</w:t>
      </w:r>
      <w:r>
        <w:rPr>
          <w:rFonts w:cs="Tahoma"/>
          <w:lang w:eastAsia="en-US"/>
        </w:rPr>
        <w:t xml:space="preserve">s such as </w:t>
      </w:r>
      <w:r w:rsidRPr="00EA31E5">
        <w:rPr>
          <w:rFonts w:cs="Tahoma"/>
          <w:lang w:eastAsia="en-US"/>
        </w:rPr>
        <w:t xml:space="preserve">outcome or </w:t>
      </w:r>
      <w:r>
        <w:rPr>
          <w:rFonts w:cs="Tahoma"/>
          <w:lang w:eastAsia="en-US"/>
        </w:rPr>
        <w:t>travel history</w:t>
      </w:r>
      <w:r w:rsidRPr="00EA31E5">
        <w:rPr>
          <w:rFonts w:cs="Tahoma"/>
          <w:lang w:eastAsia="en-US"/>
        </w:rPr>
        <w:t xml:space="preserve"> var</w:t>
      </w:r>
      <w:r>
        <w:rPr>
          <w:rFonts w:cs="Tahoma"/>
          <w:lang w:eastAsia="en-US"/>
        </w:rPr>
        <w:t>ies</w:t>
      </w:r>
      <w:r w:rsidRPr="00EA31E5">
        <w:rPr>
          <w:rFonts w:cs="Tahoma"/>
          <w:lang w:eastAsia="en-US"/>
        </w:rPr>
        <w:t xml:space="preserve"> between countries and years; some countries </w:t>
      </w:r>
      <w:proofErr w:type="gramStart"/>
      <w:r w:rsidRPr="00EA31E5">
        <w:rPr>
          <w:rFonts w:cs="Tahoma"/>
          <w:lang w:eastAsia="en-US"/>
        </w:rPr>
        <w:t>are able to</w:t>
      </w:r>
      <w:proofErr w:type="gramEnd"/>
      <w:r w:rsidRPr="00EA31E5">
        <w:rPr>
          <w:rFonts w:cs="Tahoma"/>
          <w:lang w:eastAsia="en-US"/>
        </w:rPr>
        <w:t xml:space="preserve"> collect and integrate this type of information from different sources, other countries are not. </w:t>
      </w:r>
    </w:p>
    <w:p w14:paraId="4CF88408" w14:textId="77777777" w:rsidR="001B1FF5" w:rsidRPr="00EA31E5" w:rsidRDefault="001B1FF5" w:rsidP="009F5B73">
      <w:pPr>
        <w:pStyle w:val="EC-Para"/>
        <w:jc w:val="both"/>
        <w:rPr>
          <w:rFonts w:cs="Tahoma"/>
          <w:lang w:eastAsia="en-US"/>
        </w:rPr>
      </w:pPr>
    </w:p>
    <w:p w14:paraId="07FB4E6C" w14:textId="77777777" w:rsidR="009F5B73" w:rsidRDefault="009F5B73" w:rsidP="00B3152F">
      <w:pPr>
        <w:pStyle w:val="EC-Title-6"/>
        <w:outlineLvl w:val="1"/>
        <w:rPr>
          <w:rFonts w:cs="Tahoma"/>
          <w:color w:val="FF0000"/>
          <w:sz w:val="20"/>
          <w:szCs w:val="20"/>
        </w:rPr>
      </w:pPr>
      <w:r>
        <w:t xml:space="preserve">Reports published by ECDC on </w:t>
      </w:r>
      <w:proofErr w:type="spellStart"/>
      <w:r>
        <w:t>trichinellosis</w:t>
      </w:r>
      <w:proofErr w:type="spellEnd"/>
      <w:r>
        <w:t xml:space="preserve"> </w:t>
      </w:r>
    </w:p>
    <w:p w14:paraId="4EFC3CD5" w14:textId="77777777" w:rsidR="009F5B73" w:rsidRDefault="009F5B73" w:rsidP="009F5B73">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3554167D" w14:textId="39501B7E" w:rsidR="003E2D75" w:rsidRDefault="003E2D75" w:rsidP="003E2D75">
      <w:pPr>
        <w:pStyle w:val="EC-Para"/>
        <w:spacing w:after="0"/>
        <w:rPr>
          <w:rFonts w:eastAsiaTheme="minorHAnsi" w:cs="Tahoma"/>
          <w:b/>
          <w:lang w:eastAsia="en-US"/>
        </w:rPr>
      </w:pPr>
      <w:r w:rsidRPr="009D4D86">
        <w:rPr>
          <w:rFonts w:eastAsiaTheme="minorHAnsi" w:cs="Tahoma"/>
          <w:b/>
          <w:lang w:eastAsia="en-US"/>
        </w:rPr>
        <w:t>Annual epidemiological report for 202</w:t>
      </w:r>
      <w:r w:rsidR="00A510E2">
        <w:rPr>
          <w:rFonts w:eastAsiaTheme="minorHAnsi" w:cs="Tahoma"/>
          <w:b/>
          <w:lang w:eastAsia="en-US"/>
        </w:rPr>
        <w:t>2</w:t>
      </w:r>
      <w:r w:rsidRPr="009D4D86">
        <w:rPr>
          <w:rFonts w:eastAsiaTheme="minorHAnsi" w:cs="Tahoma"/>
          <w:b/>
          <w:lang w:eastAsia="en-US"/>
        </w:rPr>
        <w:t xml:space="preserve"> – </w:t>
      </w:r>
      <w:proofErr w:type="spellStart"/>
      <w:r w:rsidRPr="009D4D86">
        <w:rPr>
          <w:rFonts w:eastAsiaTheme="minorHAnsi" w:cs="Tahoma"/>
          <w:b/>
          <w:lang w:eastAsia="en-US"/>
        </w:rPr>
        <w:t>Trichinellosis</w:t>
      </w:r>
      <w:proofErr w:type="spellEnd"/>
      <w:r w:rsidRPr="009D4D86">
        <w:rPr>
          <w:rFonts w:eastAsiaTheme="minorHAnsi" w:cs="Tahoma"/>
          <w:b/>
          <w:lang w:eastAsia="en-US"/>
        </w:rPr>
        <w:t>:</w:t>
      </w:r>
    </w:p>
    <w:p w14:paraId="19A1F5B1" w14:textId="3A1D328E" w:rsidR="00A510E2" w:rsidRDefault="00000000" w:rsidP="003E2D75">
      <w:pPr>
        <w:pStyle w:val="EC-Para"/>
        <w:spacing w:after="0"/>
        <w:rPr>
          <w:rFonts w:eastAsiaTheme="minorHAnsi" w:cs="Tahoma"/>
          <w:bCs/>
          <w:lang w:eastAsia="en-US"/>
        </w:rPr>
      </w:pPr>
      <w:hyperlink r:id="rId93" w:history="1">
        <w:r w:rsidR="00A510E2" w:rsidRPr="00623547">
          <w:rPr>
            <w:rStyle w:val="Hyperlink"/>
            <w:rFonts w:eastAsiaTheme="minorHAnsi" w:cs="Tahoma"/>
            <w:bCs/>
            <w:sz w:val="18"/>
            <w:lang w:eastAsia="en-US"/>
          </w:rPr>
          <w:t>https://www.ecdc.europa.eu/sites/default/files/documents/trichinellosis-annual-epidemiological-report-2022.pdf</w:t>
        </w:r>
      </w:hyperlink>
    </w:p>
    <w:p w14:paraId="5E2EC6E5" w14:textId="77777777" w:rsidR="00A510E2" w:rsidRPr="00A510E2" w:rsidRDefault="00A510E2" w:rsidP="003E2D75">
      <w:pPr>
        <w:pStyle w:val="EC-Para"/>
        <w:spacing w:after="0"/>
        <w:rPr>
          <w:rFonts w:eastAsiaTheme="minorHAnsi" w:cs="Tahoma"/>
          <w:bCs/>
          <w:lang w:eastAsia="en-US"/>
        </w:rPr>
      </w:pPr>
    </w:p>
    <w:p w14:paraId="3A9CBF75" w14:textId="77777777" w:rsidR="00A46FE8" w:rsidRDefault="00A46FE8" w:rsidP="00A1421E">
      <w:pPr>
        <w:pStyle w:val="EC-Para"/>
        <w:spacing w:after="0"/>
        <w:jc w:val="both"/>
      </w:pPr>
    </w:p>
    <w:p w14:paraId="4774F769" w14:textId="35D62C4D" w:rsidR="00A1421E" w:rsidRPr="009D4D86" w:rsidRDefault="00A1421E" w:rsidP="00A1421E">
      <w:pPr>
        <w:pStyle w:val="EC-Para"/>
        <w:spacing w:after="0"/>
        <w:jc w:val="both"/>
        <w:rPr>
          <w:b/>
        </w:rPr>
      </w:pPr>
      <w:r w:rsidRPr="009D4D86">
        <w:rPr>
          <w:b/>
        </w:rPr>
        <w:t>EFSA and ECDC (European Food Safety Authority and European Centre for Disease Prevention and Control), 202</w:t>
      </w:r>
      <w:r w:rsidR="00A56562">
        <w:rPr>
          <w:b/>
        </w:rPr>
        <w:t>3</w:t>
      </w:r>
      <w:r w:rsidRPr="009D4D86">
        <w:rPr>
          <w:b/>
        </w:rPr>
        <w:t>. The European Union One Health 202</w:t>
      </w:r>
      <w:r w:rsidR="00A56562">
        <w:rPr>
          <w:b/>
        </w:rPr>
        <w:t>2</w:t>
      </w:r>
      <w:r w:rsidRPr="009D4D86">
        <w:rPr>
          <w:b/>
        </w:rPr>
        <w:t xml:space="preserve"> Zoonoses Report</w:t>
      </w:r>
      <w:r w:rsidR="003E2D75">
        <w:rPr>
          <w:b/>
        </w:rPr>
        <w:t xml:space="preserve"> (December 2023</w:t>
      </w:r>
      <w:r w:rsidR="00B51A32">
        <w:rPr>
          <w:b/>
        </w:rPr>
        <w:t>)</w:t>
      </w:r>
      <w:r w:rsidRPr="009D4D86">
        <w:rPr>
          <w:b/>
        </w:rPr>
        <w:t>:</w:t>
      </w:r>
    </w:p>
    <w:p w14:paraId="1E840467" w14:textId="77777777" w:rsidR="00FB0F76" w:rsidRDefault="00000000" w:rsidP="00FB0F76">
      <w:pPr>
        <w:pStyle w:val="EC-Para"/>
        <w:spacing w:after="0"/>
        <w:rPr>
          <w:color w:val="69AE23"/>
        </w:rPr>
      </w:pPr>
      <w:hyperlink r:id="rId94" w:history="1">
        <w:r w:rsidR="00FB0F76" w:rsidRPr="008D42C9">
          <w:rPr>
            <w:rStyle w:val="Hyperlink"/>
            <w:sz w:val="18"/>
          </w:rPr>
          <w:t>https://efsa.onlinelibrary.wiley.com/doi/epdf/10.2903/j.efsa.2023.8442</w:t>
        </w:r>
      </w:hyperlink>
    </w:p>
    <w:p w14:paraId="36891A87" w14:textId="4800BDB1" w:rsidR="00B36CF2" w:rsidRDefault="00B36CF2">
      <w:pPr>
        <w:rPr>
          <w:rStyle w:val="Hyperlink"/>
          <w:rFonts w:eastAsiaTheme="minorHAnsi" w:cs="Times New Roman"/>
          <w:kern w:val="22"/>
          <w:szCs w:val="18"/>
        </w:rPr>
      </w:pPr>
      <w:r>
        <w:rPr>
          <w:rStyle w:val="Hyperlink"/>
          <w:rFonts w:eastAsiaTheme="minorHAnsi"/>
        </w:rPr>
        <w:br w:type="page"/>
      </w:r>
    </w:p>
    <w:p w14:paraId="44BF601B" w14:textId="4CD89266" w:rsidR="009F5B73" w:rsidRDefault="009F5B73" w:rsidP="00B3152F">
      <w:pPr>
        <w:pStyle w:val="EC-Title-6"/>
        <w:outlineLvl w:val="1"/>
      </w:pPr>
      <w:r>
        <w:lastRenderedPageBreak/>
        <w:t xml:space="preserve">Annex 1. Surveillance systems overview, </w:t>
      </w:r>
      <w:r w:rsidR="00A32FE1">
        <w:t>202</w:t>
      </w:r>
      <w:r w:rsidR="00712222">
        <w:t>3</w:t>
      </w:r>
    </w:p>
    <w:tbl>
      <w:tblPr>
        <w:tblW w:w="9867" w:type="dxa"/>
        <w:tblLook w:val="04A0" w:firstRow="1" w:lastRow="0" w:firstColumn="1" w:lastColumn="0" w:noHBand="0" w:noVBand="1"/>
      </w:tblPr>
      <w:tblGrid>
        <w:gridCol w:w="1165"/>
        <w:gridCol w:w="2740"/>
        <w:gridCol w:w="570"/>
        <w:gridCol w:w="570"/>
        <w:gridCol w:w="570"/>
        <w:gridCol w:w="570"/>
        <w:gridCol w:w="570"/>
        <w:gridCol w:w="570"/>
        <w:gridCol w:w="570"/>
        <w:gridCol w:w="570"/>
        <w:gridCol w:w="1578"/>
      </w:tblGrid>
      <w:tr w:rsidR="00034328" w:rsidRPr="004A7F3A" w14:paraId="1B2132E2" w14:textId="77777777" w:rsidTr="00034328">
        <w:trPr>
          <w:trHeight w:val="299"/>
        </w:trPr>
        <w:tc>
          <w:tcPr>
            <w:tcW w:w="1165"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575A1F6B" w14:textId="77777777" w:rsidR="007D4EE3" w:rsidRPr="004A7F3A" w:rsidRDefault="007D4EE3" w:rsidP="007D4EE3">
            <w:pPr>
              <w:rPr>
                <w:rFonts w:eastAsia="Times New Roman" w:cs="Tahoma"/>
                <w:b/>
                <w:bCs/>
                <w:color w:val="FFFFFF"/>
                <w:sz w:val="14"/>
                <w:szCs w:val="14"/>
                <w:lang w:eastAsia="en-GB"/>
              </w:rPr>
            </w:pPr>
            <w:r w:rsidRPr="004A7F3A">
              <w:rPr>
                <w:rFonts w:eastAsia="Times New Roman" w:cs="Tahoma"/>
                <w:b/>
                <w:bCs/>
                <w:color w:val="FFFFFF"/>
                <w:sz w:val="14"/>
                <w:szCs w:val="14"/>
                <w:lang w:eastAsia="en-GB"/>
              </w:rPr>
              <w:t>Country</w:t>
            </w:r>
          </w:p>
        </w:tc>
        <w:tc>
          <w:tcPr>
            <w:tcW w:w="2740"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37741D9E" w14:textId="77777777" w:rsidR="007D4EE3" w:rsidRPr="004A7F3A" w:rsidRDefault="007D4EE3" w:rsidP="007D4EE3">
            <w:pPr>
              <w:rPr>
                <w:rFonts w:eastAsia="Times New Roman" w:cs="Tahoma"/>
                <w:b/>
                <w:bCs/>
                <w:color w:val="FFFFFF"/>
                <w:sz w:val="14"/>
                <w:szCs w:val="14"/>
                <w:lang w:eastAsia="en-GB"/>
              </w:rPr>
            </w:pPr>
            <w:r w:rsidRPr="004A7F3A">
              <w:rPr>
                <w:rFonts w:eastAsia="Times New Roman" w:cs="Tahoma"/>
                <w:b/>
                <w:bCs/>
                <w:color w:val="FFFFFF"/>
                <w:sz w:val="14"/>
                <w:szCs w:val="14"/>
                <w:lang w:eastAsia="en-GB"/>
              </w:rPr>
              <w:t>Data source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7CA116C1" w14:textId="77777777" w:rsidR="007D4EE3" w:rsidRPr="004A7F3A" w:rsidRDefault="007D4EE3" w:rsidP="007D4EE3">
            <w:pPr>
              <w:jc w:val="center"/>
              <w:rPr>
                <w:rFonts w:eastAsia="Times New Roman" w:cs="Tahoma"/>
                <w:b/>
                <w:bCs/>
                <w:color w:val="FFFFFF"/>
                <w:sz w:val="14"/>
                <w:szCs w:val="14"/>
                <w:lang w:eastAsia="en-GB"/>
              </w:rPr>
            </w:pPr>
            <w:r w:rsidRPr="004A7F3A">
              <w:rPr>
                <w:rFonts w:eastAsia="Times New Roman" w:cs="Tahoma"/>
                <w:b/>
                <w:bCs/>
                <w:color w:val="FFFFFF"/>
                <w:sz w:val="14"/>
                <w:szCs w:val="14"/>
                <w:lang w:eastAsia="en-GB"/>
              </w:rPr>
              <w:t>Compulsory (Cp), voluntary (V), other(O)</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AF2DA95" w14:textId="77777777" w:rsidR="007D4EE3" w:rsidRPr="004A7F3A" w:rsidRDefault="007D4EE3" w:rsidP="007D4EE3">
            <w:pPr>
              <w:jc w:val="center"/>
              <w:rPr>
                <w:rFonts w:eastAsia="Times New Roman" w:cs="Tahoma"/>
                <w:b/>
                <w:bCs/>
                <w:color w:val="FFFFFF"/>
                <w:sz w:val="14"/>
                <w:szCs w:val="14"/>
                <w:lang w:eastAsia="en-GB"/>
              </w:rPr>
            </w:pPr>
            <w:r w:rsidRPr="004A7F3A">
              <w:rPr>
                <w:rFonts w:eastAsia="Times New Roman" w:cs="Tahoma"/>
                <w:b/>
                <w:bCs/>
                <w:color w:val="FFFFFF"/>
                <w:sz w:val="14"/>
                <w:szCs w:val="14"/>
                <w:lang w:eastAsia="en-GB"/>
              </w:rPr>
              <w:t>Comprehensive (Co), sentinel (Se), other(O)</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61B85254" w14:textId="77777777" w:rsidR="007D4EE3" w:rsidRPr="004A7F3A" w:rsidRDefault="007D4EE3" w:rsidP="007D4EE3">
            <w:pPr>
              <w:jc w:val="center"/>
              <w:rPr>
                <w:rFonts w:eastAsia="Times New Roman" w:cs="Tahoma"/>
                <w:b/>
                <w:bCs/>
                <w:color w:val="FFFFFF"/>
                <w:sz w:val="14"/>
                <w:szCs w:val="14"/>
                <w:lang w:eastAsia="en-GB"/>
              </w:rPr>
            </w:pPr>
            <w:r w:rsidRPr="004A7F3A">
              <w:rPr>
                <w:rFonts w:eastAsia="Times New Roman" w:cs="Tahoma"/>
                <w:b/>
                <w:bCs/>
                <w:color w:val="FFFFFF"/>
                <w:sz w:val="14"/>
                <w:szCs w:val="14"/>
                <w:lang w:eastAsia="en-GB"/>
              </w:rPr>
              <w:t>Active (A), passive (P)</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773B564D" w14:textId="77777777" w:rsidR="007D4EE3" w:rsidRPr="004A7F3A" w:rsidRDefault="007D4EE3" w:rsidP="007D4EE3">
            <w:pPr>
              <w:jc w:val="center"/>
              <w:rPr>
                <w:rFonts w:eastAsia="Times New Roman" w:cs="Tahoma"/>
                <w:b/>
                <w:bCs/>
                <w:color w:val="FFFFFF"/>
                <w:sz w:val="14"/>
                <w:szCs w:val="14"/>
                <w:lang w:eastAsia="en-GB"/>
              </w:rPr>
            </w:pPr>
            <w:r w:rsidRPr="004A7F3A">
              <w:rPr>
                <w:rFonts w:eastAsia="Times New Roman" w:cs="Tahoma"/>
                <w:b/>
                <w:bCs/>
                <w:color w:val="FFFFFF"/>
                <w:sz w:val="14"/>
                <w:szCs w:val="14"/>
                <w:lang w:eastAsia="en-GB"/>
              </w:rPr>
              <w:t>Case-based (C), aggregated (A)</w:t>
            </w:r>
          </w:p>
        </w:tc>
        <w:tc>
          <w:tcPr>
            <w:tcW w:w="2192" w:type="dxa"/>
            <w:gridSpan w:val="4"/>
            <w:tcBorders>
              <w:top w:val="single" w:sz="4" w:space="0" w:color="auto"/>
              <w:left w:val="nil"/>
              <w:bottom w:val="single" w:sz="4" w:space="0" w:color="auto"/>
              <w:right w:val="single" w:sz="4" w:space="0" w:color="auto"/>
            </w:tcBorders>
            <w:shd w:val="clear" w:color="000000" w:fill="69AE23"/>
            <w:noWrap/>
            <w:hideMark/>
          </w:tcPr>
          <w:p w14:paraId="3A6AB67E" w14:textId="77777777" w:rsidR="007D4EE3" w:rsidRPr="004A7F3A" w:rsidRDefault="007D4EE3" w:rsidP="007D4EE3">
            <w:pPr>
              <w:jc w:val="center"/>
              <w:rPr>
                <w:rFonts w:eastAsia="Times New Roman" w:cs="Tahoma"/>
                <w:b/>
                <w:bCs/>
                <w:color w:val="FFFFFF"/>
                <w:sz w:val="14"/>
                <w:szCs w:val="14"/>
                <w:lang w:eastAsia="en-GB"/>
              </w:rPr>
            </w:pPr>
            <w:r w:rsidRPr="004A7F3A">
              <w:rPr>
                <w:rFonts w:eastAsia="Times New Roman" w:cs="Tahoma"/>
                <w:b/>
                <w:bCs/>
                <w:color w:val="FFFFFF"/>
                <w:sz w:val="14"/>
                <w:szCs w:val="14"/>
                <w:lang w:eastAsia="en-GB"/>
              </w:rPr>
              <w:t>Data reported by</w:t>
            </w:r>
          </w:p>
        </w:tc>
        <w:tc>
          <w:tcPr>
            <w:tcW w:w="1578"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2AE7D69E" w14:textId="77777777" w:rsidR="007D4EE3" w:rsidRPr="004A7F3A" w:rsidRDefault="007D4EE3" w:rsidP="007D4EE3">
            <w:pPr>
              <w:rPr>
                <w:rFonts w:eastAsia="Times New Roman" w:cs="Tahoma"/>
                <w:b/>
                <w:bCs/>
                <w:color w:val="FFFFFF"/>
                <w:sz w:val="14"/>
                <w:szCs w:val="14"/>
                <w:lang w:eastAsia="en-GB"/>
              </w:rPr>
            </w:pPr>
            <w:r w:rsidRPr="004A7F3A">
              <w:rPr>
                <w:rFonts w:eastAsia="Times New Roman" w:cs="Tahoma"/>
                <w:b/>
                <w:bCs/>
                <w:color w:val="FFFFFF"/>
                <w:sz w:val="14"/>
                <w:szCs w:val="14"/>
                <w:lang w:eastAsia="en-GB"/>
              </w:rPr>
              <w:t>Case definition used</w:t>
            </w:r>
          </w:p>
        </w:tc>
      </w:tr>
      <w:tr w:rsidR="00605C63" w:rsidRPr="004A7F3A" w14:paraId="4346EB75" w14:textId="77777777" w:rsidTr="00034328">
        <w:trPr>
          <w:trHeight w:val="2864"/>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63A9C684" w14:textId="77777777" w:rsidR="007D4EE3" w:rsidRPr="004A7F3A" w:rsidRDefault="007D4EE3" w:rsidP="007D4EE3">
            <w:pPr>
              <w:rPr>
                <w:rFonts w:eastAsia="Times New Roman" w:cs="Tahoma"/>
                <w:b/>
                <w:bCs/>
                <w:color w:val="FFFFFF"/>
                <w:sz w:val="14"/>
                <w:szCs w:val="14"/>
                <w:lang w:eastAsia="en-GB"/>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03319B8F" w14:textId="77777777" w:rsidR="007D4EE3" w:rsidRPr="004A7F3A" w:rsidRDefault="007D4EE3" w:rsidP="007D4EE3">
            <w:pPr>
              <w:rPr>
                <w:rFonts w:eastAsia="Times New Roman" w:cs="Tahoma"/>
                <w:b/>
                <w:bCs/>
                <w:color w:val="FFFFFF"/>
                <w:sz w:val="14"/>
                <w:szCs w:val="14"/>
                <w:lang w:eastAsia="en-GB"/>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21297C1E" w14:textId="77777777" w:rsidR="007D4EE3" w:rsidRPr="004A7F3A" w:rsidRDefault="007D4EE3" w:rsidP="007D4EE3">
            <w:pPr>
              <w:rPr>
                <w:rFonts w:eastAsia="Times New Roman" w:cs="Tahoma"/>
                <w:b/>
                <w:bCs/>
                <w:color w:val="FFFFFF"/>
                <w:sz w:val="14"/>
                <w:szCs w:val="14"/>
                <w:lang w:eastAsia="en-GB"/>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4F8B4319" w14:textId="77777777" w:rsidR="007D4EE3" w:rsidRPr="004A7F3A" w:rsidRDefault="007D4EE3" w:rsidP="007D4EE3">
            <w:pPr>
              <w:rPr>
                <w:rFonts w:eastAsia="Times New Roman" w:cs="Tahoma"/>
                <w:b/>
                <w:bCs/>
                <w:color w:val="FFFFFF"/>
                <w:sz w:val="14"/>
                <w:szCs w:val="14"/>
                <w:lang w:eastAsia="en-GB"/>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2C99E967" w14:textId="77777777" w:rsidR="007D4EE3" w:rsidRPr="004A7F3A" w:rsidRDefault="007D4EE3" w:rsidP="007D4EE3">
            <w:pPr>
              <w:rPr>
                <w:rFonts w:eastAsia="Times New Roman" w:cs="Tahoma"/>
                <w:b/>
                <w:bCs/>
                <w:color w:val="FFFFFF"/>
                <w:sz w:val="14"/>
                <w:szCs w:val="14"/>
                <w:lang w:eastAsia="en-GB"/>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279BEDA9" w14:textId="77777777" w:rsidR="007D4EE3" w:rsidRPr="004A7F3A" w:rsidRDefault="007D4EE3" w:rsidP="007D4EE3">
            <w:pPr>
              <w:rPr>
                <w:rFonts w:eastAsia="Times New Roman" w:cs="Tahoma"/>
                <w:b/>
                <w:bCs/>
                <w:color w:val="FFFFFF"/>
                <w:sz w:val="14"/>
                <w:szCs w:val="14"/>
                <w:lang w:eastAsia="en-GB"/>
              </w:rPr>
            </w:pPr>
          </w:p>
        </w:tc>
        <w:tc>
          <w:tcPr>
            <w:tcW w:w="548" w:type="dxa"/>
            <w:tcBorders>
              <w:top w:val="nil"/>
              <w:left w:val="nil"/>
              <w:bottom w:val="nil"/>
              <w:right w:val="single" w:sz="4" w:space="0" w:color="auto"/>
            </w:tcBorders>
            <w:shd w:val="clear" w:color="000000" w:fill="69AE23"/>
            <w:noWrap/>
            <w:textDirection w:val="btLr"/>
            <w:vAlign w:val="bottom"/>
            <w:hideMark/>
          </w:tcPr>
          <w:p w14:paraId="23F92CAF" w14:textId="77777777" w:rsidR="007D4EE3" w:rsidRPr="004A7F3A" w:rsidRDefault="007D4EE3" w:rsidP="007D4EE3">
            <w:pPr>
              <w:jc w:val="center"/>
              <w:rPr>
                <w:rFonts w:eastAsia="Times New Roman" w:cs="Tahoma"/>
                <w:b/>
                <w:bCs/>
                <w:color w:val="FFFFFF"/>
                <w:sz w:val="14"/>
                <w:szCs w:val="14"/>
                <w:lang w:eastAsia="en-GB"/>
              </w:rPr>
            </w:pPr>
            <w:r w:rsidRPr="004A7F3A">
              <w:rPr>
                <w:rFonts w:eastAsia="Times New Roman" w:cs="Tahoma"/>
                <w:b/>
                <w:bCs/>
                <w:color w:val="FFFFFF"/>
                <w:sz w:val="14"/>
                <w:szCs w:val="14"/>
                <w:lang w:eastAsia="en-GB"/>
              </w:rPr>
              <w:t>Laboratories</w:t>
            </w:r>
          </w:p>
        </w:tc>
        <w:tc>
          <w:tcPr>
            <w:tcW w:w="548" w:type="dxa"/>
            <w:tcBorders>
              <w:top w:val="nil"/>
              <w:left w:val="nil"/>
              <w:bottom w:val="nil"/>
              <w:right w:val="single" w:sz="4" w:space="0" w:color="auto"/>
            </w:tcBorders>
            <w:shd w:val="clear" w:color="000000" w:fill="69AE23"/>
            <w:noWrap/>
            <w:textDirection w:val="btLr"/>
            <w:vAlign w:val="bottom"/>
            <w:hideMark/>
          </w:tcPr>
          <w:p w14:paraId="29340992" w14:textId="77777777" w:rsidR="007D4EE3" w:rsidRPr="004A7F3A" w:rsidRDefault="007D4EE3" w:rsidP="007D4EE3">
            <w:pPr>
              <w:jc w:val="center"/>
              <w:rPr>
                <w:rFonts w:eastAsia="Times New Roman" w:cs="Tahoma"/>
                <w:b/>
                <w:bCs/>
                <w:color w:val="FFFFFF"/>
                <w:sz w:val="14"/>
                <w:szCs w:val="14"/>
                <w:lang w:eastAsia="en-GB"/>
              </w:rPr>
            </w:pPr>
            <w:r w:rsidRPr="004A7F3A">
              <w:rPr>
                <w:rFonts w:eastAsia="Times New Roman" w:cs="Tahoma"/>
                <w:b/>
                <w:bCs/>
                <w:color w:val="FFFFFF"/>
                <w:sz w:val="14"/>
                <w:szCs w:val="14"/>
                <w:lang w:eastAsia="en-GB"/>
              </w:rPr>
              <w:t>Physicians</w:t>
            </w:r>
          </w:p>
        </w:tc>
        <w:tc>
          <w:tcPr>
            <w:tcW w:w="548" w:type="dxa"/>
            <w:tcBorders>
              <w:top w:val="nil"/>
              <w:left w:val="nil"/>
              <w:bottom w:val="nil"/>
              <w:right w:val="single" w:sz="4" w:space="0" w:color="auto"/>
            </w:tcBorders>
            <w:shd w:val="clear" w:color="000000" w:fill="69AE23"/>
            <w:noWrap/>
            <w:textDirection w:val="btLr"/>
            <w:vAlign w:val="bottom"/>
            <w:hideMark/>
          </w:tcPr>
          <w:p w14:paraId="4C5FF144" w14:textId="77777777" w:rsidR="007D4EE3" w:rsidRPr="004A7F3A" w:rsidRDefault="007D4EE3" w:rsidP="007D4EE3">
            <w:pPr>
              <w:jc w:val="center"/>
              <w:rPr>
                <w:rFonts w:eastAsia="Times New Roman" w:cs="Tahoma"/>
                <w:b/>
                <w:bCs/>
                <w:color w:val="FFFFFF"/>
                <w:sz w:val="14"/>
                <w:szCs w:val="14"/>
                <w:lang w:eastAsia="en-GB"/>
              </w:rPr>
            </w:pPr>
            <w:r w:rsidRPr="004A7F3A">
              <w:rPr>
                <w:rFonts w:eastAsia="Times New Roman" w:cs="Tahoma"/>
                <w:b/>
                <w:bCs/>
                <w:color w:val="FFFFFF"/>
                <w:sz w:val="14"/>
                <w:szCs w:val="14"/>
                <w:lang w:eastAsia="en-GB"/>
              </w:rPr>
              <w:t>Hospitals</w:t>
            </w:r>
          </w:p>
        </w:tc>
        <w:tc>
          <w:tcPr>
            <w:tcW w:w="548" w:type="dxa"/>
            <w:tcBorders>
              <w:top w:val="nil"/>
              <w:left w:val="nil"/>
              <w:bottom w:val="nil"/>
              <w:right w:val="single" w:sz="4" w:space="0" w:color="auto"/>
            </w:tcBorders>
            <w:shd w:val="clear" w:color="000000" w:fill="69AE23"/>
            <w:noWrap/>
            <w:textDirection w:val="btLr"/>
            <w:vAlign w:val="bottom"/>
            <w:hideMark/>
          </w:tcPr>
          <w:p w14:paraId="17B7A5A2" w14:textId="77777777" w:rsidR="007D4EE3" w:rsidRPr="004A7F3A" w:rsidRDefault="007D4EE3" w:rsidP="007D4EE3">
            <w:pPr>
              <w:jc w:val="center"/>
              <w:rPr>
                <w:rFonts w:eastAsia="Times New Roman" w:cs="Tahoma"/>
                <w:b/>
                <w:bCs/>
                <w:color w:val="FFFFFF"/>
                <w:sz w:val="14"/>
                <w:szCs w:val="14"/>
                <w:lang w:eastAsia="en-GB"/>
              </w:rPr>
            </w:pPr>
            <w:r w:rsidRPr="004A7F3A">
              <w:rPr>
                <w:rFonts w:eastAsia="Times New Roman" w:cs="Tahoma"/>
                <w:b/>
                <w:bCs/>
                <w:color w:val="FFFFFF"/>
                <w:sz w:val="14"/>
                <w:szCs w:val="14"/>
                <w:lang w:eastAsia="en-GB"/>
              </w:rPr>
              <w:t>Others</w:t>
            </w: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7B59E8DA" w14:textId="77777777" w:rsidR="007D4EE3" w:rsidRPr="004A7F3A" w:rsidRDefault="007D4EE3" w:rsidP="007D4EE3">
            <w:pPr>
              <w:rPr>
                <w:rFonts w:eastAsia="Times New Roman" w:cs="Tahoma"/>
                <w:b/>
                <w:bCs/>
                <w:color w:val="FFFFFF"/>
                <w:sz w:val="14"/>
                <w:szCs w:val="14"/>
                <w:lang w:eastAsia="en-GB"/>
              </w:rPr>
            </w:pPr>
          </w:p>
        </w:tc>
      </w:tr>
      <w:tr w:rsidR="00605C63" w:rsidRPr="004A7F3A" w14:paraId="4299995C" w14:textId="77777777" w:rsidTr="00034328">
        <w:trPr>
          <w:trHeight w:val="237"/>
        </w:trPr>
        <w:tc>
          <w:tcPr>
            <w:tcW w:w="1165" w:type="dxa"/>
            <w:tcBorders>
              <w:top w:val="single" w:sz="4" w:space="0" w:color="auto"/>
              <w:left w:val="single" w:sz="4" w:space="0" w:color="auto"/>
              <w:bottom w:val="nil"/>
              <w:right w:val="single" w:sz="4" w:space="0" w:color="auto"/>
            </w:tcBorders>
            <w:shd w:val="clear" w:color="000000" w:fill="D9D9D9"/>
            <w:noWrap/>
            <w:vAlign w:val="bottom"/>
            <w:hideMark/>
          </w:tcPr>
          <w:p w14:paraId="12C3AF8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Austria</w:t>
            </w:r>
          </w:p>
        </w:tc>
        <w:tc>
          <w:tcPr>
            <w:tcW w:w="2740" w:type="dxa"/>
            <w:tcBorders>
              <w:top w:val="single" w:sz="4" w:space="0" w:color="auto"/>
              <w:left w:val="single" w:sz="4" w:space="0" w:color="auto"/>
              <w:bottom w:val="nil"/>
              <w:right w:val="single" w:sz="4" w:space="0" w:color="auto"/>
            </w:tcBorders>
            <w:shd w:val="clear" w:color="000000" w:fill="D9D9D9"/>
            <w:noWrap/>
            <w:vAlign w:val="bottom"/>
            <w:hideMark/>
          </w:tcPr>
          <w:p w14:paraId="7830FD6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AT-</w:t>
            </w:r>
            <w:proofErr w:type="spellStart"/>
            <w:r w:rsidRPr="004A7F3A">
              <w:rPr>
                <w:rFonts w:eastAsia="Times New Roman" w:cs="Tahoma"/>
                <w:sz w:val="14"/>
                <w:szCs w:val="14"/>
                <w:lang w:eastAsia="en-GB"/>
              </w:rPr>
              <w:t>Epidemiegesetz</w:t>
            </w:r>
            <w:proofErr w:type="spellEnd"/>
          </w:p>
        </w:tc>
        <w:tc>
          <w:tcPr>
            <w:tcW w:w="548" w:type="dxa"/>
            <w:tcBorders>
              <w:top w:val="single" w:sz="4" w:space="0" w:color="auto"/>
              <w:left w:val="single" w:sz="4" w:space="0" w:color="auto"/>
              <w:bottom w:val="nil"/>
              <w:right w:val="single" w:sz="4" w:space="0" w:color="auto"/>
            </w:tcBorders>
            <w:shd w:val="clear" w:color="000000" w:fill="D9D9D9"/>
            <w:noWrap/>
            <w:vAlign w:val="bottom"/>
            <w:hideMark/>
          </w:tcPr>
          <w:p w14:paraId="0A76E0F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single" w:sz="4" w:space="0" w:color="auto"/>
              <w:left w:val="single" w:sz="4" w:space="0" w:color="auto"/>
              <w:bottom w:val="nil"/>
              <w:right w:val="single" w:sz="4" w:space="0" w:color="auto"/>
            </w:tcBorders>
            <w:shd w:val="clear" w:color="000000" w:fill="D9D9D9"/>
            <w:noWrap/>
            <w:vAlign w:val="bottom"/>
            <w:hideMark/>
          </w:tcPr>
          <w:p w14:paraId="0DA2322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single" w:sz="4" w:space="0" w:color="auto"/>
              <w:left w:val="single" w:sz="4" w:space="0" w:color="auto"/>
              <w:bottom w:val="nil"/>
              <w:right w:val="single" w:sz="4" w:space="0" w:color="auto"/>
            </w:tcBorders>
            <w:shd w:val="clear" w:color="000000" w:fill="D9D9D9"/>
            <w:noWrap/>
            <w:vAlign w:val="bottom"/>
            <w:hideMark/>
          </w:tcPr>
          <w:p w14:paraId="226A359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single" w:sz="4" w:space="0" w:color="auto"/>
              <w:left w:val="single" w:sz="4" w:space="0" w:color="auto"/>
              <w:bottom w:val="nil"/>
              <w:right w:val="single" w:sz="4" w:space="0" w:color="auto"/>
            </w:tcBorders>
            <w:shd w:val="clear" w:color="000000" w:fill="D9D9D9"/>
            <w:noWrap/>
            <w:vAlign w:val="bottom"/>
            <w:hideMark/>
          </w:tcPr>
          <w:p w14:paraId="5F96C9A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single" w:sz="4" w:space="0" w:color="auto"/>
              <w:left w:val="single" w:sz="4" w:space="0" w:color="auto"/>
              <w:bottom w:val="nil"/>
              <w:right w:val="single" w:sz="4" w:space="0" w:color="auto"/>
            </w:tcBorders>
            <w:shd w:val="clear" w:color="000000" w:fill="D9D9D9"/>
            <w:noWrap/>
            <w:vAlign w:val="bottom"/>
            <w:hideMark/>
          </w:tcPr>
          <w:p w14:paraId="36C2154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single" w:sz="4" w:space="0" w:color="auto"/>
              <w:left w:val="single" w:sz="4" w:space="0" w:color="auto"/>
              <w:bottom w:val="nil"/>
              <w:right w:val="single" w:sz="4" w:space="0" w:color="auto"/>
            </w:tcBorders>
            <w:shd w:val="clear" w:color="000000" w:fill="D9D9D9"/>
            <w:noWrap/>
            <w:vAlign w:val="bottom"/>
            <w:hideMark/>
          </w:tcPr>
          <w:p w14:paraId="4EB7454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single" w:sz="4" w:space="0" w:color="auto"/>
              <w:left w:val="single" w:sz="4" w:space="0" w:color="auto"/>
              <w:bottom w:val="nil"/>
              <w:right w:val="single" w:sz="4" w:space="0" w:color="auto"/>
            </w:tcBorders>
            <w:shd w:val="clear" w:color="000000" w:fill="D9D9D9"/>
            <w:noWrap/>
            <w:vAlign w:val="bottom"/>
            <w:hideMark/>
          </w:tcPr>
          <w:p w14:paraId="67EA3BC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single" w:sz="4" w:space="0" w:color="auto"/>
              <w:left w:val="single" w:sz="4" w:space="0" w:color="auto"/>
              <w:bottom w:val="nil"/>
              <w:right w:val="single" w:sz="4" w:space="0" w:color="auto"/>
            </w:tcBorders>
            <w:shd w:val="clear" w:color="000000" w:fill="D9D9D9"/>
            <w:noWrap/>
            <w:vAlign w:val="bottom"/>
            <w:hideMark/>
          </w:tcPr>
          <w:p w14:paraId="2004A3A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1578" w:type="dxa"/>
            <w:tcBorders>
              <w:top w:val="single" w:sz="4" w:space="0" w:color="auto"/>
              <w:left w:val="nil"/>
              <w:bottom w:val="nil"/>
              <w:right w:val="single" w:sz="4" w:space="0" w:color="auto"/>
            </w:tcBorders>
            <w:shd w:val="clear" w:color="000000" w:fill="D9D9D9"/>
            <w:noWrap/>
            <w:vAlign w:val="bottom"/>
            <w:hideMark/>
          </w:tcPr>
          <w:p w14:paraId="6D070D6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EU-2008</w:t>
            </w:r>
          </w:p>
        </w:tc>
      </w:tr>
      <w:tr w:rsidR="00605C63" w:rsidRPr="004A7F3A" w14:paraId="7D4D6DD3"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199D24C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Belgium</w:t>
            </w:r>
          </w:p>
        </w:tc>
        <w:tc>
          <w:tcPr>
            <w:tcW w:w="2740" w:type="dxa"/>
            <w:tcBorders>
              <w:top w:val="nil"/>
              <w:left w:val="nil"/>
              <w:bottom w:val="nil"/>
              <w:right w:val="single" w:sz="4" w:space="0" w:color="auto"/>
            </w:tcBorders>
            <w:shd w:val="clear" w:color="auto" w:fill="auto"/>
            <w:noWrap/>
            <w:vAlign w:val="bottom"/>
            <w:hideMark/>
          </w:tcPr>
          <w:p w14:paraId="3C98D5A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BE-REFLAB</w:t>
            </w:r>
          </w:p>
        </w:tc>
        <w:tc>
          <w:tcPr>
            <w:tcW w:w="548" w:type="dxa"/>
            <w:tcBorders>
              <w:top w:val="nil"/>
              <w:left w:val="nil"/>
              <w:bottom w:val="nil"/>
              <w:right w:val="single" w:sz="4" w:space="0" w:color="auto"/>
            </w:tcBorders>
            <w:shd w:val="clear" w:color="auto" w:fill="auto"/>
            <w:noWrap/>
            <w:vAlign w:val="bottom"/>
            <w:hideMark/>
          </w:tcPr>
          <w:p w14:paraId="4E48A4E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V</w:t>
            </w:r>
          </w:p>
        </w:tc>
        <w:tc>
          <w:tcPr>
            <w:tcW w:w="548" w:type="dxa"/>
            <w:tcBorders>
              <w:top w:val="nil"/>
              <w:left w:val="nil"/>
              <w:bottom w:val="nil"/>
              <w:right w:val="single" w:sz="4" w:space="0" w:color="auto"/>
            </w:tcBorders>
            <w:shd w:val="clear" w:color="auto" w:fill="auto"/>
            <w:noWrap/>
            <w:vAlign w:val="bottom"/>
            <w:hideMark/>
          </w:tcPr>
          <w:p w14:paraId="53EB3830" w14:textId="2B752122" w:rsidR="007D4EE3" w:rsidRPr="004A7F3A" w:rsidRDefault="009E0EBE" w:rsidP="003E127B">
            <w:pPr>
              <w:spacing w:before="120" w:after="0"/>
              <w:rPr>
                <w:rFonts w:eastAsia="Times New Roman" w:cs="Tahoma"/>
                <w:sz w:val="14"/>
                <w:szCs w:val="14"/>
                <w:lang w:eastAsia="en-GB"/>
              </w:rPr>
            </w:pPr>
            <w:r>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01D7767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A</w:t>
            </w:r>
          </w:p>
        </w:tc>
        <w:tc>
          <w:tcPr>
            <w:tcW w:w="548" w:type="dxa"/>
            <w:tcBorders>
              <w:top w:val="nil"/>
              <w:left w:val="nil"/>
              <w:bottom w:val="nil"/>
              <w:right w:val="single" w:sz="4" w:space="0" w:color="auto"/>
            </w:tcBorders>
            <w:shd w:val="clear" w:color="auto" w:fill="auto"/>
            <w:noWrap/>
            <w:vAlign w:val="bottom"/>
            <w:hideMark/>
          </w:tcPr>
          <w:p w14:paraId="41E84B5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079FCEA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18C6EEE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nil"/>
              <w:bottom w:val="nil"/>
              <w:right w:val="single" w:sz="4" w:space="0" w:color="auto"/>
            </w:tcBorders>
            <w:shd w:val="clear" w:color="auto" w:fill="auto"/>
            <w:noWrap/>
            <w:vAlign w:val="bottom"/>
            <w:hideMark/>
          </w:tcPr>
          <w:p w14:paraId="22C7C36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nil"/>
              <w:bottom w:val="nil"/>
              <w:right w:val="single" w:sz="4" w:space="0" w:color="auto"/>
            </w:tcBorders>
            <w:shd w:val="clear" w:color="auto" w:fill="auto"/>
            <w:noWrap/>
            <w:vAlign w:val="bottom"/>
            <w:hideMark/>
          </w:tcPr>
          <w:p w14:paraId="64A0E63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0BACBFF9" w14:textId="4784DEA2" w:rsidR="007D4EE3" w:rsidRPr="004A7F3A" w:rsidRDefault="009E0EBE"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00F8BF00"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1E7B249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Bulgaria</w:t>
            </w:r>
          </w:p>
        </w:tc>
        <w:tc>
          <w:tcPr>
            <w:tcW w:w="2740" w:type="dxa"/>
            <w:tcBorders>
              <w:top w:val="nil"/>
              <w:left w:val="single" w:sz="4" w:space="0" w:color="auto"/>
              <w:bottom w:val="nil"/>
              <w:right w:val="single" w:sz="4" w:space="0" w:color="auto"/>
            </w:tcBorders>
            <w:shd w:val="clear" w:color="000000" w:fill="D9D9D9"/>
            <w:noWrap/>
            <w:vAlign w:val="bottom"/>
            <w:hideMark/>
          </w:tcPr>
          <w:p w14:paraId="7537DF9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BG-NATIONAL_SURVEILLANCE</w:t>
            </w:r>
          </w:p>
        </w:tc>
        <w:tc>
          <w:tcPr>
            <w:tcW w:w="548" w:type="dxa"/>
            <w:tcBorders>
              <w:top w:val="nil"/>
              <w:left w:val="single" w:sz="4" w:space="0" w:color="auto"/>
              <w:bottom w:val="nil"/>
              <w:right w:val="single" w:sz="4" w:space="0" w:color="auto"/>
            </w:tcBorders>
            <w:shd w:val="clear" w:color="000000" w:fill="D9D9D9"/>
            <w:noWrap/>
            <w:vAlign w:val="bottom"/>
            <w:hideMark/>
          </w:tcPr>
          <w:p w14:paraId="7B8A88A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0CA9BAB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666C2FE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5F75B62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A</w:t>
            </w:r>
          </w:p>
        </w:tc>
        <w:tc>
          <w:tcPr>
            <w:tcW w:w="548" w:type="dxa"/>
            <w:tcBorders>
              <w:top w:val="nil"/>
              <w:left w:val="single" w:sz="4" w:space="0" w:color="auto"/>
              <w:bottom w:val="nil"/>
              <w:right w:val="single" w:sz="4" w:space="0" w:color="auto"/>
            </w:tcBorders>
            <w:shd w:val="clear" w:color="000000" w:fill="D9D9D9"/>
            <w:noWrap/>
            <w:vAlign w:val="bottom"/>
            <w:hideMark/>
          </w:tcPr>
          <w:p w14:paraId="41DB150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0CC33D6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3916B22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36BCEB3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1578" w:type="dxa"/>
            <w:tcBorders>
              <w:top w:val="nil"/>
              <w:left w:val="nil"/>
              <w:bottom w:val="nil"/>
              <w:right w:val="single" w:sz="4" w:space="0" w:color="auto"/>
            </w:tcBorders>
            <w:shd w:val="clear" w:color="000000" w:fill="D9D9D9"/>
            <w:noWrap/>
            <w:vAlign w:val="bottom"/>
            <w:hideMark/>
          </w:tcPr>
          <w:p w14:paraId="08996D0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1846CCBA"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61C4167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Croatia</w:t>
            </w:r>
          </w:p>
        </w:tc>
        <w:tc>
          <w:tcPr>
            <w:tcW w:w="2740" w:type="dxa"/>
            <w:tcBorders>
              <w:top w:val="nil"/>
              <w:left w:val="nil"/>
              <w:bottom w:val="nil"/>
              <w:right w:val="single" w:sz="4" w:space="0" w:color="auto"/>
            </w:tcBorders>
            <w:shd w:val="clear" w:color="auto" w:fill="auto"/>
            <w:noWrap/>
            <w:vAlign w:val="bottom"/>
            <w:hideMark/>
          </w:tcPr>
          <w:p w14:paraId="3A9F17F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HR-CNIPH</w:t>
            </w:r>
          </w:p>
        </w:tc>
        <w:tc>
          <w:tcPr>
            <w:tcW w:w="548" w:type="dxa"/>
            <w:tcBorders>
              <w:top w:val="nil"/>
              <w:left w:val="nil"/>
              <w:bottom w:val="nil"/>
              <w:right w:val="single" w:sz="4" w:space="0" w:color="auto"/>
            </w:tcBorders>
            <w:shd w:val="clear" w:color="auto" w:fill="auto"/>
            <w:noWrap/>
            <w:vAlign w:val="bottom"/>
            <w:hideMark/>
          </w:tcPr>
          <w:p w14:paraId="0468502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30D6C83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3ACB079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19EE4AF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65BF119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6E13A81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0324AEC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3152177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1578" w:type="dxa"/>
            <w:tcBorders>
              <w:top w:val="nil"/>
              <w:left w:val="nil"/>
              <w:bottom w:val="nil"/>
              <w:right w:val="single" w:sz="4" w:space="0" w:color="auto"/>
            </w:tcBorders>
            <w:shd w:val="clear" w:color="auto" w:fill="auto"/>
            <w:noWrap/>
            <w:vAlign w:val="bottom"/>
            <w:hideMark/>
          </w:tcPr>
          <w:p w14:paraId="355BA7F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EU-2012</w:t>
            </w:r>
          </w:p>
        </w:tc>
      </w:tr>
      <w:tr w:rsidR="00605C63" w:rsidRPr="004A7F3A" w14:paraId="37F5344C"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6F28BEE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Cyprus</w:t>
            </w:r>
          </w:p>
        </w:tc>
        <w:tc>
          <w:tcPr>
            <w:tcW w:w="2740" w:type="dxa"/>
            <w:tcBorders>
              <w:top w:val="nil"/>
              <w:left w:val="single" w:sz="4" w:space="0" w:color="auto"/>
              <w:bottom w:val="nil"/>
              <w:right w:val="single" w:sz="4" w:space="0" w:color="auto"/>
            </w:tcBorders>
            <w:shd w:val="clear" w:color="000000" w:fill="D9D9D9"/>
            <w:noWrap/>
            <w:vAlign w:val="bottom"/>
            <w:hideMark/>
          </w:tcPr>
          <w:p w14:paraId="0931959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CY-NOTIFIED_DISEASES</w:t>
            </w:r>
          </w:p>
        </w:tc>
        <w:tc>
          <w:tcPr>
            <w:tcW w:w="548" w:type="dxa"/>
            <w:tcBorders>
              <w:top w:val="nil"/>
              <w:left w:val="single" w:sz="4" w:space="0" w:color="auto"/>
              <w:bottom w:val="nil"/>
              <w:right w:val="single" w:sz="4" w:space="0" w:color="auto"/>
            </w:tcBorders>
            <w:shd w:val="clear" w:color="000000" w:fill="D9D9D9"/>
            <w:noWrap/>
            <w:vAlign w:val="bottom"/>
            <w:hideMark/>
          </w:tcPr>
          <w:p w14:paraId="4E458A4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5CD6319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2038398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2802DBB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10B2AFE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single" w:sz="4" w:space="0" w:color="auto"/>
              <w:bottom w:val="nil"/>
              <w:right w:val="single" w:sz="4" w:space="0" w:color="auto"/>
            </w:tcBorders>
            <w:shd w:val="clear" w:color="000000" w:fill="D9D9D9"/>
            <w:noWrap/>
            <w:vAlign w:val="bottom"/>
            <w:hideMark/>
          </w:tcPr>
          <w:p w14:paraId="3212F6E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1C96C86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single" w:sz="4" w:space="0" w:color="auto"/>
              <w:bottom w:val="nil"/>
              <w:right w:val="single" w:sz="4" w:space="0" w:color="auto"/>
            </w:tcBorders>
            <w:shd w:val="clear" w:color="000000" w:fill="D9D9D9"/>
            <w:noWrap/>
            <w:vAlign w:val="bottom"/>
            <w:hideMark/>
          </w:tcPr>
          <w:p w14:paraId="5F939C2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000000" w:fill="D9D9D9"/>
            <w:noWrap/>
            <w:vAlign w:val="bottom"/>
            <w:hideMark/>
          </w:tcPr>
          <w:p w14:paraId="3CDAFBA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EU-2008</w:t>
            </w:r>
          </w:p>
        </w:tc>
      </w:tr>
      <w:tr w:rsidR="00605C63" w:rsidRPr="004A7F3A" w14:paraId="7879FBCE"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54E4206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Czechia</w:t>
            </w:r>
          </w:p>
        </w:tc>
        <w:tc>
          <w:tcPr>
            <w:tcW w:w="2740" w:type="dxa"/>
            <w:tcBorders>
              <w:top w:val="nil"/>
              <w:left w:val="nil"/>
              <w:bottom w:val="nil"/>
              <w:right w:val="single" w:sz="4" w:space="0" w:color="auto"/>
            </w:tcBorders>
            <w:shd w:val="clear" w:color="auto" w:fill="auto"/>
            <w:noWrap/>
            <w:vAlign w:val="bottom"/>
            <w:hideMark/>
          </w:tcPr>
          <w:p w14:paraId="4EBBCC4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CZ-ISIN</w:t>
            </w:r>
          </w:p>
        </w:tc>
        <w:tc>
          <w:tcPr>
            <w:tcW w:w="548" w:type="dxa"/>
            <w:tcBorders>
              <w:top w:val="nil"/>
              <w:left w:val="nil"/>
              <w:bottom w:val="nil"/>
              <w:right w:val="single" w:sz="4" w:space="0" w:color="auto"/>
            </w:tcBorders>
            <w:shd w:val="clear" w:color="auto" w:fill="auto"/>
            <w:noWrap/>
            <w:vAlign w:val="bottom"/>
            <w:hideMark/>
          </w:tcPr>
          <w:p w14:paraId="1597ECB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0060580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0B1D1B6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A</w:t>
            </w:r>
          </w:p>
        </w:tc>
        <w:tc>
          <w:tcPr>
            <w:tcW w:w="548" w:type="dxa"/>
            <w:tcBorders>
              <w:top w:val="nil"/>
              <w:left w:val="nil"/>
              <w:bottom w:val="nil"/>
              <w:right w:val="single" w:sz="4" w:space="0" w:color="auto"/>
            </w:tcBorders>
            <w:shd w:val="clear" w:color="auto" w:fill="auto"/>
            <w:noWrap/>
            <w:vAlign w:val="bottom"/>
            <w:hideMark/>
          </w:tcPr>
          <w:p w14:paraId="76B1B7C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1AE448B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42C57F2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2DABAE4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2E49624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504B6BF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EU-2008</w:t>
            </w:r>
          </w:p>
        </w:tc>
      </w:tr>
      <w:tr w:rsidR="00605C63" w:rsidRPr="004A7F3A" w14:paraId="3FA4AD4B"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7ABE118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Estonia</w:t>
            </w:r>
          </w:p>
        </w:tc>
        <w:tc>
          <w:tcPr>
            <w:tcW w:w="2740" w:type="dxa"/>
            <w:tcBorders>
              <w:top w:val="nil"/>
              <w:left w:val="single" w:sz="4" w:space="0" w:color="auto"/>
              <w:bottom w:val="nil"/>
              <w:right w:val="single" w:sz="4" w:space="0" w:color="auto"/>
            </w:tcBorders>
            <w:shd w:val="clear" w:color="000000" w:fill="D9D9D9"/>
            <w:noWrap/>
            <w:vAlign w:val="bottom"/>
            <w:hideMark/>
          </w:tcPr>
          <w:p w14:paraId="68B4816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EE-NAKIS</w:t>
            </w:r>
          </w:p>
        </w:tc>
        <w:tc>
          <w:tcPr>
            <w:tcW w:w="548" w:type="dxa"/>
            <w:tcBorders>
              <w:top w:val="nil"/>
              <w:left w:val="single" w:sz="4" w:space="0" w:color="auto"/>
              <w:bottom w:val="nil"/>
              <w:right w:val="single" w:sz="4" w:space="0" w:color="auto"/>
            </w:tcBorders>
            <w:shd w:val="clear" w:color="000000" w:fill="D9D9D9"/>
            <w:noWrap/>
            <w:vAlign w:val="bottom"/>
            <w:hideMark/>
          </w:tcPr>
          <w:p w14:paraId="6FD4256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38ABBEF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2FCA5FA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01C4538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63C5FF7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3DE58D3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2A6818F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7692208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000000" w:fill="D9D9D9"/>
            <w:noWrap/>
            <w:vAlign w:val="bottom"/>
            <w:hideMark/>
          </w:tcPr>
          <w:p w14:paraId="5EF6DDB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306D4404"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2B98DAB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Finland</w:t>
            </w:r>
          </w:p>
        </w:tc>
        <w:tc>
          <w:tcPr>
            <w:tcW w:w="2740" w:type="dxa"/>
            <w:tcBorders>
              <w:top w:val="nil"/>
              <w:left w:val="nil"/>
              <w:bottom w:val="nil"/>
              <w:right w:val="single" w:sz="4" w:space="0" w:color="auto"/>
            </w:tcBorders>
            <w:shd w:val="clear" w:color="auto" w:fill="auto"/>
            <w:noWrap/>
            <w:vAlign w:val="bottom"/>
            <w:hideMark/>
          </w:tcPr>
          <w:p w14:paraId="220C128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FI-NIDR</w:t>
            </w:r>
          </w:p>
        </w:tc>
        <w:tc>
          <w:tcPr>
            <w:tcW w:w="548" w:type="dxa"/>
            <w:tcBorders>
              <w:top w:val="nil"/>
              <w:left w:val="nil"/>
              <w:bottom w:val="nil"/>
              <w:right w:val="single" w:sz="4" w:space="0" w:color="auto"/>
            </w:tcBorders>
            <w:shd w:val="clear" w:color="auto" w:fill="auto"/>
            <w:noWrap/>
            <w:vAlign w:val="bottom"/>
            <w:hideMark/>
          </w:tcPr>
          <w:p w14:paraId="442F694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69E7D23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7D79667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355DE50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6E286E7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2022060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nil"/>
              <w:bottom w:val="nil"/>
              <w:right w:val="single" w:sz="4" w:space="0" w:color="auto"/>
            </w:tcBorders>
            <w:shd w:val="clear" w:color="auto" w:fill="auto"/>
            <w:noWrap/>
            <w:vAlign w:val="bottom"/>
            <w:hideMark/>
          </w:tcPr>
          <w:p w14:paraId="544CE7C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nil"/>
              <w:bottom w:val="nil"/>
              <w:right w:val="single" w:sz="4" w:space="0" w:color="auto"/>
            </w:tcBorders>
            <w:shd w:val="clear" w:color="auto" w:fill="auto"/>
            <w:noWrap/>
            <w:vAlign w:val="bottom"/>
            <w:hideMark/>
          </w:tcPr>
          <w:p w14:paraId="25644C2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13C9667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EU-2012</w:t>
            </w:r>
          </w:p>
        </w:tc>
      </w:tr>
      <w:tr w:rsidR="00605C63" w:rsidRPr="004A7F3A" w14:paraId="710182B5"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6AD7244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France</w:t>
            </w:r>
          </w:p>
        </w:tc>
        <w:tc>
          <w:tcPr>
            <w:tcW w:w="2740" w:type="dxa"/>
            <w:tcBorders>
              <w:top w:val="nil"/>
              <w:left w:val="single" w:sz="4" w:space="0" w:color="auto"/>
              <w:bottom w:val="nil"/>
              <w:right w:val="single" w:sz="4" w:space="0" w:color="auto"/>
            </w:tcBorders>
            <w:shd w:val="clear" w:color="000000" w:fill="D9D9D9"/>
            <w:noWrap/>
            <w:vAlign w:val="bottom"/>
            <w:hideMark/>
          </w:tcPr>
          <w:p w14:paraId="5A983F1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FR-NATIONAL_REFERENCE_CENTRES</w:t>
            </w:r>
          </w:p>
        </w:tc>
        <w:tc>
          <w:tcPr>
            <w:tcW w:w="548" w:type="dxa"/>
            <w:tcBorders>
              <w:top w:val="nil"/>
              <w:left w:val="single" w:sz="4" w:space="0" w:color="auto"/>
              <w:bottom w:val="nil"/>
              <w:right w:val="single" w:sz="4" w:space="0" w:color="auto"/>
            </w:tcBorders>
            <w:shd w:val="clear" w:color="000000" w:fill="D9D9D9"/>
            <w:noWrap/>
            <w:vAlign w:val="bottom"/>
            <w:hideMark/>
          </w:tcPr>
          <w:p w14:paraId="1DB93A4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V</w:t>
            </w:r>
          </w:p>
        </w:tc>
        <w:tc>
          <w:tcPr>
            <w:tcW w:w="548" w:type="dxa"/>
            <w:tcBorders>
              <w:top w:val="nil"/>
              <w:left w:val="single" w:sz="4" w:space="0" w:color="auto"/>
              <w:bottom w:val="nil"/>
              <w:right w:val="single" w:sz="4" w:space="0" w:color="auto"/>
            </w:tcBorders>
            <w:shd w:val="clear" w:color="000000" w:fill="D9D9D9"/>
            <w:noWrap/>
            <w:vAlign w:val="bottom"/>
            <w:hideMark/>
          </w:tcPr>
          <w:p w14:paraId="65FDCFB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5515BCF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3DFE959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6ABD772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01900C7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single" w:sz="4" w:space="0" w:color="auto"/>
              <w:bottom w:val="nil"/>
              <w:right w:val="single" w:sz="4" w:space="0" w:color="auto"/>
            </w:tcBorders>
            <w:shd w:val="clear" w:color="000000" w:fill="D9D9D9"/>
            <w:noWrap/>
            <w:vAlign w:val="bottom"/>
            <w:hideMark/>
          </w:tcPr>
          <w:p w14:paraId="0E3A5AF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single" w:sz="4" w:space="0" w:color="auto"/>
              <w:bottom w:val="nil"/>
              <w:right w:val="single" w:sz="4" w:space="0" w:color="auto"/>
            </w:tcBorders>
            <w:shd w:val="clear" w:color="000000" w:fill="D9D9D9"/>
            <w:noWrap/>
            <w:vAlign w:val="bottom"/>
            <w:hideMark/>
          </w:tcPr>
          <w:p w14:paraId="6FC1732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000000" w:fill="D9D9D9"/>
            <w:noWrap/>
            <w:vAlign w:val="bottom"/>
            <w:hideMark/>
          </w:tcPr>
          <w:p w14:paraId="6B6A8873" w14:textId="3B59BD4C" w:rsidR="007D4EE3" w:rsidRPr="004A7F3A" w:rsidRDefault="0029701B" w:rsidP="003E127B">
            <w:pPr>
              <w:spacing w:before="120" w:after="0"/>
              <w:rPr>
                <w:rFonts w:eastAsia="Times New Roman" w:cs="Tahoma"/>
                <w:sz w:val="14"/>
                <w:szCs w:val="14"/>
                <w:lang w:eastAsia="en-GB"/>
              </w:rPr>
            </w:pPr>
            <w:r>
              <w:rPr>
                <w:rFonts w:eastAsia="Times New Roman" w:cs="Tahoma"/>
                <w:sz w:val="14"/>
                <w:szCs w:val="14"/>
                <w:lang w:eastAsia="en-GB"/>
              </w:rPr>
              <w:t>Other</w:t>
            </w:r>
          </w:p>
        </w:tc>
      </w:tr>
      <w:tr w:rsidR="00605C63" w:rsidRPr="004A7F3A" w14:paraId="3825D3D0"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62005F5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Germany</w:t>
            </w:r>
          </w:p>
        </w:tc>
        <w:tc>
          <w:tcPr>
            <w:tcW w:w="2740" w:type="dxa"/>
            <w:tcBorders>
              <w:top w:val="nil"/>
              <w:left w:val="nil"/>
              <w:bottom w:val="nil"/>
              <w:right w:val="single" w:sz="4" w:space="0" w:color="auto"/>
            </w:tcBorders>
            <w:shd w:val="clear" w:color="auto" w:fill="auto"/>
            <w:noWrap/>
            <w:vAlign w:val="bottom"/>
            <w:hideMark/>
          </w:tcPr>
          <w:p w14:paraId="4356D47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DE-SURVNET@RKI-7.1</w:t>
            </w:r>
          </w:p>
        </w:tc>
        <w:tc>
          <w:tcPr>
            <w:tcW w:w="548" w:type="dxa"/>
            <w:tcBorders>
              <w:top w:val="nil"/>
              <w:left w:val="nil"/>
              <w:bottom w:val="nil"/>
              <w:right w:val="single" w:sz="4" w:space="0" w:color="auto"/>
            </w:tcBorders>
            <w:shd w:val="clear" w:color="auto" w:fill="auto"/>
            <w:noWrap/>
            <w:vAlign w:val="bottom"/>
            <w:hideMark/>
          </w:tcPr>
          <w:p w14:paraId="7520B73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03225DE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5878359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16ABB15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53BEB01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5576549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nil"/>
              <w:bottom w:val="nil"/>
              <w:right w:val="single" w:sz="4" w:space="0" w:color="auto"/>
            </w:tcBorders>
            <w:shd w:val="clear" w:color="auto" w:fill="auto"/>
            <w:noWrap/>
            <w:vAlign w:val="bottom"/>
            <w:hideMark/>
          </w:tcPr>
          <w:p w14:paraId="379931A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nil"/>
              <w:bottom w:val="nil"/>
              <w:right w:val="single" w:sz="4" w:space="0" w:color="auto"/>
            </w:tcBorders>
            <w:shd w:val="clear" w:color="auto" w:fill="auto"/>
            <w:noWrap/>
            <w:vAlign w:val="bottom"/>
            <w:hideMark/>
          </w:tcPr>
          <w:p w14:paraId="0B13927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08E79AA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Other</w:t>
            </w:r>
          </w:p>
        </w:tc>
      </w:tr>
      <w:tr w:rsidR="00605C63" w:rsidRPr="004A7F3A" w14:paraId="623FB974"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1E3B9AC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Greece</w:t>
            </w:r>
          </w:p>
        </w:tc>
        <w:tc>
          <w:tcPr>
            <w:tcW w:w="2740" w:type="dxa"/>
            <w:tcBorders>
              <w:top w:val="nil"/>
              <w:left w:val="single" w:sz="4" w:space="0" w:color="auto"/>
              <w:bottom w:val="nil"/>
              <w:right w:val="single" w:sz="4" w:space="0" w:color="auto"/>
            </w:tcBorders>
            <w:shd w:val="clear" w:color="000000" w:fill="D9D9D9"/>
            <w:noWrap/>
            <w:vAlign w:val="bottom"/>
            <w:hideMark/>
          </w:tcPr>
          <w:p w14:paraId="6FAE3B7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EL-NOTIFIABLE_DISEASES</w:t>
            </w:r>
          </w:p>
        </w:tc>
        <w:tc>
          <w:tcPr>
            <w:tcW w:w="548" w:type="dxa"/>
            <w:tcBorders>
              <w:top w:val="nil"/>
              <w:left w:val="single" w:sz="4" w:space="0" w:color="auto"/>
              <w:bottom w:val="nil"/>
              <w:right w:val="single" w:sz="4" w:space="0" w:color="auto"/>
            </w:tcBorders>
            <w:shd w:val="clear" w:color="000000" w:fill="D9D9D9"/>
            <w:noWrap/>
            <w:vAlign w:val="bottom"/>
            <w:hideMark/>
          </w:tcPr>
          <w:p w14:paraId="0A2CC07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71DF721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24298BD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68E59D4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4BCF8A2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73F3E07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6DF64CE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1CF2264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w:t>
            </w:r>
          </w:p>
        </w:tc>
        <w:tc>
          <w:tcPr>
            <w:tcW w:w="1578" w:type="dxa"/>
            <w:tcBorders>
              <w:top w:val="nil"/>
              <w:left w:val="nil"/>
              <w:bottom w:val="nil"/>
              <w:right w:val="single" w:sz="4" w:space="0" w:color="auto"/>
            </w:tcBorders>
            <w:shd w:val="clear" w:color="000000" w:fill="D9D9D9"/>
            <w:noWrap/>
            <w:vAlign w:val="bottom"/>
            <w:hideMark/>
          </w:tcPr>
          <w:p w14:paraId="10B3F16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2BB7F2E9"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41BA7F3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Hungary</w:t>
            </w:r>
          </w:p>
        </w:tc>
        <w:tc>
          <w:tcPr>
            <w:tcW w:w="2740" w:type="dxa"/>
            <w:tcBorders>
              <w:top w:val="nil"/>
              <w:left w:val="nil"/>
              <w:bottom w:val="nil"/>
              <w:right w:val="single" w:sz="4" w:space="0" w:color="auto"/>
            </w:tcBorders>
            <w:shd w:val="clear" w:color="auto" w:fill="auto"/>
            <w:noWrap/>
            <w:vAlign w:val="bottom"/>
            <w:hideMark/>
          </w:tcPr>
          <w:p w14:paraId="2AAF464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HU-Zoonoses</w:t>
            </w:r>
          </w:p>
        </w:tc>
        <w:tc>
          <w:tcPr>
            <w:tcW w:w="548" w:type="dxa"/>
            <w:tcBorders>
              <w:top w:val="nil"/>
              <w:left w:val="nil"/>
              <w:bottom w:val="nil"/>
              <w:right w:val="single" w:sz="4" w:space="0" w:color="auto"/>
            </w:tcBorders>
            <w:shd w:val="clear" w:color="auto" w:fill="auto"/>
            <w:noWrap/>
            <w:vAlign w:val="bottom"/>
            <w:hideMark/>
          </w:tcPr>
          <w:p w14:paraId="2128282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1C9A0F0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5D3F60B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636E899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22A19E1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2D3B3E6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54D527D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1067499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657DF1F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EU-2012</w:t>
            </w:r>
          </w:p>
        </w:tc>
      </w:tr>
      <w:tr w:rsidR="00605C63" w:rsidRPr="004A7F3A" w14:paraId="6B7F19D6"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4AEEA33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Iceland</w:t>
            </w:r>
          </w:p>
        </w:tc>
        <w:tc>
          <w:tcPr>
            <w:tcW w:w="2740" w:type="dxa"/>
            <w:tcBorders>
              <w:top w:val="nil"/>
              <w:left w:val="single" w:sz="4" w:space="0" w:color="auto"/>
              <w:bottom w:val="nil"/>
              <w:right w:val="single" w:sz="4" w:space="0" w:color="auto"/>
            </w:tcBorders>
            <w:shd w:val="clear" w:color="000000" w:fill="D9D9D9"/>
            <w:noWrap/>
            <w:vAlign w:val="bottom"/>
            <w:hideMark/>
          </w:tcPr>
          <w:p w14:paraId="3FF9701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IS-SUBJECT_TO_REGISTRATION</w:t>
            </w:r>
          </w:p>
        </w:tc>
        <w:tc>
          <w:tcPr>
            <w:tcW w:w="548" w:type="dxa"/>
            <w:tcBorders>
              <w:top w:val="nil"/>
              <w:left w:val="single" w:sz="4" w:space="0" w:color="auto"/>
              <w:bottom w:val="nil"/>
              <w:right w:val="single" w:sz="4" w:space="0" w:color="auto"/>
            </w:tcBorders>
            <w:shd w:val="clear" w:color="000000" w:fill="D9D9D9"/>
            <w:noWrap/>
            <w:vAlign w:val="bottom"/>
            <w:hideMark/>
          </w:tcPr>
          <w:p w14:paraId="5F4F0CA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76A4859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20A6749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2CD359E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432D1B0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3473D90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5B58CAF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w:t>
            </w:r>
          </w:p>
        </w:tc>
        <w:tc>
          <w:tcPr>
            <w:tcW w:w="548" w:type="dxa"/>
            <w:tcBorders>
              <w:top w:val="nil"/>
              <w:left w:val="single" w:sz="4" w:space="0" w:color="auto"/>
              <w:bottom w:val="nil"/>
              <w:right w:val="single" w:sz="4" w:space="0" w:color="auto"/>
            </w:tcBorders>
            <w:shd w:val="clear" w:color="000000" w:fill="D9D9D9"/>
            <w:noWrap/>
            <w:vAlign w:val="bottom"/>
            <w:hideMark/>
          </w:tcPr>
          <w:p w14:paraId="786E2F4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w:t>
            </w:r>
          </w:p>
        </w:tc>
        <w:tc>
          <w:tcPr>
            <w:tcW w:w="1578" w:type="dxa"/>
            <w:tcBorders>
              <w:top w:val="nil"/>
              <w:left w:val="nil"/>
              <w:bottom w:val="nil"/>
              <w:right w:val="single" w:sz="4" w:space="0" w:color="auto"/>
            </w:tcBorders>
            <w:shd w:val="clear" w:color="000000" w:fill="D9D9D9"/>
            <w:noWrap/>
            <w:vAlign w:val="bottom"/>
            <w:hideMark/>
          </w:tcPr>
          <w:p w14:paraId="3618ABAF" w14:textId="433E92C3"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w:t>
            </w:r>
            <w:r w:rsidR="003A12EB" w:rsidRPr="004A7F3A">
              <w:rPr>
                <w:rFonts w:eastAsia="Times New Roman" w:cs="Tahoma"/>
                <w:sz w:val="14"/>
                <w:szCs w:val="14"/>
                <w:lang w:eastAsia="en-GB"/>
              </w:rPr>
              <w:t>8</w:t>
            </w:r>
          </w:p>
        </w:tc>
      </w:tr>
      <w:tr w:rsidR="00605C63" w:rsidRPr="004A7F3A" w14:paraId="62D6D0F0"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060F089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Ireland</w:t>
            </w:r>
          </w:p>
        </w:tc>
        <w:tc>
          <w:tcPr>
            <w:tcW w:w="2740" w:type="dxa"/>
            <w:tcBorders>
              <w:top w:val="nil"/>
              <w:left w:val="nil"/>
              <w:bottom w:val="nil"/>
              <w:right w:val="single" w:sz="4" w:space="0" w:color="auto"/>
            </w:tcBorders>
            <w:shd w:val="clear" w:color="auto" w:fill="auto"/>
            <w:noWrap/>
            <w:vAlign w:val="bottom"/>
            <w:hideMark/>
          </w:tcPr>
          <w:p w14:paraId="09C9B81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IE-CIDR</w:t>
            </w:r>
          </w:p>
        </w:tc>
        <w:tc>
          <w:tcPr>
            <w:tcW w:w="548" w:type="dxa"/>
            <w:tcBorders>
              <w:top w:val="nil"/>
              <w:left w:val="nil"/>
              <w:bottom w:val="nil"/>
              <w:right w:val="single" w:sz="4" w:space="0" w:color="auto"/>
            </w:tcBorders>
            <w:shd w:val="clear" w:color="auto" w:fill="auto"/>
            <w:noWrap/>
            <w:vAlign w:val="bottom"/>
            <w:hideMark/>
          </w:tcPr>
          <w:p w14:paraId="1AA904E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612DFFF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3CC2603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07F290A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7FA4FD2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778FFBB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69B8406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5C8C37D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0A470D5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EU-2008</w:t>
            </w:r>
          </w:p>
        </w:tc>
      </w:tr>
      <w:tr w:rsidR="00605C63" w:rsidRPr="004A7F3A" w14:paraId="2565C7D6"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661A725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Italy</w:t>
            </w:r>
          </w:p>
        </w:tc>
        <w:tc>
          <w:tcPr>
            <w:tcW w:w="2740" w:type="dxa"/>
            <w:tcBorders>
              <w:top w:val="nil"/>
              <w:left w:val="single" w:sz="4" w:space="0" w:color="auto"/>
              <w:bottom w:val="nil"/>
              <w:right w:val="single" w:sz="4" w:space="0" w:color="auto"/>
            </w:tcBorders>
            <w:shd w:val="clear" w:color="000000" w:fill="D9D9D9"/>
            <w:noWrap/>
            <w:vAlign w:val="bottom"/>
            <w:hideMark/>
          </w:tcPr>
          <w:p w14:paraId="1FA11D5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IT-NRS</w:t>
            </w:r>
          </w:p>
        </w:tc>
        <w:tc>
          <w:tcPr>
            <w:tcW w:w="548" w:type="dxa"/>
            <w:tcBorders>
              <w:top w:val="nil"/>
              <w:left w:val="single" w:sz="4" w:space="0" w:color="auto"/>
              <w:bottom w:val="nil"/>
              <w:right w:val="single" w:sz="4" w:space="0" w:color="auto"/>
            </w:tcBorders>
            <w:shd w:val="clear" w:color="000000" w:fill="D9D9D9"/>
            <w:noWrap/>
            <w:vAlign w:val="bottom"/>
            <w:hideMark/>
          </w:tcPr>
          <w:p w14:paraId="02EF731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371FF79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6069ACA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511162E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230B0DE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single" w:sz="4" w:space="0" w:color="auto"/>
              <w:bottom w:val="nil"/>
              <w:right w:val="single" w:sz="4" w:space="0" w:color="auto"/>
            </w:tcBorders>
            <w:shd w:val="clear" w:color="000000" w:fill="D9D9D9"/>
            <w:noWrap/>
            <w:vAlign w:val="bottom"/>
            <w:hideMark/>
          </w:tcPr>
          <w:p w14:paraId="7A2151A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6B463B5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0060A54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000000" w:fill="D9D9D9"/>
            <w:noWrap/>
            <w:vAlign w:val="bottom"/>
            <w:hideMark/>
          </w:tcPr>
          <w:p w14:paraId="16B1285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Other</w:t>
            </w:r>
          </w:p>
        </w:tc>
      </w:tr>
      <w:tr w:rsidR="00605C63" w:rsidRPr="004A7F3A" w14:paraId="319B87BB"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4CB014F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Latvia</w:t>
            </w:r>
          </w:p>
        </w:tc>
        <w:tc>
          <w:tcPr>
            <w:tcW w:w="2740" w:type="dxa"/>
            <w:tcBorders>
              <w:top w:val="nil"/>
              <w:left w:val="nil"/>
              <w:bottom w:val="nil"/>
              <w:right w:val="single" w:sz="4" w:space="0" w:color="auto"/>
            </w:tcBorders>
            <w:shd w:val="clear" w:color="auto" w:fill="auto"/>
            <w:noWrap/>
            <w:vAlign w:val="bottom"/>
            <w:hideMark/>
          </w:tcPr>
          <w:p w14:paraId="1A2245C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LV-BSN</w:t>
            </w:r>
          </w:p>
        </w:tc>
        <w:tc>
          <w:tcPr>
            <w:tcW w:w="548" w:type="dxa"/>
            <w:tcBorders>
              <w:top w:val="nil"/>
              <w:left w:val="nil"/>
              <w:bottom w:val="nil"/>
              <w:right w:val="single" w:sz="4" w:space="0" w:color="auto"/>
            </w:tcBorders>
            <w:shd w:val="clear" w:color="auto" w:fill="auto"/>
            <w:noWrap/>
            <w:vAlign w:val="bottom"/>
            <w:hideMark/>
          </w:tcPr>
          <w:p w14:paraId="2FDC375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2E43E01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7CF8CA3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6F7377F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3BCE885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7D5229D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541BA63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43C59F0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0F725E62" w14:textId="4F5DB90E" w:rsidR="007D4EE3" w:rsidRPr="004A7F3A" w:rsidRDefault="00F565E4"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1762B63D"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36B2D84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Liechtenstein</w:t>
            </w:r>
          </w:p>
        </w:tc>
        <w:tc>
          <w:tcPr>
            <w:tcW w:w="2740" w:type="dxa"/>
            <w:tcBorders>
              <w:top w:val="nil"/>
              <w:left w:val="single" w:sz="4" w:space="0" w:color="auto"/>
              <w:bottom w:val="nil"/>
              <w:right w:val="single" w:sz="4" w:space="0" w:color="auto"/>
            </w:tcBorders>
            <w:shd w:val="clear" w:color="000000" w:fill="D9D9D9"/>
            <w:noWrap/>
            <w:vAlign w:val="bottom"/>
            <w:hideMark/>
          </w:tcPr>
          <w:p w14:paraId="061F7F8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LI-TRIC</w:t>
            </w:r>
          </w:p>
        </w:tc>
        <w:tc>
          <w:tcPr>
            <w:tcW w:w="548" w:type="dxa"/>
            <w:tcBorders>
              <w:top w:val="nil"/>
              <w:left w:val="single" w:sz="4" w:space="0" w:color="auto"/>
              <w:bottom w:val="nil"/>
              <w:right w:val="single" w:sz="4" w:space="0" w:color="auto"/>
            </w:tcBorders>
            <w:shd w:val="clear" w:color="000000" w:fill="D9D9D9"/>
            <w:noWrap/>
            <w:vAlign w:val="bottom"/>
            <w:hideMark/>
          </w:tcPr>
          <w:p w14:paraId="016CE55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49A71F6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2B6BD83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635233E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639D3BA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2205FAE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5A77B1E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3CF0F56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w:t>
            </w:r>
          </w:p>
        </w:tc>
        <w:tc>
          <w:tcPr>
            <w:tcW w:w="1578" w:type="dxa"/>
            <w:tcBorders>
              <w:top w:val="nil"/>
              <w:left w:val="nil"/>
              <w:bottom w:val="nil"/>
              <w:right w:val="single" w:sz="4" w:space="0" w:color="auto"/>
            </w:tcBorders>
            <w:shd w:val="clear" w:color="000000" w:fill="D9D9D9"/>
            <w:noWrap/>
            <w:vAlign w:val="bottom"/>
            <w:hideMark/>
          </w:tcPr>
          <w:p w14:paraId="0302A438" w14:textId="59911D82" w:rsidR="007D4EE3" w:rsidRPr="004A7F3A" w:rsidRDefault="00F565E4"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00EA5FC2"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40F5F6F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Lithuania</w:t>
            </w:r>
          </w:p>
        </w:tc>
        <w:tc>
          <w:tcPr>
            <w:tcW w:w="2740" w:type="dxa"/>
            <w:tcBorders>
              <w:top w:val="nil"/>
              <w:left w:val="nil"/>
              <w:bottom w:val="nil"/>
              <w:right w:val="single" w:sz="4" w:space="0" w:color="auto"/>
            </w:tcBorders>
            <w:shd w:val="clear" w:color="auto" w:fill="auto"/>
            <w:noWrap/>
            <w:vAlign w:val="bottom"/>
            <w:hideMark/>
          </w:tcPr>
          <w:p w14:paraId="3711149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LT-COMMUNICABLE_DISEASES</w:t>
            </w:r>
          </w:p>
        </w:tc>
        <w:tc>
          <w:tcPr>
            <w:tcW w:w="548" w:type="dxa"/>
            <w:tcBorders>
              <w:top w:val="nil"/>
              <w:left w:val="nil"/>
              <w:bottom w:val="nil"/>
              <w:right w:val="single" w:sz="4" w:space="0" w:color="auto"/>
            </w:tcBorders>
            <w:shd w:val="clear" w:color="auto" w:fill="auto"/>
            <w:noWrap/>
            <w:vAlign w:val="bottom"/>
            <w:hideMark/>
          </w:tcPr>
          <w:p w14:paraId="254EAB2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5609FFD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58A9C0A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03510B8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5733343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626738D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2CFB66B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nil"/>
              <w:bottom w:val="nil"/>
              <w:right w:val="single" w:sz="4" w:space="0" w:color="auto"/>
            </w:tcBorders>
            <w:shd w:val="clear" w:color="auto" w:fill="auto"/>
            <w:noWrap/>
            <w:vAlign w:val="bottom"/>
            <w:hideMark/>
          </w:tcPr>
          <w:p w14:paraId="439F7A0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581A383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4734FB47"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3A68528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Luxembourg</w:t>
            </w:r>
          </w:p>
        </w:tc>
        <w:tc>
          <w:tcPr>
            <w:tcW w:w="2740" w:type="dxa"/>
            <w:tcBorders>
              <w:top w:val="nil"/>
              <w:left w:val="single" w:sz="4" w:space="0" w:color="auto"/>
              <w:bottom w:val="nil"/>
              <w:right w:val="single" w:sz="4" w:space="0" w:color="auto"/>
            </w:tcBorders>
            <w:shd w:val="clear" w:color="000000" w:fill="D9D9D9"/>
            <w:noWrap/>
            <w:vAlign w:val="bottom"/>
            <w:hideMark/>
          </w:tcPr>
          <w:p w14:paraId="4F3379C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LU-SYSTEM1</w:t>
            </w:r>
          </w:p>
        </w:tc>
        <w:tc>
          <w:tcPr>
            <w:tcW w:w="548" w:type="dxa"/>
            <w:tcBorders>
              <w:top w:val="nil"/>
              <w:left w:val="single" w:sz="4" w:space="0" w:color="auto"/>
              <w:bottom w:val="nil"/>
              <w:right w:val="single" w:sz="4" w:space="0" w:color="auto"/>
            </w:tcBorders>
            <w:shd w:val="clear" w:color="000000" w:fill="D9D9D9"/>
            <w:noWrap/>
            <w:vAlign w:val="bottom"/>
            <w:hideMark/>
          </w:tcPr>
          <w:p w14:paraId="04D2F5E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2C312E8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75D3026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3B1011F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728D335F" w14:textId="297B9C55" w:rsidR="007D4EE3" w:rsidRPr="004A7F3A" w:rsidRDefault="005B5ABF"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2DF8C82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3C22ADA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single" w:sz="4" w:space="0" w:color="auto"/>
              <w:bottom w:val="nil"/>
              <w:right w:val="single" w:sz="4" w:space="0" w:color="auto"/>
            </w:tcBorders>
            <w:shd w:val="clear" w:color="000000" w:fill="D9D9D9"/>
            <w:noWrap/>
            <w:vAlign w:val="bottom"/>
            <w:hideMark/>
          </w:tcPr>
          <w:p w14:paraId="196D79D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000000" w:fill="D9D9D9"/>
            <w:noWrap/>
            <w:vAlign w:val="bottom"/>
            <w:hideMark/>
          </w:tcPr>
          <w:p w14:paraId="17E855EC" w14:textId="4BCD6A51"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w:t>
            </w:r>
            <w:r w:rsidR="005B5ABF" w:rsidRPr="004A7F3A">
              <w:rPr>
                <w:rFonts w:eastAsia="Times New Roman" w:cs="Tahoma"/>
                <w:sz w:val="14"/>
                <w:szCs w:val="14"/>
                <w:lang w:eastAsia="en-GB"/>
              </w:rPr>
              <w:t>18</w:t>
            </w:r>
          </w:p>
        </w:tc>
      </w:tr>
      <w:tr w:rsidR="00605C63" w:rsidRPr="004A7F3A" w14:paraId="5A5F4E6F"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5698A3A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Malta</w:t>
            </w:r>
          </w:p>
        </w:tc>
        <w:tc>
          <w:tcPr>
            <w:tcW w:w="2740" w:type="dxa"/>
            <w:tcBorders>
              <w:top w:val="nil"/>
              <w:left w:val="nil"/>
              <w:bottom w:val="nil"/>
              <w:right w:val="single" w:sz="4" w:space="0" w:color="auto"/>
            </w:tcBorders>
            <w:shd w:val="clear" w:color="auto" w:fill="auto"/>
            <w:noWrap/>
            <w:vAlign w:val="bottom"/>
            <w:hideMark/>
          </w:tcPr>
          <w:p w14:paraId="38CAA40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MT-DISEASE_SURVEILLANCE</w:t>
            </w:r>
          </w:p>
        </w:tc>
        <w:tc>
          <w:tcPr>
            <w:tcW w:w="548" w:type="dxa"/>
            <w:tcBorders>
              <w:top w:val="nil"/>
              <w:left w:val="nil"/>
              <w:bottom w:val="nil"/>
              <w:right w:val="single" w:sz="4" w:space="0" w:color="auto"/>
            </w:tcBorders>
            <w:shd w:val="clear" w:color="auto" w:fill="auto"/>
            <w:noWrap/>
            <w:vAlign w:val="bottom"/>
            <w:hideMark/>
          </w:tcPr>
          <w:p w14:paraId="51040F3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23C7926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3A4978A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2FA7623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436F718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256345E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6C7E4E9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4498F6B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1578" w:type="dxa"/>
            <w:tcBorders>
              <w:top w:val="nil"/>
              <w:left w:val="nil"/>
              <w:bottom w:val="nil"/>
              <w:right w:val="single" w:sz="4" w:space="0" w:color="auto"/>
            </w:tcBorders>
            <w:shd w:val="clear" w:color="auto" w:fill="auto"/>
            <w:noWrap/>
            <w:vAlign w:val="bottom"/>
            <w:hideMark/>
          </w:tcPr>
          <w:p w14:paraId="3B3E26B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1AFDAD5F"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1550D50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Netherlands</w:t>
            </w:r>
          </w:p>
        </w:tc>
        <w:tc>
          <w:tcPr>
            <w:tcW w:w="2740" w:type="dxa"/>
            <w:tcBorders>
              <w:top w:val="nil"/>
              <w:left w:val="single" w:sz="4" w:space="0" w:color="auto"/>
              <w:bottom w:val="nil"/>
              <w:right w:val="single" w:sz="4" w:space="0" w:color="auto"/>
            </w:tcBorders>
            <w:shd w:val="clear" w:color="000000" w:fill="D9D9D9"/>
            <w:noWrap/>
            <w:vAlign w:val="bottom"/>
            <w:hideMark/>
          </w:tcPr>
          <w:p w14:paraId="5908A20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NL-OSIRIS</w:t>
            </w:r>
          </w:p>
        </w:tc>
        <w:tc>
          <w:tcPr>
            <w:tcW w:w="548" w:type="dxa"/>
            <w:tcBorders>
              <w:top w:val="nil"/>
              <w:left w:val="single" w:sz="4" w:space="0" w:color="auto"/>
              <w:bottom w:val="nil"/>
              <w:right w:val="single" w:sz="4" w:space="0" w:color="auto"/>
            </w:tcBorders>
            <w:shd w:val="clear" w:color="000000" w:fill="D9D9D9"/>
            <w:noWrap/>
            <w:vAlign w:val="bottom"/>
            <w:hideMark/>
          </w:tcPr>
          <w:p w14:paraId="3B3C49B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12E40E2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51FEC10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353F4C5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5860343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7DC00BE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4B967D2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single" w:sz="4" w:space="0" w:color="auto"/>
              <w:bottom w:val="nil"/>
              <w:right w:val="single" w:sz="4" w:space="0" w:color="auto"/>
            </w:tcBorders>
            <w:shd w:val="clear" w:color="000000" w:fill="D9D9D9"/>
            <w:noWrap/>
            <w:vAlign w:val="bottom"/>
            <w:hideMark/>
          </w:tcPr>
          <w:p w14:paraId="674C3D5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1578" w:type="dxa"/>
            <w:tcBorders>
              <w:top w:val="nil"/>
              <w:left w:val="nil"/>
              <w:bottom w:val="nil"/>
              <w:right w:val="single" w:sz="4" w:space="0" w:color="auto"/>
            </w:tcBorders>
            <w:shd w:val="clear" w:color="000000" w:fill="D9D9D9"/>
            <w:noWrap/>
            <w:vAlign w:val="bottom"/>
            <w:hideMark/>
          </w:tcPr>
          <w:p w14:paraId="72D9722A" w14:textId="501855B1"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w:t>
            </w:r>
            <w:r w:rsidR="0025472E">
              <w:rPr>
                <w:rFonts w:eastAsia="Times New Roman" w:cs="Tahoma"/>
                <w:sz w:val="14"/>
                <w:szCs w:val="14"/>
                <w:lang w:eastAsia="en-GB"/>
              </w:rPr>
              <w:t>1</w:t>
            </w:r>
            <w:r w:rsidRPr="004A7F3A">
              <w:rPr>
                <w:rFonts w:eastAsia="Times New Roman" w:cs="Tahoma"/>
                <w:sz w:val="14"/>
                <w:szCs w:val="14"/>
                <w:lang w:eastAsia="en-GB"/>
              </w:rPr>
              <w:t>8</w:t>
            </w:r>
          </w:p>
        </w:tc>
      </w:tr>
      <w:tr w:rsidR="00605C63" w:rsidRPr="004A7F3A" w14:paraId="083AFE28"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10F0CF9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Norway</w:t>
            </w:r>
          </w:p>
        </w:tc>
        <w:tc>
          <w:tcPr>
            <w:tcW w:w="2740" w:type="dxa"/>
            <w:tcBorders>
              <w:top w:val="nil"/>
              <w:left w:val="nil"/>
              <w:bottom w:val="nil"/>
              <w:right w:val="single" w:sz="4" w:space="0" w:color="auto"/>
            </w:tcBorders>
            <w:shd w:val="clear" w:color="auto" w:fill="auto"/>
            <w:noWrap/>
            <w:vAlign w:val="bottom"/>
            <w:hideMark/>
          </w:tcPr>
          <w:p w14:paraId="0158583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NO-MSIS_A</w:t>
            </w:r>
          </w:p>
        </w:tc>
        <w:tc>
          <w:tcPr>
            <w:tcW w:w="548" w:type="dxa"/>
            <w:tcBorders>
              <w:top w:val="nil"/>
              <w:left w:val="nil"/>
              <w:bottom w:val="nil"/>
              <w:right w:val="single" w:sz="4" w:space="0" w:color="auto"/>
            </w:tcBorders>
            <w:shd w:val="clear" w:color="auto" w:fill="auto"/>
            <w:noWrap/>
            <w:vAlign w:val="bottom"/>
            <w:hideMark/>
          </w:tcPr>
          <w:p w14:paraId="353C8AE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6EA9626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7330443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1DB60F4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6C7414A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3C48C43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4E9CA73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6AC86B2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25C4C15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2B124CAD"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5A34F13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Poland</w:t>
            </w:r>
          </w:p>
        </w:tc>
        <w:tc>
          <w:tcPr>
            <w:tcW w:w="2740" w:type="dxa"/>
            <w:tcBorders>
              <w:top w:val="nil"/>
              <w:left w:val="single" w:sz="4" w:space="0" w:color="auto"/>
              <w:bottom w:val="nil"/>
              <w:right w:val="single" w:sz="4" w:space="0" w:color="auto"/>
            </w:tcBorders>
            <w:shd w:val="clear" w:color="000000" w:fill="D9D9D9"/>
            <w:noWrap/>
            <w:vAlign w:val="bottom"/>
            <w:hideMark/>
          </w:tcPr>
          <w:p w14:paraId="3C15A22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PL-NATIONAL_SURVEILLANCE</w:t>
            </w:r>
          </w:p>
        </w:tc>
        <w:tc>
          <w:tcPr>
            <w:tcW w:w="548" w:type="dxa"/>
            <w:tcBorders>
              <w:top w:val="nil"/>
              <w:left w:val="single" w:sz="4" w:space="0" w:color="auto"/>
              <w:bottom w:val="nil"/>
              <w:right w:val="single" w:sz="4" w:space="0" w:color="auto"/>
            </w:tcBorders>
            <w:shd w:val="clear" w:color="000000" w:fill="D9D9D9"/>
            <w:noWrap/>
            <w:vAlign w:val="bottom"/>
            <w:hideMark/>
          </w:tcPr>
          <w:p w14:paraId="24FB1C6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507D213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6B6F07C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1D893E5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352A927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3D418B7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168F27F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0CFD3E9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000000" w:fill="D9D9D9"/>
            <w:noWrap/>
            <w:vAlign w:val="bottom"/>
            <w:hideMark/>
          </w:tcPr>
          <w:p w14:paraId="6A571D7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EU-2008</w:t>
            </w:r>
          </w:p>
        </w:tc>
      </w:tr>
      <w:tr w:rsidR="00605C63" w:rsidRPr="004A7F3A" w14:paraId="53E06590"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781458A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Portugal</w:t>
            </w:r>
          </w:p>
        </w:tc>
        <w:tc>
          <w:tcPr>
            <w:tcW w:w="2740" w:type="dxa"/>
            <w:tcBorders>
              <w:top w:val="nil"/>
              <w:left w:val="nil"/>
              <w:bottom w:val="nil"/>
              <w:right w:val="single" w:sz="4" w:space="0" w:color="auto"/>
            </w:tcBorders>
            <w:shd w:val="clear" w:color="auto" w:fill="auto"/>
            <w:noWrap/>
            <w:vAlign w:val="bottom"/>
            <w:hideMark/>
          </w:tcPr>
          <w:p w14:paraId="3F999CF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PT-TRICHINOSIS</w:t>
            </w:r>
          </w:p>
        </w:tc>
        <w:tc>
          <w:tcPr>
            <w:tcW w:w="548" w:type="dxa"/>
            <w:tcBorders>
              <w:top w:val="nil"/>
              <w:left w:val="nil"/>
              <w:bottom w:val="nil"/>
              <w:right w:val="single" w:sz="4" w:space="0" w:color="auto"/>
            </w:tcBorders>
            <w:shd w:val="clear" w:color="auto" w:fill="auto"/>
            <w:noWrap/>
            <w:vAlign w:val="bottom"/>
            <w:hideMark/>
          </w:tcPr>
          <w:p w14:paraId="03268BB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78CAADD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127CF4F2" w14:textId="0E818614" w:rsidR="007D4EE3" w:rsidRPr="004A7F3A" w:rsidRDefault="004749DC" w:rsidP="003E127B">
            <w:pPr>
              <w:spacing w:before="120" w:after="0"/>
              <w:rPr>
                <w:rFonts w:eastAsia="Times New Roman" w:cs="Tahoma"/>
                <w:sz w:val="14"/>
                <w:szCs w:val="14"/>
                <w:lang w:eastAsia="en-GB"/>
              </w:rPr>
            </w:pPr>
            <w:r>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5ECDA37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12058F0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nil"/>
              <w:bottom w:val="nil"/>
              <w:right w:val="single" w:sz="4" w:space="0" w:color="auto"/>
            </w:tcBorders>
            <w:shd w:val="clear" w:color="auto" w:fill="auto"/>
            <w:noWrap/>
            <w:vAlign w:val="bottom"/>
            <w:hideMark/>
          </w:tcPr>
          <w:p w14:paraId="7A4D0E9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79353A7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nil"/>
              <w:bottom w:val="nil"/>
              <w:right w:val="single" w:sz="4" w:space="0" w:color="auto"/>
            </w:tcBorders>
            <w:shd w:val="clear" w:color="auto" w:fill="auto"/>
            <w:noWrap/>
            <w:vAlign w:val="bottom"/>
            <w:hideMark/>
          </w:tcPr>
          <w:p w14:paraId="0A10433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2CEE7A8E" w14:textId="4ED92CDA"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w:t>
            </w:r>
            <w:r w:rsidR="00E02C3B" w:rsidRPr="004A7F3A">
              <w:rPr>
                <w:rFonts w:eastAsia="Times New Roman" w:cs="Tahoma"/>
                <w:sz w:val="14"/>
                <w:szCs w:val="14"/>
                <w:lang w:eastAsia="en-GB"/>
              </w:rPr>
              <w:t>8</w:t>
            </w:r>
          </w:p>
        </w:tc>
      </w:tr>
      <w:tr w:rsidR="00605C63" w:rsidRPr="004A7F3A" w14:paraId="0F01DB33"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62A52631"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Romania</w:t>
            </w:r>
          </w:p>
        </w:tc>
        <w:tc>
          <w:tcPr>
            <w:tcW w:w="2740" w:type="dxa"/>
            <w:tcBorders>
              <w:top w:val="nil"/>
              <w:left w:val="single" w:sz="4" w:space="0" w:color="auto"/>
              <w:bottom w:val="nil"/>
              <w:right w:val="single" w:sz="4" w:space="0" w:color="auto"/>
            </w:tcBorders>
            <w:shd w:val="clear" w:color="000000" w:fill="D9D9D9"/>
            <w:noWrap/>
            <w:vAlign w:val="bottom"/>
            <w:hideMark/>
          </w:tcPr>
          <w:p w14:paraId="74B720A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RO-</w:t>
            </w:r>
            <w:proofErr w:type="spellStart"/>
            <w:r w:rsidRPr="004A7F3A">
              <w:rPr>
                <w:rFonts w:eastAsia="Times New Roman" w:cs="Tahoma"/>
                <w:sz w:val="14"/>
                <w:szCs w:val="14"/>
                <w:lang w:eastAsia="en-GB"/>
              </w:rPr>
              <w:t>RNSSy</w:t>
            </w:r>
            <w:proofErr w:type="spellEnd"/>
          </w:p>
        </w:tc>
        <w:tc>
          <w:tcPr>
            <w:tcW w:w="548" w:type="dxa"/>
            <w:tcBorders>
              <w:top w:val="nil"/>
              <w:left w:val="single" w:sz="4" w:space="0" w:color="auto"/>
              <w:bottom w:val="nil"/>
              <w:right w:val="single" w:sz="4" w:space="0" w:color="auto"/>
            </w:tcBorders>
            <w:shd w:val="clear" w:color="000000" w:fill="D9D9D9"/>
            <w:noWrap/>
            <w:vAlign w:val="bottom"/>
            <w:hideMark/>
          </w:tcPr>
          <w:p w14:paraId="306DAF3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7AE7C27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281D631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0A6F6B5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6F76618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2B87EE8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single" w:sz="4" w:space="0" w:color="auto"/>
              <w:bottom w:val="nil"/>
              <w:right w:val="single" w:sz="4" w:space="0" w:color="auto"/>
            </w:tcBorders>
            <w:shd w:val="clear" w:color="000000" w:fill="D9D9D9"/>
            <w:noWrap/>
            <w:vAlign w:val="bottom"/>
            <w:hideMark/>
          </w:tcPr>
          <w:p w14:paraId="18D6885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7939162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000000" w:fill="D9D9D9"/>
            <w:noWrap/>
            <w:vAlign w:val="bottom"/>
            <w:hideMark/>
          </w:tcPr>
          <w:p w14:paraId="1E14620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19104750"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5542E48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Slovakia</w:t>
            </w:r>
          </w:p>
        </w:tc>
        <w:tc>
          <w:tcPr>
            <w:tcW w:w="2740" w:type="dxa"/>
            <w:tcBorders>
              <w:top w:val="nil"/>
              <w:left w:val="nil"/>
              <w:bottom w:val="nil"/>
              <w:right w:val="single" w:sz="4" w:space="0" w:color="auto"/>
            </w:tcBorders>
            <w:shd w:val="clear" w:color="auto" w:fill="auto"/>
            <w:noWrap/>
            <w:vAlign w:val="bottom"/>
            <w:hideMark/>
          </w:tcPr>
          <w:p w14:paraId="0246074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SK-EPIS</w:t>
            </w:r>
          </w:p>
        </w:tc>
        <w:tc>
          <w:tcPr>
            <w:tcW w:w="548" w:type="dxa"/>
            <w:tcBorders>
              <w:top w:val="nil"/>
              <w:left w:val="nil"/>
              <w:bottom w:val="nil"/>
              <w:right w:val="single" w:sz="4" w:space="0" w:color="auto"/>
            </w:tcBorders>
            <w:shd w:val="clear" w:color="auto" w:fill="auto"/>
            <w:noWrap/>
            <w:vAlign w:val="bottom"/>
            <w:hideMark/>
          </w:tcPr>
          <w:p w14:paraId="5393034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49F12FE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44C8A15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A</w:t>
            </w:r>
          </w:p>
        </w:tc>
        <w:tc>
          <w:tcPr>
            <w:tcW w:w="548" w:type="dxa"/>
            <w:tcBorders>
              <w:top w:val="nil"/>
              <w:left w:val="nil"/>
              <w:bottom w:val="nil"/>
              <w:right w:val="single" w:sz="4" w:space="0" w:color="auto"/>
            </w:tcBorders>
            <w:shd w:val="clear" w:color="auto" w:fill="auto"/>
            <w:noWrap/>
            <w:vAlign w:val="bottom"/>
            <w:hideMark/>
          </w:tcPr>
          <w:p w14:paraId="5FE26550"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0B559EA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6EB5534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3D488B0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230998D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4238D355" w14:textId="17056874"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w:t>
            </w:r>
            <w:r w:rsidR="00074E8E">
              <w:rPr>
                <w:rFonts w:eastAsia="Times New Roman" w:cs="Tahoma"/>
                <w:sz w:val="14"/>
                <w:szCs w:val="14"/>
                <w:lang w:eastAsia="en-GB"/>
              </w:rPr>
              <w:t>8</w:t>
            </w:r>
          </w:p>
        </w:tc>
      </w:tr>
      <w:tr w:rsidR="00605C63" w:rsidRPr="004A7F3A" w14:paraId="1FA11554" w14:textId="77777777" w:rsidTr="00034328">
        <w:trPr>
          <w:trHeight w:val="237"/>
        </w:trPr>
        <w:tc>
          <w:tcPr>
            <w:tcW w:w="1165" w:type="dxa"/>
            <w:tcBorders>
              <w:top w:val="nil"/>
              <w:left w:val="single" w:sz="4" w:space="0" w:color="auto"/>
              <w:bottom w:val="nil"/>
              <w:right w:val="single" w:sz="4" w:space="0" w:color="auto"/>
            </w:tcBorders>
            <w:shd w:val="clear" w:color="000000" w:fill="D9D9D9"/>
            <w:noWrap/>
            <w:vAlign w:val="bottom"/>
            <w:hideMark/>
          </w:tcPr>
          <w:p w14:paraId="208C7CF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Slovenia</w:t>
            </w:r>
          </w:p>
        </w:tc>
        <w:tc>
          <w:tcPr>
            <w:tcW w:w="2740" w:type="dxa"/>
            <w:tcBorders>
              <w:top w:val="nil"/>
              <w:left w:val="single" w:sz="4" w:space="0" w:color="auto"/>
              <w:bottom w:val="nil"/>
              <w:right w:val="single" w:sz="4" w:space="0" w:color="auto"/>
            </w:tcBorders>
            <w:shd w:val="clear" w:color="000000" w:fill="D9D9D9"/>
            <w:noWrap/>
            <w:vAlign w:val="bottom"/>
            <w:hideMark/>
          </w:tcPr>
          <w:p w14:paraId="48A2CC5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SI-SURVIVAL</w:t>
            </w:r>
          </w:p>
        </w:tc>
        <w:tc>
          <w:tcPr>
            <w:tcW w:w="548" w:type="dxa"/>
            <w:tcBorders>
              <w:top w:val="nil"/>
              <w:left w:val="single" w:sz="4" w:space="0" w:color="auto"/>
              <w:bottom w:val="nil"/>
              <w:right w:val="single" w:sz="4" w:space="0" w:color="auto"/>
            </w:tcBorders>
            <w:shd w:val="clear" w:color="000000" w:fill="D9D9D9"/>
            <w:noWrap/>
            <w:vAlign w:val="bottom"/>
            <w:hideMark/>
          </w:tcPr>
          <w:p w14:paraId="28864A2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nil"/>
              <w:right w:val="single" w:sz="4" w:space="0" w:color="auto"/>
            </w:tcBorders>
            <w:shd w:val="clear" w:color="000000" w:fill="D9D9D9"/>
            <w:noWrap/>
            <w:vAlign w:val="bottom"/>
            <w:hideMark/>
          </w:tcPr>
          <w:p w14:paraId="42D76926"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nil"/>
              <w:right w:val="single" w:sz="4" w:space="0" w:color="auto"/>
            </w:tcBorders>
            <w:shd w:val="clear" w:color="000000" w:fill="D9D9D9"/>
            <w:noWrap/>
            <w:vAlign w:val="bottom"/>
            <w:hideMark/>
          </w:tcPr>
          <w:p w14:paraId="5CE9AC5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nil"/>
              <w:right w:val="single" w:sz="4" w:space="0" w:color="auto"/>
            </w:tcBorders>
            <w:shd w:val="clear" w:color="000000" w:fill="D9D9D9"/>
            <w:noWrap/>
            <w:vAlign w:val="bottom"/>
            <w:hideMark/>
          </w:tcPr>
          <w:p w14:paraId="0B86A2F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nil"/>
              <w:right w:val="single" w:sz="4" w:space="0" w:color="auto"/>
            </w:tcBorders>
            <w:shd w:val="clear" w:color="000000" w:fill="D9D9D9"/>
            <w:noWrap/>
            <w:vAlign w:val="bottom"/>
            <w:hideMark/>
          </w:tcPr>
          <w:p w14:paraId="47277BA8"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50BFBB4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667FF45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nil"/>
              <w:right w:val="single" w:sz="4" w:space="0" w:color="auto"/>
            </w:tcBorders>
            <w:shd w:val="clear" w:color="000000" w:fill="D9D9D9"/>
            <w:noWrap/>
            <w:vAlign w:val="bottom"/>
            <w:hideMark/>
          </w:tcPr>
          <w:p w14:paraId="55CEC41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000000" w:fill="D9D9D9"/>
            <w:noWrap/>
            <w:vAlign w:val="bottom"/>
            <w:hideMark/>
          </w:tcPr>
          <w:p w14:paraId="78458F8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EU-2008</w:t>
            </w:r>
          </w:p>
        </w:tc>
      </w:tr>
      <w:tr w:rsidR="00605C63" w:rsidRPr="004A7F3A" w14:paraId="2C3BEFB8" w14:textId="77777777" w:rsidTr="00034328">
        <w:trPr>
          <w:trHeight w:val="237"/>
        </w:trPr>
        <w:tc>
          <w:tcPr>
            <w:tcW w:w="1165" w:type="dxa"/>
            <w:tcBorders>
              <w:top w:val="nil"/>
              <w:left w:val="single" w:sz="4" w:space="0" w:color="auto"/>
              <w:bottom w:val="nil"/>
              <w:right w:val="single" w:sz="4" w:space="0" w:color="auto"/>
            </w:tcBorders>
            <w:shd w:val="clear" w:color="auto" w:fill="auto"/>
            <w:noWrap/>
            <w:vAlign w:val="bottom"/>
            <w:hideMark/>
          </w:tcPr>
          <w:p w14:paraId="01BBE9CC"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Spain</w:t>
            </w:r>
          </w:p>
        </w:tc>
        <w:tc>
          <w:tcPr>
            <w:tcW w:w="2740" w:type="dxa"/>
            <w:tcBorders>
              <w:top w:val="nil"/>
              <w:left w:val="nil"/>
              <w:bottom w:val="nil"/>
              <w:right w:val="single" w:sz="4" w:space="0" w:color="auto"/>
            </w:tcBorders>
            <w:shd w:val="clear" w:color="auto" w:fill="auto"/>
            <w:noWrap/>
            <w:vAlign w:val="bottom"/>
            <w:hideMark/>
          </w:tcPr>
          <w:p w14:paraId="2104E60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ES-STATUTORY_DISEASES</w:t>
            </w:r>
          </w:p>
        </w:tc>
        <w:tc>
          <w:tcPr>
            <w:tcW w:w="548" w:type="dxa"/>
            <w:tcBorders>
              <w:top w:val="nil"/>
              <w:left w:val="nil"/>
              <w:bottom w:val="nil"/>
              <w:right w:val="single" w:sz="4" w:space="0" w:color="auto"/>
            </w:tcBorders>
            <w:shd w:val="clear" w:color="auto" w:fill="auto"/>
            <w:noWrap/>
            <w:vAlign w:val="bottom"/>
            <w:hideMark/>
          </w:tcPr>
          <w:p w14:paraId="53F8F60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nil"/>
              <w:bottom w:val="nil"/>
              <w:right w:val="single" w:sz="4" w:space="0" w:color="auto"/>
            </w:tcBorders>
            <w:shd w:val="clear" w:color="auto" w:fill="auto"/>
            <w:noWrap/>
            <w:vAlign w:val="bottom"/>
            <w:hideMark/>
          </w:tcPr>
          <w:p w14:paraId="11045653"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nil"/>
              <w:bottom w:val="nil"/>
              <w:right w:val="single" w:sz="4" w:space="0" w:color="auto"/>
            </w:tcBorders>
            <w:shd w:val="clear" w:color="auto" w:fill="auto"/>
            <w:noWrap/>
            <w:vAlign w:val="bottom"/>
            <w:hideMark/>
          </w:tcPr>
          <w:p w14:paraId="6E705C7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nil"/>
              <w:bottom w:val="nil"/>
              <w:right w:val="single" w:sz="4" w:space="0" w:color="auto"/>
            </w:tcBorders>
            <w:shd w:val="clear" w:color="auto" w:fill="auto"/>
            <w:noWrap/>
            <w:vAlign w:val="bottom"/>
            <w:hideMark/>
          </w:tcPr>
          <w:p w14:paraId="6797D815"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nil"/>
              <w:bottom w:val="nil"/>
              <w:right w:val="single" w:sz="4" w:space="0" w:color="auto"/>
            </w:tcBorders>
            <w:shd w:val="clear" w:color="auto" w:fill="auto"/>
            <w:noWrap/>
            <w:vAlign w:val="bottom"/>
            <w:hideMark/>
          </w:tcPr>
          <w:p w14:paraId="474986E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6AC92D9F"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42E82792"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nil"/>
              <w:bottom w:val="nil"/>
              <w:right w:val="single" w:sz="4" w:space="0" w:color="auto"/>
            </w:tcBorders>
            <w:shd w:val="clear" w:color="auto" w:fill="auto"/>
            <w:noWrap/>
            <w:vAlign w:val="bottom"/>
            <w:hideMark/>
          </w:tcPr>
          <w:p w14:paraId="5F42DAC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nil"/>
              <w:right w:val="single" w:sz="4" w:space="0" w:color="auto"/>
            </w:tcBorders>
            <w:shd w:val="clear" w:color="auto" w:fill="auto"/>
            <w:noWrap/>
            <w:vAlign w:val="bottom"/>
            <w:hideMark/>
          </w:tcPr>
          <w:p w14:paraId="22D04D8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r w:rsidR="00605C63" w:rsidRPr="004A7F3A" w14:paraId="737CAC21" w14:textId="77777777" w:rsidTr="00034328">
        <w:trPr>
          <w:trHeight w:val="237"/>
        </w:trPr>
        <w:tc>
          <w:tcPr>
            <w:tcW w:w="1165" w:type="dxa"/>
            <w:tcBorders>
              <w:top w:val="nil"/>
              <w:left w:val="single" w:sz="4" w:space="0" w:color="auto"/>
              <w:bottom w:val="single" w:sz="4" w:space="0" w:color="auto"/>
              <w:right w:val="single" w:sz="4" w:space="0" w:color="auto"/>
            </w:tcBorders>
            <w:shd w:val="clear" w:color="000000" w:fill="D9D9D9"/>
            <w:noWrap/>
            <w:vAlign w:val="bottom"/>
            <w:hideMark/>
          </w:tcPr>
          <w:p w14:paraId="126822FD"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Sweden</w:t>
            </w:r>
          </w:p>
        </w:tc>
        <w:tc>
          <w:tcPr>
            <w:tcW w:w="2740" w:type="dxa"/>
            <w:tcBorders>
              <w:top w:val="nil"/>
              <w:left w:val="single" w:sz="4" w:space="0" w:color="auto"/>
              <w:bottom w:val="single" w:sz="4" w:space="0" w:color="auto"/>
              <w:right w:val="single" w:sz="4" w:space="0" w:color="auto"/>
            </w:tcBorders>
            <w:shd w:val="clear" w:color="000000" w:fill="D9D9D9"/>
            <w:noWrap/>
            <w:vAlign w:val="bottom"/>
            <w:hideMark/>
          </w:tcPr>
          <w:p w14:paraId="4012FFC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SE-SMINET</w:t>
            </w:r>
          </w:p>
        </w:tc>
        <w:tc>
          <w:tcPr>
            <w:tcW w:w="548" w:type="dxa"/>
            <w:tcBorders>
              <w:top w:val="nil"/>
              <w:left w:val="single" w:sz="4" w:space="0" w:color="auto"/>
              <w:bottom w:val="single" w:sz="4" w:space="0" w:color="auto"/>
              <w:right w:val="single" w:sz="4" w:space="0" w:color="auto"/>
            </w:tcBorders>
            <w:shd w:val="clear" w:color="000000" w:fill="D9D9D9"/>
            <w:noWrap/>
            <w:vAlign w:val="bottom"/>
            <w:hideMark/>
          </w:tcPr>
          <w:p w14:paraId="33EB542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Cp</w:t>
            </w:r>
          </w:p>
        </w:tc>
        <w:tc>
          <w:tcPr>
            <w:tcW w:w="548" w:type="dxa"/>
            <w:tcBorders>
              <w:top w:val="nil"/>
              <w:left w:val="single" w:sz="4" w:space="0" w:color="auto"/>
              <w:bottom w:val="single" w:sz="4" w:space="0" w:color="auto"/>
              <w:right w:val="single" w:sz="4" w:space="0" w:color="auto"/>
            </w:tcBorders>
            <w:shd w:val="clear" w:color="000000" w:fill="D9D9D9"/>
            <w:noWrap/>
            <w:vAlign w:val="bottom"/>
            <w:hideMark/>
          </w:tcPr>
          <w:p w14:paraId="6608345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Co</w:t>
            </w:r>
          </w:p>
        </w:tc>
        <w:tc>
          <w:tcPr>
            <w:tcW w:w="548" w:type="dxa"/>
            <w:tcBorders>
              <w:top w:val="nil"/>
              <w:left w:val="single" w:sz="4" w:space="0" w:color="auto"/>
              <w:bottom w:val="single" w:sz="4" w:space="0" w:color="auto"/>
              <w:right w:val="single" w:sz="4" w:space="0" w:color="auto"/>
            </w:tcBorders>
            <w:shd w:val="clear" w:color="000000" w:fill="D9D9D9"/>
            <w:noWrap/>
            <w:vAlign w:val="bottom"/>
            <w:hideMark/>
          </w:tcPr>
          <w:p w14:paraId="63CD7F3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P</w:t>
            </w:r>
          </w:p>
        </w:tc>
        <w:tc>
          <w:tcPr>
            <w:tcW w:w="548" w:type="dxa"/>
            <w:tcBorders>
              <w:top w:val="nil"/>
              <w:left w:val="single" w:sz="4" w:space="0" w:color="auto"/>
              <w:bottom w:val="single" w:sz="4" w:space="0" w:color="auto"/>
              <w:right w:val="single" w:sz="4" w:space="0" w:color="auto"/>
            </w:tcBorders>
            <w:shd w:val="clear" w:color="000000" w:fill="D9D9D9"/>
            <w:noWrap/>
            <w:vAlign w:val="bottom"/>
            <w:hideMark/>
          </w:tcPr>
          <w:p w14:paraId="5D9754D9"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C</w:t>
            </w:r>
          </w:p>
        </w:tc>
        <w:tc>
          <w:tcPr>
            <w:tcW w:w="548" w:type="dxa"/>
            <w:tcBorders>
              <w:top w:val="nil"/>
              <w:left w:val="single" w:sz="4" w:space="0" w:color="auto"/>
              <w:bottom w:val="single" w:sz="4" w:space="0" w:color="auto"/>
              <w:right w:val="single" w:sz="4" w:space="0" w:color="auto"/>
            </w:tcBorders>
            <w:shd w:val="clear" w:color="000000" w:fill="D9D9D9"/>
            <w:noWrap/>
            <w:vAlign w:val="bottom"/>
            <w:hideMark/>
          </w:tcPr>
          <w:p w14:paraId="119EF52E"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single" w:sz="4" w:space="0" w:color="auto"/>
              <w:right w:val="single" w:sz="4" w:space="0" w:color="auto"/>
            </w:tcBorders>
            <w:shd w:val="clear" w:color="000000" w:fill="D9D9D9"/>
            <w:noWrap/>
            <w:vAlign w:val="bottom"/>
            <w:hideMark/>
          </w:tcPr>
          <w:p w14:paraId="1A30B237"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Y</w:t>
            </w:r>
          </w:p>
        </w:tc>
        <w:tc>
          <w:tcPr>
            <w:tcW w:w="548" w:type="dxa"/>
            <w:tcBorders>
              <w:top w:val="nil"/>
              <w:left w:val="single" w:sz="4" w:space="0" w:color="auto"/>
              <w:bottom w:val="single" w:sz="4" w:space="0" w:color="auto"/>
              <w:right w:val="single" w:sz="4" w:space="0" w:color="auto"/>
            </w:tcBorders>
            <w:shd w:val="clear" w:color="000000" w:fill="D9D9D9"/>
            <w:noWrap/>
            <w:vAlign w:val="bottom"/>
            <w:hideMark/>
          </w:tcPr>
          <w:p w14:paraId="5931ACEA"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548" w:type="dxa"/>
            <w:tcBorders>
              <w:top w:val="nil"/>
              <w:left w:val="single" w:sz="4" w:space="0" w:color="auto"/>
              <w:bottom w:val="single" w:sz="4" w:space="0" w:color="auto"/>
              <w:right w:val="single" w:sz="4" w:space="0" w:color="auto"/>
            </w:tcBorders>
            <w:shd w:val="clear" w:color="000000" w:fill="D9D9D9"/>
            <w:noWrap/>
            <w:vAlign w:val="bottom"/>
            <w:hideMark/>
          </w:tcPr>
          <w:p w14:paraId="61C36B0B"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N</w:t>
            </w:r>
          </w:p>
        </w:tc>
        <w:tc>
          <w:tcPr>
            <w:tcW w:w="1578" w:type="dxa"/>
            <w:tcBorders>
              <w:top w:val="nil"/>
              <w:left w:val="nil"/>
              <w:bottom w:val="single" w:sz="4" w:space="0" w:color="auto"/>
              <w:right w:val="single" w:sz="4" w:space="0" w:color="auto"/>
            </w:tcBorders>
            <w:shd w:val="clear" w:color="000000" w:fill="D9D9D9"/>
            <w:noWrap/>
            <w:vAlign w:val="bottom"/>
            <w:hideMark/>
          </w:tcPr>
          <w:p w14:paraId="20EE5D44" w14:textId="77777777" w:rsidR="007D4EE3" w:rsidRPr="004A7F3A" w:rsidRDefault="007D4EE3" w:rsidP="003E127B">
            <w:pPr>
              <w:spacing w:before="120" w:after="0"/>
              <w:rPr>
                <w:rFonts w:eastAsia="Times New Roman" w:cs="Tahoma"/>
                <w:sz w:val="14"/>
                <w:szCs w:val="14"/>
                <w:lang w:eastAsia="en-GB"/>
              </w:rPr>
            </w:pPr>
            <w:r w:rsidRPr="004A7F3A">
              <w:rPr>
                <w:rFonts w:eastAsia="Times New Roman" w:cs="Tahoma"/>
                <w:sz w:val="14"/>
                <w:szCs w:val="14"/>
                <w:lang w:eastAsia="en-GB"/>
              </w:rPr>
              <w:t>EU-2018</w:t>
            </w:r>
          </w:p>
        </w:tc>
      </w:tr>
    </w:tbl>
    <w:p w14:paraId="22FE5047" w14:textId="30FDD7FD" w:rsidR="009F5B73" w:rsidRDefault="009F5B73">
      <w:pPr>
        <w:spacing w:after="200" w:line="276" w:lineRule="auto"/>
        <w:rPr>
          <w:rFonts w:eastAsia="Arial Unicode MS"/>
          <w:kern w:val="22"/>
          <w:szCs w:val="18"/>
        </w:rPr>
      </w:pPr>
      <w:r>
        <w:br w:type="page"/>
      </w:r>
    </w:p>
    <w:p w14:paraId="6AF25948" w14:textId="4D1B18B6" w:rsidR="00560A04" w:rsidRDefault="00A66EF1" w:rsidP="00560A04">
      <w:pPr>
        <w:pStyle w:val="EC-Title-5"/>
        <w:outlineLvl w:val="0"/>
      </w:pPr>
      <w:bookmarkStart w:id="87" w:name="_Toc127531834"/>
      <w:bookmarkStart w:id="88" w:name="_Toc437442033"/>
      <w:r w:rsidRPr="00E7277D">
        <w:lastRenderedPageBreak/>
        <w:t xml:space="preserve">Variant </w:t>
      </w:r>
      <w:r w:rsidR="00560A04" w:rsidRPr="00E7277D">
        <w:t>Creutzfeldt-Jakob disease</w:t>
      </w:r>
      <w:r w:rsidR="00A22D18" w:rsidRPr="00E7277D">
        <w:t xml:space="preserve"> (</w:t>
      </w:r>
      <w:proofErr w:type="spellStart"/>
      <w:r w:rsidR="008763EB" w:rsidRPr="00E7277D">
        <w:t>v</w:t>
      </w:r>
      <w:r w:rsidR="00A22D18" w:rsidRPr="00E7277D">
        <w:t>CJD</w:t>
      </w:r>
      <w:proofErr w:type="spellEnd"/>
      <w:r w:rsidR="00A22D18" w:rsidRPr="00E7277D">
        <w:t>)</w:t>
      </w:r>
      <w:bookmarkEnd w:id="87"/>
    </w:p>
    <w:p w14:paraId="238FDA95" w14:textId="77777777" w:rsidR="00EE1F3C" w:rsidRPr="00EE1F3C" w:rsidRDefault="00EE1F3C" w:rsidP="00EE1F3C">
      <w:pPr>
        <w:pStyle w:val="EC-Para"/>
        <w:rPr>
          <w:lang w:eastAsia="en-US"/>
        </w:rPr>
      </w:pPr>
    </w:p>
    <w:p w14:paraId="6DB66CF7" w14:textId="17C52045" w:rsidR="00EE1F3C" w:rsidRPr="00A32FE1" w:rsidRDefault="00CB3144" w:rsidP="00EE1F3C">
      <w:pPr>
        <w:pStyle w:val="EC-Para"/>
        <w:jc w:val="right"/>
        <w:rPr>
          <w:b/>
          <w:lang w:eastAsia="en-US"/>
        </w:rPr>
      </w:pPr>
      <w:r>
        <w:rPr>
          <w:b/>
          <w:lang w:eastAsia="en-US"/>
        </w:rPr>
        <w:t>Last updated: 13 August 2024</w:t>
      </w:r>
    </w:p>
    <w:p w14:paraId="0A7F34D9" w14:textId="4C995604"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4AF5CD32" w14:textId="77777777" w:rsidR="005D1339" w:rsidRPr="008763EB" w:rsidRDefault="005D1339" w:rsidP="00560A04">
      <w:pPr>
        <w:pStyle w:val="EC-Para"/>
        <w:jc w:val="right"/>
        <w:rPr>
          <w:b/>
          <w:lang w:eastAsia="en-US"/>
        </w:rPr>
      </w:pPr>
    </w:p>
    <w:p w14:paraId="53C3AFF4" w14:textId="533C4495" w:rsidR="00560A04" w:rsidRDefault="00367AAA" w:rsidP="00560A04">
      <w:pPr>
        <w:autoSpaceDE w:val="0"/>
        <w:autoSpaceDN w:val="0"/>
        <w:adjustRightInd w:val="0"/>
        <w:rPr>
          <w:rStyle w:val="Hyperlink"/>
          <w:i/>
        </w:rPr>
      </w:pPr>
      <w:r w:rsidRPr="008763EB">
        <w:rPr>
          <w:rFonts w:eastAsiaTheme="minorHAnsi" w:cs="Tahoma"/>
          <w:szCs w:val="18"/>
        </w:rPr>
        <w:t>Variant Creutzfeldt-Jakob disease (</w:t>
      </w:r>
      <w:proofErr w:type="spellStart"/>
      <w:r w:rsidRPr="008763EB">
        <w:rPr>
          <w:rFonts w:eastAsiaTheme="minorHAnsi" w:cs="Tahoma"/>
          <w:szCs w:val="18"/>
        </w:rPr>
        <w:t>vCJD</w:t>
      </w:r>
      <w:proofErr w:type="spellEnd"/>
      <w:r w:rsidRPr="008763EB">
        <w:rPr>
          <w:rFonts w:eastAsiaTheme="minorHAnsi" w:cs="Tahoma"/>
          <w:szCs w:val="18"/>
        </w:rPr>
        <w:t>) is a relatively new and rare neurological disease, classified as a Transmissible Spongiform Encephalopathy</w:t>
      </w:r>
      <w:r w:rsidR="00560A04" w:rsidRPr="008763EB">
        <w:rPr>
          <w:rFonts w:eastAsia="Times New Roman" w:cs="Tahoma"/>
          <w:szCs w:val="18"/>
          <w:lang w:val="en-US" w:eastAsia="en-GB"/>
        </w:rPr>
        <w:t xml:space="preserve">. </w:t>
      </w:r>
      <w:r w:rsidRPr="008763EB">
        <w:rPr>
          <w:rFonts w:eastAsia="Times New Roman" w:cs="Tahoma"/>
          <w:szCs w:val="18"/>
          <w:lang w:val="en-US" w:eastAsia="en-GB"/>
        </w:rPr>
        <w:t>Causative agents of</w:t>
      </w:r>
      <w:r>
        <w:rPr>
          <w:rFonts w:eastAsia="Times New Roman" w:cs="Tahoma"/>
          <w:szCs w:val="18"/>
          <w:lang w:val="en-US" w:eastAsia="en-GB"/>
        </w:rPr>
        <w:t xml:space="preserve"> </w:t>
      </w:r>
      <w:proofErr w:type="spellStart"/>
      <w:r>
        <w:rPr>
          <w:rFonts w:eastAsia="Times New Roman" w:cs="Tahoma"/>
          <w:szCs w:val="18"/>
          <w:lang w:val="en-US" w:eastAsia="en-GB"/>
        </w:rPr>
        <w:t>vCJD</w:t>
      </w:r>
      <w:proofErr w:type="spellEnd"/>
      <w:r>
        <w:rPr>
          <w:rFonts w:eastAsia="Times New Roman" w:cs="Tahoma"/>
          <w:szCs w:val="18"/>
          <w:lang w:val="en-US" w:eastAsia="en-GB"/>
        </w:rPr>
        <w:t xml:space="preserve"> are prions </w:t>
      </w:r>
      <w:r w:rsidRPr="00367AAA">
        <w:rPr>
          <w:rFonts w:eastAsia="Times New Roman" w:cs="Tahoma"/>
          <w:szCs w:val="18"/>
          <w:lang w:val="en-US" w:eastAsia="en-GB"/>
        </w:rPr>
        <w:t>which form aggregates in neurological tissue leading to progressive brain damage and characteristic signs and symptoms of the disease</w:t>
      </w:r>
      <w:r>
        <w:rPr>
          <w:rFonts w:eastAsia="Times New Roman" w:cs="Tahoma"/>
          <w:szCs w:val="18"/>
          <w:lang w:val="en-US" w:eastAsia="en-GB"/>
        </w:rPr>
        <w:t xml:space="preserve">. </w:t>
      </w:r>
      <w:r w:rsidR="00560A04" w:rsidRPr="0009264C">
        <w:rPr>
          <w:rFonts w:eastAsiaTheme="minorHAnsi" w:cs="Tahoma"/>
          <w:szCs w:val="18"/>
        </w:rPr>
        <w:t>For a more detailed description of the disease and its epidemiology</w:t>
      </w:r>
      <w:r w:rsidR="00560A04">
        <w:rPr>
          <w:rFonts w:eastAsiaTheme="minorHAnsi" w:cs="Tahoma"/>
          <w:szCs w:val="18"/>
        </w:rPr>
        <w:t>,</w:t>
      </w:r>
      <w:r w:rsidR="00560A04" w:rsidRPr="0009264C">
        <w:rPr>
          <w:rFonts w:eastAsiaTheme="minorHAnsi" w:cs="Tahoma"/>
          <w:szCs w:val="18"/>
        </w:rPr>
        <w:t xml:space="preserve"> please </w:t>
      </w:r>
      <w:r w:rsidR="00560A04" w:rsidRPr="009D4D86">
        <w:rPr>
          <w:rFonts w:eastAsiaTheme="minorHAnsi" w:cs="Tahoma"/>
          <w:szCs w:val="18"/>
        </w:rPr>
        <w:t>click</w:t>
      </w:r>
      <w:r w:rsidR="00560A04" w:rsidRPr="009D4D86">
        <w:rPr>
          <w:rFonts w:cs="Tahoma"/>
          <w:szCs w:val="18"/>
        </w:rPr>
        <w:t xml:space="preserve"> </w:t>
      </w:r>
      <w:hyperlink r:id="rId95" w:history="1">
        <w:r w:rsidR="00560A04" w:rsidRPr="009D4D86">
          <w:rPr>
            <w:rStyle w:val="Hyperlink"/>
            <w:i/>
            <w:sz w:val="18"/>
            <w:szCs w:val="18"/>
          </w:rPr>
          <w:t>here</w:t>
        </w:r>
      </w:hyperlink>
      <w:r w:rsidR="00560A04" w:rsidRPr="009D4D86">
        <w:rPr>
          <w:rStyle w:val="Hyperlink"/>
          <w:i/>
          <w:sz w:val="18"/>
          <w:szCs w:val="18"/>
        </w:rPr>
        <w:t>.</w:t>
      </w:r>
      <w:r w:rsidR="00560A04" w:rsidRPr="00F44E9A">
        <w:rPr>
          <w:rStyle w:val="Hyperlink"/>
          <w:i/>
        </w:rPr>
        <w:t xml:space="preserve">  </w:t>
      </w:r>
    </w:p>
    <w:p w14:paraId="1541FD42" w14:textId="77777777" w:rsidR="00560A04" w:rsidRPr="00E82D5E" w:rsidRDefault="00560A04" w:rsidP="00560A04">
      <w:pPr>
        <w:shd w:val="clear" w:color="auto" w:fill="FFFFFF"/>
        <w:textAlignment w:val="top"/>
        <w:rPr>
          <w:rFonts w:eastAsia="Times New Roman" w:cs="Tahoma"/>
          <w:color w:val="333333"/>
          <w:szCs w:val="18"/>
          <w:lang w:val="en-US" w:eastAsia="en-GB"/>
        </w:rPr>
      </w:pPr>
    </w:p>
    <w:p w14:paraId="1F9D89BF" w14:textId="77777777" w:rsidR="00560A04" w:rsidRDefault="00560A04" w:rsidP="00560A04">
      <w:pPr>
        <w:pStyle w:val="EC-Title-6"/>
        <w:outlineLvl w:val="1"/>
        <w:rPr>
          <w:rFonts w:cs="Tahoma"/>
        </w:rPr>
      </w:pPr>
      <w:r>
        <w:rPr>
          <w:rFonts w:cs="Tahoma"/>
        </w:rPr>
        <w:t>Data</w:t>
      </w:r>
    </w:p>
    <w:p w14:paraId="79BA23C6" w14:textId="5FDF267D" w:rsidR="00560A04" w:rsidRDefault="00560A04" w:rsidP="00560A04">
      <w:pPr>
        <w:pStyle w:val="EC-Para"/>
        <w:jc w:val="both"/>
        <w:rPr>
          <w:rFonts w:cs="Tahoma"/>
        </w:rPr>
      </w:pPr>
      <w:r>
        <w:rPr>
          <w:rFonts w:cs="Tahoma"/>
        </w:rPr>
        <w:t xml:space="preserve">The Surveillance Atlas of Infectious Diseases displays data on </w:t>
      </w:r>
      <w:proofErr w:type="spellStart"/>
      <w:r>
        <w:rPr>
          <w:rFonts w:cs="Tahoma"/>
        </w:rPr>
        <w:t>vCJD</w:t>
      </w:r>
      <w:proofErr w:type="spellEnd"/>
      <w:r>
        <w:rPr>
          <w:rFonts w:cs="Tahoma"/>
        </w:rPr>
        <w:t xml:space="preserve"> reported by the EU/EEA countries. C</w:t>
      </w:r>
      <w:r w:rsidRPr="007B34B1">
        <w:rPr>
          <w:rFonts w:cs="Tahoma"/>
        </w:rPr>
        <w:t xml:space="preserve">ases </w:t>
      </w:r>
      <w:r>
        <w:rPr>
          <w:rFonts w:cs="Tahoma"/>
        </w:rPr>
        <w:t>are to</w:t>
      </w:r>
      <w:r w:rsidRPr="007B34B1">
        <w:rPr>
          <w:rFonts w:cs="Tahoma"/>
        </w:rPr>
        <w:t xml:space="preserve"> be reported according to the 201</w:t>
      </w:r>
      <w:r w:rsidR="00F53BCA">
        <w:rPr>
          <w:rFonts w:cs="Tahoma"/>
        </w:rPr>
        <w:t>8</w:t>
      </w:r>
      <w:r w:rsidRPr="007B34B1">
        <w:rPr>
          <w:rFonts w:cs="Tahoma"/>
        </w:rPr>
        <w:t xml:space="preserve"> EU case definition for </w:t>
      </w:r>
      <w:r>
        <w:rPr>
          <w:rFonts w:cs="Tahoma"/>
        </w:rPr>
        <w:t>CJD</w:t>
      </w:r>
      <w:r>
        <w:rPr>
          <w:rStyle w:val="FootnoteReference"/>
          <w:rFonts w:cs="Tahoma"/>
        </w:rPr>
        <w:footnoteReference w:id="40"/>
      </w:r>
      <w:r>
        <w:rPr>
          <w:rFonts w:cs="Tahoma"/>
        </w:rPr>
        <w:t>:</w:t>
      </w:r>
    </w:p>
    <w:p w14:paraId="73C0995E" w14:textId="77777777" w:rsidR="00560A04" w:rsidRPr="00560A04" w:rsidRDefault="00560A04" w:rsidP="00560A04">
      <w:pPr>
        <w:pStyle w:val="EC-Para"/>
        <w:jc w:val="both"/>
        <w:rPr>
          <w:rFonts w:eastAsiaTheme="minorHAnsi" w:cs="Tahoma"/>
          <w:b/>
          <w:bCs/>
          <w:color w:val="000000"/>
          <w:kern w:val="0"/>
          <w:lang w:eastAsia="en-US"/>
        </w:rPr>
      </w:pPr>
      <w:r w:rsidRPr="00560A04">
        <w:rPr>
          <w:rFonts w:eastAsiaTheme="minorHAnsi" w:cs="Tahoma"/>
          <w:b/>
          <w:bCs/>
          <w:color w:val="000000"/>
          <w:kern w:val="0"/>
          <w:lang w:eastAsia="en-US"/>
        </w:rPr>
        <w:t>Preconditions</w:t>
      </w:r>
    </w:p>
    <w:p w14:paraId="3EC89D1D" w14:textId="77777777" w:rsidR="00560A04" w:rsidRPr="00560A04" w:rsidRDefault="00560A04" w:rsidP="00560A04">
      <w:pPr>
        <w:pStyle w:val="EC-Para"/>
        <w:jc w:val="both"/>
        <w:rPr>
          <w:rFonts w:cs="Tahoma"/>
        </w:rPr>
      </w:pPr>
      <w:r w:rsidRPr="00560A04">
        <w:rPr>
          <w:rFonts w:cs="Tahoma"/>
        </w:rPr>
        <w:t>— Any person with a progressive neuropsychiatric disorder with a duration of illness of at least six months</w:t>
      </w:r>
    </w:p>
    <w:p w14:paraId="31404604" w14:textId="77777777" w:rsidR="00560A04" w:rsidRPr="00560A04" w:rsidRDefault="00560A04" w:rsidP="00560A04">
      <w:pPr>
        <w:pStyle w:val="EC-Para"/>
        <w:jc w:val="both"/>
        <w:rPr>
          <w:rFonts w:cs="Tahoma"/>
        </w:rPr>
      </w:pPr>
      <w:r w:rsidRPr="00560A04">
        <w:rPr>
          <w:rFonts w:cs="Tahoma"/>
        </w:rPr>
        <w:t>— Routine investigations do not suggest an alternative diagnosis</w:t>
      </w:r>
    </w:p>
    <w:p w14:paraId="09CAD130" w14:textId="77777777" w:rsidR="00560A04" w:rsidRPr="00560A04" w:rsidRDefault="00560A04" w:rsidP="00560A04">
      <w:pPr>
        <w:pStyle w:val="EC-Para"/>
        <w:jc w:val="both"/>
        <w:rPr>
          <w:rFonts w:cs="Tahoma"/>
        </w:rPr>
      </w:pPr>
      <w:r w:rsidRPr="00560A04">
        <w:rPr>
          <w:rFonts w:cs="Tahoma"/>
        </w:rPr>
        <w:t>— No history of exposure to human pituitary hormones or human dura mater graft</w:t>
      </w:r>
    </w:p>
    <w:p w14:paraId="7666FA91" w14:textId="44C7C7B9" w:rsidR="00560A04" w:rsidRPr="00B337DA" w:rsidRDefault="00560A04" w:rsidP="00560A04">
      <w:pPr>
        <w:pStyle w:val="EC-Para"/>
        <w:jc w:val="both"/>
        <w:rPr>
          <w:rFonts w:cs="Tahoma"/>
        </w:rPr>
      </w:pPr>
      <w:r w:rsidRPr="00560A04">
        <w:rPr>
          <w:rFonts w:cs="Tahoma"/>
        </w:rPr>
        <w:t>— No evidence of a genetic form of transmissible spongiform encephalopathy</w:t>
      </w:r>
    </w:p>
    <w:p w14:paraId="74FB5664" w14:textId="77777777" w:rsidR="00560A04" w:rsidRPr="008763EB" w:rsidRDefault="00560A04" w:rsidP="00560A04">
      <w:pPr>
        <w:autoSpaceDE w:val="0"/>
        <w:autoSpaceDN w:val="0"/>
        <w:adjustRightInd w:val="0"/>
        <w:spacing w:before="60" w:after="60"/>
        <w:rPr>
          <w:rFonts w:eastAsiaTheme="minorHAnsi" w:cs="Tahoma"/>
          <w:color w:val="000000"/>
          <w:szCs w:val="18"/>
        </w:rPr>
      </w:pPr>
      <w:r w:rsidRPr="0098596D">
        <w:rPr>
          <w:rFonts w:eastAsiaTheme="minorHAnsi" w:cs="Tahoma"/>
          <w:b/>
          <w:bCs/>
          <w:color w:val="000000"/>
          <w:szCs w:val="18"/>
        </w:rPr>
        <w:t xml:space="preserve">Clinical </w:t>
      </w:r>
      <w:r w:rsidRPr="008763EB">
        <w:rPr>
          <w:rFonts w:eastAsiaTheme="minorHAnsi" w:cs="Tahoma"/>
          <w:b/>
          <w:bCs/>
          <w:color w:val="000000"/>
          <w:szCs w:val="18"/>
        </w:rPr>
        <w:t xml:space="preserve">criteria </w:t>
      </w:r>
    </w:p>
    <w:p w14:paraId="2D0C72C2" w14:textId="3F670CD6" w:rsidR="00A22D18" w:rsidRPr="008763EB" w:rsidRDefault="00560A04" w:rsidP="00CF298A">
      <w:pPr>
        <w:pStyle w:val="EC-Para"/>
        <w:rPr>
          <w:rFonts w:eastAsiaTheme="minorHAnsi" w:cs="Tahoma"/>
          <w:color w:val="000000"/>
        </w:rPr>
      </w:pPr>
      <w:r w:rsidRPr="008763EB">
        <w:rPr>
          <w:rFonts w:eastAsiaTheme="minorHAnsi" w:cs="Tahoma"/>
          <w:color w:val="000000"/>
        </w:rPr>
        <w:t>Any person with at least four of the following five:</w:t>
      </w:r>
      <w:r w:rsidR="00A22D18" w:rsidRPr="008763EB">
        <w:br/>
        <w:t>— Early psychiatric symptoms</w:t>
      </w:r>
      <w:r w:rsidR="00FA4DAE" w:rsidRPr="008763EB">
        <w:t xml:space="preserve"> (depression, anxiety, apathy, withdrawal, delusions) </w:t>
      </w:r>
      <w:r w:rsidR="00A22D18" w:rsidRPr="008763EB">
        <w:br/>
        <w:t>— Persistent painful sensory symptoms</w:t>
      </w:r>
      <w:r w:rsidR="00FA4DAE" w:rsidRPr="008763EB">
        <w:t xml:space="preserve"> (this includes both frank pain and/or dysaesthesia)</w:t>
      </w:r>
      <w:r w:rsidR="00FA4DAE" w:rsidRPr="008763EB">
        <w:rPr>
          <w:rStyle w:val="CommentReference"/>
          <w:lang w:eastAsia="en-GB"/>
        </w:rPr>
        <w:t xml:space="preserve"> </w:t>
      </w:r>
    </w:p>
    <w:p w14:paraId="35D562B9" w14:textId="77777777" w:rsidR="00560A04" w:rsidRPr="008763EB" w:rsidRDefault="00560A04" w:rsidP="00CF298A">
      <w:pPr>
        <w:pStyle w:val="EC-Para"/>
        <w:rPr>
          <w:rFonts w:eastAsiaTheme="minorHAnsi" w:cs="Tahoma"/>
          <w:color w:val="000000"/>
        </w:rPr>
      </w:pPr>
      <w:r w:rsidRPr="008763EB">
        <w:rPr>
          <w:rFonts w:eastAsiaTheme="minorHAnsi" w:cs="Tahoma"/>
          <w:color w:val="000000"/>
        </w:rPr>
        <w:t>— Ataxia</w:t>
      </w:r>
    </w:p>
    <w:p w14:paraId="5639148B" w14:textId="77777777" w:rsidR="00560A04" w:rsidRPr="008763EB" w:rsidRDefault="00560A04" w:rsidP="00CF298A">
      <w:pPr>
        <w:pStyle w:val="EC-Para"/>
        <w:rPr>
          <w:rFonts w:eastAsiaTheme="minorHAnsi" w:cs="Tahoma"/>
          <w:color w:val="000000"/>
        </w:rPr>
      </w:pPr>
      <w:r w:rsidRPr="008763EB">
        <w:rPr>
          <w:rFonts w:eastAsiaTheme="minorHAnsi" w:cs="Tahoma"/>
          <w:color w:val="000000"/>
        </w:rPr>
        <w:t>— Myoclonus or chorea or dystonia</w:t>
      </w:r>
    </w:p>
    <w:p w14:paraId="743EBB11" w14:textId="41443FB3" w:rsidR="00560A04" w:rsidRPr="008763EB" w:rsidRDefault="00560A04" w:rsidP="00CF298A">
      <w:pPr>
        <w:pStyle w:val="EC-Para"/>
        <w:rPr>
          <w:rFonts w:eastAsiaTheme="minorHAnsi" w:cs="Tahoma"/>
          <w:color w:val="000000"/>
        </w:rPr>
      </w:pPr>
      <w:r w:rsidRPr="008763EB">
        <w:rPr>
          <w:rFonts w:eastAsiaTheme="minorHAnsi" w:cs="Tahoma"/>
          <w:color w:val="000000"/>
        </w:rPr>
        <w:t>— Dementia</w:t>
      </w:r>
    </w:p>
    <w:p w14:paraId="3E696D05" w14:textId="77777777" w:rsidR="00283CC9" w:rsidRPr="008763EB" w:rsidRDefault="00283CC9" w:rsidP="00283CC9">
      <w:pPr>
        <w:autoSpaceDE w:val="0"/>
        <w:autoSpaceDN w:val="0"/>
        <w:adjustRightInd w:val="0"/>
        <w:spacing w:before="60" w:after="60"/>
        <w:rPr>
          <w:rFonts w:eastAsiaTheme="minorHAnsi" w:cs="Tahoma"/>
          <w:b/>
          <w:color w:val="000000"/>
          <w:szCs w:val="18"/>
        </w:rPr>
      </w:pPr>
      <w:r w:rsidRPr="008763EB">
        <w:rPr>
          <w:rFonts w:eastAsiaTheme="minorHAnsi" w:cs="Tahoma"/>
          <w:b/>
          <w:color w:val="000000"/>
          <w:szCs w:val="18"/>
        </w:rPr>
        <w:t>Diagnostic Criteria</w:t>
      </w:r>
    </w:p>
    <w:p w14:paraId="6D88235E" w14:textId="77777777" w:rsidR="00283CC9" w:rsidRPr="008763EB" w:rsidRDefault="00283CC9" w:rsidP="00CF298A">
      <w:pPr>
        <w:pStyle w:val="EC-Para"/>
      </w:pPr>
      <w:r w:rsidRPr="008763EB">
        <w:t>Diagnostic criteria for case confirmation:</w:t>
      </w:r>
    </w:p>
    <w:p w14:paraId="1AC1C317" w14:textId="77777777" w:rsidR="00283CC9" w:rsidRPr="008763EB" w:rsidRDefault="00283CC9" w:rsidP="00CF298A">
      <w:pPr>
        <w:pStyle w:val="EC-Para"/>
      </w:pPr>
      <w:r w:rsidRPr="008763EB">
        <w:t>— Neuropathological confirmation: spongiform change and extensive prion protein deposition with florid</w:t>
      </w:r>
    </w:p>
    <w:p w14:paraId="66BE8991" w14:textId="1665F93D" w:rsidR="00560A04" w:rsidRPr="008763EB" w:rsidRDefault="00283CC9" w:rsidP="00CF298A">
      <w:pPr>
        <w:pStyle w:val="EC-Para"/>
      </w:pPr>
      <w:r w:rsidRPr="008763EB">
        <w:t>plaques throughout the cerebrum and cerebellum</w:t>
      </w:r>
    </w:p>
    <w:p w14:paraId="23CB9A69" w14:textId="6A8A06E5" w:rsidR="00283CC9" w:rsidRPr="008763EB" w:rsidRDefault="00283CC9" w:rsidP="00CF298A">
      <w:pPr>
        <w:pStyle w:val="EC-Para"/>
      </w:pPr>
      <w:r w:rsidRPr="008763EB">
        <w:t>Diagnostic criteria for a probable or a possible case:</w:t>
      </w:r>
      <w:r w:rsidR="00F9422B" w:rsidRPr="008763EB">
        <w:br/>
        <w:t xml:space="preserve">— EEG does not show the typical appearance </w:t>
      </w:r>
      <w:r w:rsidR="00FA4DAE" w:rsidRPr="008763EB">
        <w:t>of sporadic CJD</w:t>
      </w:r>
      <w:r w:rsidR="008B50FD">
        <w:rPr>
          <w:rStyle w:val="FootnoteReference"/>
        </w:rPr>
        <w:footnoteReference w:id="41"/>
      </w:r>
      <w:r w:rsidR="00FA4DAE" w:rsidRPr="008763EB">
        <w:t xml:space="preserve"> </w:t>
      </w:r>
      <w:r w:rsidR="00F9422B" w:rsidRPr="008763EB">
        <w:t>in the early stages of the illness</w:t>
      </w:r>
      <w:r w:rsidR="00FA4DAE" w:rsidRPr="008763EB">
        <w:t xml:space="preserve">. (The typical appearance of the EEG in sporadic CJD consists of generalised periodic complexes at approximately one per second. These may occasionally be seen in the late stages of </w:t>
      </w:r>
      <w:proofErr w:type="spellStart"/>
      <w:r w:rsidR="00FA4DAE" w:rsidRPr="008763EB">
        <w:t>vCJD</w:t>
      </w:r>
      <w:proofErr w:type="spellEnd"/>
      <w:r w:rsidR="00FA4DAE" w:rsidRPr="008763EB">
        <w:t>.)</w:t>
      </w:r>
    </w:p>
    <w:p w14:paraId="7F051C7B" w14:textId="77777777" w:rsidR="00283CC9" w:rsidRPr="008763EB" w:rsidRDefault="00283CC9" w:rsidP="00CF298A">
      <w:pPr>
        <w:pStyle w:val="EC-Para"/>
      </w:pPr>
      <w:r w:rsidRPr="008763EB">
        <w:t>— Bilateral pulvinar high signal on MRI brain scan</w:t>
      </w:r>
    </w:p>
    <w:p w14:paraId="61174F42" w14:textId="688C5640" w:rsidR="00283CC9" w:rsidRDefault="00283CC9" w:rsidP="00CF298A">
      <w:pPr>
        <w:pStyle w:val="EC-Para"/>
      </w:pPr>
      <w:r w:rsidRPr="008763EB">
        <w:t xml:space="preserve">— A positive tonsil biopsy. </w:t>
      </w:r>
      <w:r w:rsidR="00FA4DAE" w:rsidRPr="008763EB">
        <w:t>(</w:t>
      </w:r>
      <w:r w:rsidRPr="008763EB">
        <w:t xml:space="preserve">Tonsil biopsy is not recommended routinely nor in cases with EEG appearances typical of sporadic </w:t>
      </w:r>
      <w:proofErr w:type="gramStart"/>
      <w:r w:rsidRPr="008763EB">
        <w:t>CJD, but</w:t>
      </w:r>
      <w:proofErr w:type="gramEnd"/>
      <w:r w:rsidRPr="008763EB">
        <w:t xml:space="preserve"> may be useful in suspect cases in which the clinical features are compatible with </w:t>
      </w:r>
      <w:proofErr w:type="spellStart"/>
      <w:r w:rsidRPr="008763EB">
        <w:t>vCJD</w:t>
      </w:r>
      <w:proofErr w:type="spellEnd"/>
      <w:r w:rsidRPr="008763EB">
        <w:t xml:space="preserve"> and MRI does not show pulvinar high</w:t>
      </w:r>
      <w:r w:rsidRPr="00283CC9">
        <w:t xml:space="preserve"> signa</w:t>
      </w:r>
      <w:r>
        <w:t>l.</w:t>
      </w:r>
      <w:r w:rsidR="008763EB">
        <w:t>)</w:t>
      </w:r>
    </w:p>
    <w:p w14:paraId="16EF2C0E" w14:textId="77777777" w:rsidR="00CF298A" w:rsidRDefault="00CF298A" w:rsidP="00CF298A">
      <w:pPr>
        <w:pStyle w:val="EC-Para"/>
        <w:rPr>
          <w:b/>
        </w:rPr>
      </w:pPr>
    </w:p>
    <w:p w14:paraId="5AEFAD02" w14:textId="21500C28" w:rsidR="00283CC9" w:rsidRPr="00283CC9" w:rsidRDefault="00283CC9" w:rsidP="00CF298A">
      <w:pPr>
        <w:pStyle w:val="EC-Para"/>
        <w:rPr>
          <w:b/>
        </w:rPr>
      </w:pPr>
      <w:r w:rsidRPr="00283CC9">
        <w:rPr>
          <w:b/>
        </w:rPr>
        <w:t>Epidemiological Criteria</w:t>
      </w:r>
    </w:p>
    <w:p w14:paraId="603348B4" w14:textId="6841C4F8" w:rsidR="00283CC9" w:rsidRDefault="00283CC9" w:rsidP="00CF298A">
      <w:pPr>
        <w:pStyle w:val="EC-Para"/>
      </w:pPr>
      <w:r w:rsidRPr="00283CC9">
        <w:t xml:space="preserve">An epidemiological link by </w:t>
      </w:r>
      <w:proofErr w:type="gramStart"/>
      <w:r w:rsidRPr="00283CC9">
        <w:t>human to human</w:t>
      </w:r>
      <w:proofErr w:type="gramEnd"/>
      <w:r w:rsidRPr="00283CC9">
        <w:t xml:space="preserve"> transmission (e.g. blood transfusion)</w:t>
      </w:r>
      <w:r>
        <w:t>.</w:t>
      </w:r>
    </w:p>
    <w:p w14:paraId="36B078FC" w14:textId="77777777" w:rsidR="00560A04" w:rsidRDefault="00560A04" w:rsidP="00AF4AD6">
      <w:pPr>
        <w:pStyle w:val="CM4"/>
        <w:spacing w:after="100" w:afterAutospacing="1"/>
        <w:rPr>
          <w:rFonts w:ascii="Tahoma" w:hAnsi="Tahoma" w:cs="Tahoma"/>
          <w:color w:val="000000"/>
          <w:sz w:val="18"/>
          <w:szCs w:val="18"/>
        </w:rPr>
      </w:pPr>
      <w:r>
        <w:rPr>
          <w:rFonts w:ascii="Tahoma" w:hAnsi="Tahoma" w:cs="Tahoma"/>
          <w:b/>
          <w:sz w:val="18"/>
          <w:szCs w:val="18"/>
        </w:rPr>
        <w:lastRenderedPageBreak/>
        <w:t>Case classification</w:t>
      </w:r>
    </w:p>
    <w:p w14:paraId="1CEC253A" w14:textId="631FB3EA" w:rsidR="00283CC9" w:rsidRPr="00CF298A" w:rsidRDefault="00283CC9" w:rsidP="00CF298A">
      <w:pPr>
        <w:pStyle w:val="EC-Para"/>
      </w:pPr>
      <w:r w:rsidRPr="00CF298A">
        <w:rPr>
          <w:color w:val="000000"/>
        </w:rPr>
        <w:t>A.</w:t>
      </w:r>
      <w:r w:rsidRPr="00CF298A">
        <w:t xml:space="preserve"> Possible</w:t>
      </w:r>
      <w:r w:rsidR="00560A04" w:rsidRPr="00CF298A">
        <w:t xml:space="preserve"> case: </w:t>
      </w:r>
    </w:p>
    <w:p w14:paraId="14612B34" w14:textId="77777777" w:rsidR="00283CC9" w:rsidRPr="00283CC9" w:rsidRDefault="00283CC9" w:rsidP="00CF298A">
      <w:pPr>
        <w:pStyle w:val="EC-Para"/>
      </w:pPr>
      <w:r w:rsidRPr="00283CC9">
        <w:t>Any person fulfilling the preconditions</w:t>
      </w:r>
    </w:p>
    <w:p w14:paraId="6EC3235C" w14:textId="77777777" w:rsidR="00283CC9" w:rsidRPr="00283CC9" w:rsidRDefault="00283CC9" w:rsidP="00CF298A">
      <w:pPr>
        <w:pStyle w:val="EC-Para"/>
      </w:pPr>
      <w:r w:rsidRPr="00283CC9">
        <w:t>AND</w:t>
      </w:r>
    </w:p>
    <w:p w14:paraId="4F306679" w14:textId="77777777" w:rsidR="00283CC9" w:rsidRPr="00283CC9" w:rsidRDefault="00283CC9" w:rsidP="00CF298A">
      <w:pPr>
        <w:pStyle w:val="EC-Para"/>
      </w:pPr>
      <w:r w:rsidRPr="00283CC9">
        <w:t>— meeting the clinical criteria</w:t>
      </w:r>
    </w:p>
    <w:p w14:paraId="0ED81916" w14:textId="3E0F7426" w:rsidR="00283CC9" w:rsidRPr="00283CC9" w:rsidRDefault="00283CC9" w:rsidP="00CF298A">
      <w:pPr>
        <w:pStyle w:val="EC-Para"/>
      </w:pPr>
      <w:r w:rsidRPr="00283CC9">
        <w:t>AND</w:t>
      </w:r>
      <w:r w:rsidR="00E2278A">
        <w:br/>
      </w:r>
      <w:r w:rsidR="00E2278A" w:rsidRPr="000969C8">
        <w:t>— a negative EEG for sporadic CJD</w:t>
      </w:r>
    </w:p>
    <w:p w14:paraId="00D60814" w14:textId="77777777" w:rsidR="00283CC9" w:rsidRPr="00283CC9" w:rsidRDefault="00283CC9" w:rsidP="00CF298A">
      <w:pPr>
        <w:pStyle w:val="EC-Para"/>
      </w:pPr>
    </w:p>
    <w:p w14:paraId="28003BBE" w14:textId="77777777" w:rsidR="00283CC9" w:rsidRPr="00CF298A" w:rsidRDefault="00283CC9" w:rsidP="00CF298A">
      <w:pPr>
        <w:pStyle w:val="EC-Para"/>
      </w:pPr>
      <w:r w:rsidRPr="00CF298A">
        <w:t>B. Probable case</w:t>
      </w:r>
    </w:p>
    <w:p w14:paraId="2C00B5F3" w14:textId="77777777" w:rsidR="00283CC9" w:rsidRPr="00283CC9" w:rsidRDefault="00283CC9" w:rsidP="00CF298A">
      <w:pPr>
        <w:pStyle w:val="EC-Para"/>
      </w:pPr>
      <w:r w:rsidRPr="00283CC9">
        <w:t>Any person fulfilling the preconditions</w:t>
      </w:r>
    </w:p>
    <w:p w14:paraId="32510185" w14:textId="77777777" w:rsidR="00283CC9" w:rsidRPr="00283CC9" w:rsidRDefault="00283CC9" w:rsidP="00CF298A">
      <w:pPr>
        <w:pStyle w:val="EC-Para"/>
      </w:pPr>
      <w:r w:rsidRPr="00283CC9">
        <w:t>AND</w:t>
      </w:r>
    </w:p>
    <w:p w14:paraId="68B427C7" w14:textId="77777777" w:rsidR="00283CC9" w:rsidRPr="000969C8" w:rsidRDefault="00283CC9" w:rsidP="00CF298A">
      <w:pPr>
        <w:pStyle w:val="EC-Para"/>
      </w:pPr>
      <w:r w:rsidRPr="000969C8">
        <w:t>— meeting the clinical criteria</w:t>
      </w:r>
    </w:p>
    <w:p w14:paraId="6266DCAD" w14:textId="77777777" w:rsidR="00283CC9" w:rsidRPr="000969C8" w:rsidRDefault="00283CC9" w:rsidP="00CF298A">
      <w:pPr>
        <w:pStyle w:val="EC-Para"/>
      </w:pPr>
      <w:r w:rsidRPr="000969C8">
        <w:t>AND</w:t>
      </w:r>
    </w:p>
    <w:p w14:paraId="1F2CBB75" w14:textId="0A004F3E" w:rsidR="00283CC9" w:rsidRPr="000969C8" w:rsidRDefault="00283CC9" w:rsidP="00CF298A">
      <w:pPr>
        <w:pStyle w:val="EC-Para"/>
      </w:pPr>
      <w:r w:rsidRPr="000969C8">
        <w:t xml:space="preserve">— a negative EEG for sporadic CJD </w:t>
      </w:r>
    </w:p>
    <w:p w14:paraId="12202C7B" w14:textId="77777777" w:rsidR="00283CC9" w:rsidRPr="000969C8" w:rsidRDefault="00283CC9" w:rsidP="00CF298A">
      <w:pPr>
        <w:pStyle w:val="EC-Para"/>
      </w:pPr>
      <w:r w:rsidRPr="000969C8">
        <w:t>AND</w:t>
      </w:r>
    </w:p>
    <w:p w14:paraId="77572E44" w14:textId="77777777" w:rsidR="00283CC9" w:rsidRPr="000969C8" w:rsidRDefault="00283CC9" w:rsidP="00CF298A">
      <w:pPr>
        <w:pStyle w:val="EC-Para"/>
      </w:pPr>
      <w:r w:rsidRPr="000969C8">
        <w:t>— a positive MRI brain scan</w:t>
      </w:r>
    </w:p>
    <w:p w14:paraId="6696E0C2" w14:textId="77777777" w:rsidR="00283CC9" w:rsidRPr="000969C8" w:rsidRDefault="00283CC9" w:rsidP="00CF298A">
      <w:pPr>
        <w:pStyle w:val="EC-Para"/>
      </w:pPr>
      <w:r w:rsidRPr="000969C8">
        <w:t>OR</w:t>
      </w:r>
    </w:p>
    <w:p w14:paraId="45396EA2" w14:textId="77777777" w:rsidR="00283CC9" w:rsidRPr="000969C8" w:rsidRDefault="00283CC9" w:rsidP="00CF298A">
      <w:pPr>
        <w:pStyle w:val="EC-Para"/>
      </w:pPr>
      <w:r w:rsidRPr="000969C8">
        <w:t>— Any person fulfilling the preconditions</w:t>
      </w:r>
    </w:p>
    <w:p w14:paraId="475615DE" w14:textId="77777777" w:rsidR="00283CC9" w:rsidRPr="000969C8" w:rsidRDefault="00283CC9" w:rsidP="00CF298A">
      <w:pPr>
        <w:pStyle w:val="EC-Para"/>
      </w:pPr>
      <w:r w:rsidRPr="000969C8">
        <w:t>AND</w:t>
      </w:r>
    </w:p>
    <w:p w14:paraId="4C91B765" w14:textId="77777777" w:rsidR="00283CC9" w:rsidRDefault="00283CC9" w:rsidP="00CF298A">
      <w:pPr>
        <w:pStyle w:val="EC-Para"/>
      </w:pPr>
      <w:r w:rsidRPr="000969C8">
        <w:t>— a positive tonsil biopsy</w:t>
      </w:r>
    </w:p>
    <w:p w14:paraId="0A168044" w14:textId="77777777" w:rsidR="00F07F82" w:rsidRDefault="00F07F82" w:rsidP="00CF298A">
      <w:pPr>
        <w:pStyle w:val="EC-Para"/>
        <w:rPr>
          <w:b/>
        </w:rPr>
      </w:pPr>
    </w:p>
    <w:p w14:paraId="0D357E0D" w14:textId="676E35E5" w:rsidR="00283CC9" w:rsidRPr="00CF298A" w:rsidRDefault="00283CC9" w:rsidP="00CF298A">
      <w:pPr>
        <w:pStyle w:val="EC-Para"/>
      </w:pPr>
      <w:r w:rsidRPr="00CF298A">
        <w:t>C. Confirmed case</w:t>
      </w:r>
    </w:p>
    <w:p w14:paraId="583182D3" w14:textId="77777777" w:rsidR="00283CC9" w:rsidRPr="00283CC9" w:rsidRDefault="00283CC9" w:rsidP="00CF298A">
      <w:pPr>
        <w:pStyle w:val="EC-Para"/>
      </w:pPr>
      <w:r w:rsidRPr="00283CC9">
        <w:t>Any person fulfilling the preconditions</w:t>
      </w:r>
    </w:p>
    <w:p w14:paraId="7E74CB24" w14:textId="77777777" w:rsidR="00283CC9" w:rsidRPr="00283CC9" w:rsidRDefault="00283CC9" w:rsidP="00CF298A">
      <w:pPr>
        <w:pStyle w:val="EC-Para"/>
      </w:pPr>
      <w:r w:rsidRPr="00283CC9">
        <w:t>AND</w:t>
      </w:r>
    </w:p>
    <w:p w14:paraId="52460541" w14:textId="7DAB7E52" w:rsidR="00283CC9" w:rsidRPr="000969C8" w:rsidRDefault="00283CC9" w:rsidP="00CF298A">
      <w:pPr>
        <w:pStyle w:val="EC-Para"/>
      </w:pPr>
      <w:r w:rsidRPr="000969C8">
        <w:t>meeting the diagnostic criteria for case confirmation</w:t>
      </w:r>
      <w:r w:rsidR="00AF4AD6">
        <w:t>.</w:t>
      </w:r>
    </w:p>
    <w:p w14:paraId="6F5B478C" w14:textId="29691A30" w:rsidR="000969C8" w:rsidRPr="000969C8" w:rsidRDefault="000969C8" w:rsidP="00560A04">
      <w:pPr>
        <w:autoSpaceDE w:val="0"/>
        <w:autoSpaceDN w:val="0"/>
        <w:adjustRightInd w:val="0"/>
        <w:jc w:val="both"/>
        <w:rPr>
          <w:rFonts w:cs="Tahoma"/>
          <w:szCs w:val="18"/>
        </w:rPr>
      </w:pPr>
      <w:r w:rsidRPr="000969C8">
        <w:rPr>
          <w:rFonts w:cs="Tahoma"/>
          <w:szCs w:val="18"/>
        </w:rPr>
        <w:t>------------------------</w:t>
      </w:r>
    </w:p>
    <w:p w14:paraId="6CB2D670" w14:textId="4B9312C3" w:rsidR="00560A04" w:rsidRPr="009D0763" w:rsidRDefault="000969C8" w:rsidP="00560A04">
      <w:pPr>
        <w:autoSpaceDE w:val="0"/>
        <w:autoSpaceDN w:val="0"/>
        <w:adjustRightInd w:val="0"/>
        <w:jc w:val="both"/>
        <w:rPr>
          <w:rFonts w:cs="Tahoma"/>
          <w:szCs w:val="18"/>
        </w:rPr>
      </w:pPr>
      <w:r w:rsidRPr="000969C8">
        <w:rPr>
          <w:rFonts w:cs="Tahoma"/>
          <w:szCs w:val="18"/>
        </w:rPr>
        <w:t>(</w:t>
      </w:r>
      <w:r w:rsidR="00560A04" w:rsidRPr="000969C8">
        <w:rPr>
          <w:rFonts w:cs="Tahoma"/>
          <w:szCs w:val="18"/>
        </w:rPr>
        <w:t>There are no differences between the 201</w:t>
      </w:r>
      <w:r w:rsidRPr="000969C8">
        <w:rPr>
          <w:rFonts w:cs="Tahoma"/>
          <w:szCs w:val="18"/>
        </w:rPr>
        <w:t>8</w:t>
      </w:r>
      <w:r w:rsidR="00560A04" w:rsidRPr="000969C8">
        <w:rPr>
          <w:rFonts w:cs="Tahoma"/>
          <w:szCs w:val="18"/>
        </w:rPr>
        <w:t xml:space="preserve"> </w:t>
      </w:r>
      <w:r w:rsidRPr="000969C8">
        <w:rPr>
          <w:rFonts w:cs="Tahoma"/>
          <w:szCs w:val="18"/>
        </w:rPr>
        <w:t xml:space="preserve">EU case definition and those of </w:t>
      </w:r>
      <w:r w:rsidR="00560A04" w:rsidRPr="000969C8">
        <w:rPr>
          <w:rFonts w:cs="Tahoma"/>
          <w:szCs w:val="18"/>
        </w:rPr>
        <w:t>2008</w:t>
      </w:r>
      <w:r w:rsidRPr="000969C8">
        <w:rPr>
          <w:rFonts w:cs="Tahoma"/>
          <w:szCs w:val="18"/>
        </w:rPr>
        <w:t xml:space="preserve"> and 2012</w:t>
      </w:r>
      <w:r w:rsidR="00560A04" w:rsidRPr="000969C8">
        <w:rPr>
          <w:rFonts w:cs="Tahoma"/>
          <w:szCs w:val="18"/>
        </w:rPr>
        <w:t>.</w:t>
      </w:r>
      <w:r w:rsidRPr="000969C8">
        <w:rPr>
          <w:rFonts w:cs="Tahoma"/>
          <w:szCs w:val="18"/>
        </w:rPr>
        <w:t>)</w:t>
      </w:r>
      <w:r w:rsidR="00560A04" w:rsidRPr="000969C8">
        <w:rPr>
          <w:szCs w:val="18"/>
        </w:rPr>
        <w:t xml:space="preserve"> </w:t>
      </w:r>
    </w:p>
    <w:p w14:paraId="23D988EA" w14:textId="77777777" w:rsidR="00560A04" w:rsidRDefault="00560A04" w:rsidP="00560A04">
      <w:pPr>
        <w:pStyle w:val="EC-Para"/>
        <w:spacing w:after="0" w:line="240" w:lineRule="auto"/>
        <w:jc w:val="both"/>
        <w:rPr>
          <w:color w:val="FF0000"/>
          <w:lang w:eastAsia="en-US"/>
        </w:rPr>
      </w:pPr>
    </w:p>
    <w:p w14:paraId="6B664728" w14:textId="77777777" w:rsidR="00560A04" w:rsidRPr="00452AF8" w:rsidRDefault="00560A04" w:rsidP="00AF4AD6">
      <w:pPr>
        <w:pStyle w:val="EC-Title-6"/>
      </w:pPr>
      <w:r w:rsidRPr="00BD0ACE">
        <w:t xml:space="preserve">Data collection and </w:t>
      </w:r>
      <w:r w:rsidRPr="00AF4AD6">
        <w:t>analysis</w:t>
      </w:r>
      <w:r w:rsidRPr="00BD0ACE">
        <w:t xml:space="preserve"> </w:t>
      </w:r>
    </w:p>
    <w:p w14:paraId="1B7619DC" w14:textId="67136178" w:rsidR="004B0CC8" w:rsidRPr="004B0CC8" w:rsidRDefault="004B0CC8" w:rsidP="004B0CC8">
      <w:pPr>
        <w:pStyle w:val="EC-Para"/>
        <w:jc w:val="both"/>
        <w:rPr>
          <w:rFonts w:cs="Tahoma"/>
        </w:rPr>
      </w:pPr>
      <w:r w:rsidRPr="004B0CC8">
        <w:rPr>
          <w:rFonts w:cs="Tahoma"/>
        </w:rPr>
        <w:t xml:space="preserve">The clinical presentation and associated diagnostic criteria for </w:t>
      </w:r>
      <w:proofErr w:type="spellStart"/>
      <w:r w:rsidRPr="004B0CC8">
        <w:rPr>
          <w:rFonts w:cs="Tahoma"/>
        </w:rPr>
        <w:t>vCJD</w:t>
      </w:r>
      <w:proofErr w:type="spellEnd"/>
      <w:r w:rsidRPr="004B0CC8">
        <w:rPr>
          <w:rFonts w:cs="Tahoma"/>
        </w:rPr>
        <w:t xml:space="preserve"> are relatively unusual, and hence suspected cases are typically identified and reported to national surveillance centres in each Member State. It is common for such expert centres to offer diagnostic support and </w:t>
      </w:r>
      <w:proofErr w:type="gramStart"/>
      <w:r w:rsidRPr="004B0CC8">
        <w:rPr>
          <w:rFonts w:cs="Tahoma"/>
        </w:rPr>
        <w:t>post mortem</w:t>
      </w:r>
      <w:proofErr w:type="gramEnd"/>
      <w:r w:rsidRPr="004B0CC8">
        <w:rPr>
          <w:rFonts w:cs="Tahoma"/>
        </w:rPr>
        <w:t xml:space="preserve"> analysis. Ultimately, successful </w:t>
      </w:r>
      <w:proofErr w:type="spellStart"/>
      <w:r w:rsidRPr="004B0CC8">
        <w:rPr>
          <w:rFonts w:cs="Tahoma"/>
        </w:rPr>
        <w:t>vCJD</w:t>
      </w:r>
      <w:proofErr w:type="spellEnd"/>
      <w:r w:rsidRPr="004B0CC8">
        <w:rPr>
          <w:rFonts w:cs="Tahoma"/>
        </w:rPr>
        <w:t xml:space="preserve"> </w:t>
      </w:r>
      <w:r w:rsidR="00B85E6C">
        <w:rPr>
          <w:rFonts w:cs="Tahoma"/>
        </w:rPr>
        <w:t xml:space="preserve">diagnosis </w:t>
      </w:r>
      <w:r w:rsidRPr="004B0CC8">
        <w:rPr>
          <w:rFonts w:cs="Tahoma"/>
        </w:rPr>
        <w:t>requires the identification of</w:t>
      </w:r>
      <w:r w:rsidR="00B85E6C">
        <w:rPr>
          <w:rFonts w:cs="Tahoma"/>
        </w:rPr>
        <w:t xml:space="preserve"> patients as </w:t>
      </w:r>
      <w:r w:rsidR="00982825">
        <w:rPr>
          <w:rFonts w:cs="Tahoma"/>
        </w:rPr>
        <w:t xml:space="preserve">suspect </w:t>
      </w:r>
      <w:r w:rsidR="00B85E6C">
        <w:rPr>
          <w:rFonts w:cs="Tahoma"/>
        </w:rPr>
        <w:t>CJD cases. Su</w:t>
      </w:r>
      <w:r w:rsidR="00982825">
        <w:rPr>
          <w:rFonts w:cs="Tahoma"/>
        </w:rPr>
        <w:t>c</w:t>
      </w:r>
      <w:r w:rsidR="00B85E6C">
        <w:rPr>
          <w:rFonts w:cs="Tahoma"/>
        </w:rPr>
        <w:t xml:space="preserve">h cases can then be investigated further using prescribed diagnostic </w:t>
      </w:r>
      <w:r w:rsidR="00982825">
        <w:rPr>
          <w:rFonts w:cs="Tahoma"/>
        </w:rPr>
        <w:t>approaches</w:t>
      </w:r>
      <w:r w:rsidR="00B85E6C">
        <w:rPr>
          <w:rFonts w:cs="Tahoma"/>
        </w:rPr>
        <w:t xml:space="preserve"> as </w:t>
      </w:r>
      <w:r w:rsidR="00982825">
        <w:rPr>
          <w:rFonts w:cs="Tahoma"/>
        </w:rPr>
        <w:t>defined</w:t>
      </w:r>
      <w:r w:rsidR="00B85E6C">
        <w:rPr>
          <w:rFonts w:cs="Tahoma"/>
        </w:rPr>
        <w:t xml:space="preserve"> in the </w:t>
      </w:r>
      <w:proofErr w:type="spellStart"/>
      <w:r w:rsidR="00B85E6C">
        <w:rPr>
          <w:rFonts w:cs="Tahoma"/>
        </w:rPr>
        <w:t>vCJD</w:t>
      </w:r>
      <w:proofErr w:type="spellEnd"/>
      <w:r w:rsidR="00B85E6C">
        <w:rPr>
          <w:rFonts w:cs="Tahoma"/>
        </w:rPr>
        <w:t xml:space="preserve"> case definition </w:t>
      </w:r>
      <w:proofErr w:type="gramStart"/>
      <w:r w:rsidR="00B85E6C">
        <w:rPr>
          <w:rFonts w:cs="Tahoma"/>
        </w:rPr>
        <w:t>in order to</w:t>
      </w:r>
      <w:proofErr w:type="gramEnd"/>
      <w:r w:rsidR="00B85E6C">
        <w:rPr>
          <w:rFonts w:cs="Tahoma"/>
        </w:rPr>
        <w:t xml:space="preserve"> provide </w:t>
      </w:r>
      <w:r w:rsidRPr="004B0CC8">
        <w:rPr>
          <w:rFonts w:cs="Tahoma"/>
        </w:rPr>
        <w:t xml:space="preserve">accurate differential diagnosis between </w:t>
      </w:r>
      <w:proofErr w:type="spellStart"/>
      <w:r w:rsidRPr="004B0CC8">
        <w:rPr>
          <w:rFonts w:cs="Tahoma"/>
        </w:rPr>
        <w:t>vCJD</w:t>
      </w:r>
      <w:proofErr w:type="spellEnd"/>
      <w:r w:rsidRPr="004B0CC8">
        <w:rPr>
          <w:rFonts w:cs="Tahoma"/>
        </w:rPr>
        <w:t xml:space="preserve"> and other more common forms of CJD (sporadic, iatrogenic, and familial). </w:t>
      </w:r>
    </w:p>
    <w:p w14:paraId="4DC4B4AE" w14:textId="3E3BFCAB" w:rsidR="00560A04" w:rsidRDefault="00560A04" w:rsidP="004B0CC8">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C345F5">
        <w:rPr>
          <w:rFonts w:cs="Tahoma"/>
        </w:rPr>
        <w:t>EU/EEA countries</w:t>
      </w:r>
      <w:r>
        <w:rPr>
          <w:rFonts w:cs="Tahoma"/>
        </w:rP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0E544776" w14:textId="2B00A675" w:rsidR="00560A04" w:rsidRDefault="00560A04" w:rsidP="00560A04">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xml:space="preserve">. </w:t>
      </w:r>
    </w:p>
    <w:p w14:paraId="524641F3" w14:textId="77777777" w:rsidR="00560A04" w:rsidRDefault="00560A04" w:rsidP="00560A04">
      <w:pPr>
        <w:pStyle w:val="EC-Para"/>
        <w:jc w:val="both"/>
        <w:rPr>
          <w:rFonts w:cs="Tahoma"/>
        </w:rPr>
      </w:pPr>
      <w:r>
        <w:rPr>
          <w:rFonts w:cs="Tahoma"/>
        </w:rPr>
        <w:t>Surveillance systems across the EU/EEA countries are heterogeneous and a surveillance systems overview is displayed in Annex 1.</w:t>
      </w:r>
    </w:p>
    <w:p w14:paraId="385A6D3E" w14:textId="77777777" w:rsidR="009D4D86" w:rsidRDefault="009D4D86" w:rsidP="00560A04">
      <w:pPr>
        <w:pStyle w:val="EC-Para"/>
        <w:jc w:val="both"/>
        <w:rPr>
          <w:rFonts w:cs="Tahoma"/>
        </w:rPr>
      </w:pPr>
    </w:p>
    <w:p w14:paraId="6C5CD713" w14:textId="77777777" w:rsidR="00560A04" w:rsidRPr="0072746F" w:rsidRDefault="00560A04" w:rsidP="00F07F82">
      <w:pPr>
        <w:pStyle w:val="EC-Title-6"/>
      </w:pPr>
      <w:r w:rsidRPr="0072746F">
        <w:lastRenderedPageBreak/>
        <w:t xml:space="preserve">Surveillance </w:t>
      </w:r>
      <w:r w:rsidRPr="00F07F82">
        <w:t>Atlas</w:t>
      </w:r>
      <w:r w:rsidRPr="0072746F">
        <w:t xml:space="preserve"> indicators</w:t>
      </w:r>
    </w:p>
    <w:p w14:paraId="3D476826" w14:textId="48FBAFF7" w:rsidR="00560A04" w:rsidRDefault="004B0CC8" w:rsidP="00205026">
      <w:pPr>
        <w:pStyle w:val="EC-Para"/>
        <w:spacing w:line="259" w:lineRule="auto"/>
        <w:rPr>
          <w:rFonts w:cs="Tahoma"/>
        </w:rPr>
      </w:pPr>
      <w:r>
        <w:rPr>
          <w:rFonts w:cs="Tahoma"/>
        </w:rPr>
        <w:t>For reasons stated above, t</w:t>
      </w:r>
      <w:r w:rsidR="00560A04" w:rsidRPr="005E139C">
        <w:rPr>
          <w:rFonts w:cs="Tahoma"/>
        </w:rPr>
        <w:t xml:space="preserve">he Surveillance Atlas indicators for </w:t>
      </w:r>
      <w:proofErr w:type="spellStart"/>
      <w:r w:rsidR="00B615D5">
        <w:rPr>
          <w:rFonts w:cs="Tahoma"/>
        </w:rPr>
        <w:t>vCJD</w:t>
      </w:r>
      <w:proofErr w:type="spellEnd"/>
      <w:r w:rsidR="00560A04" w:rsidRPr="005E139C">
        <w:rPr>
          <w:rFonts w:cs="Tahoma"/>
        </w:rPr>
        <w:t xml:space="preserve"> </w:t>
      </w:r>
      <w:r w:rsidR="00560A04">
        <w:rPr>
          <w:rFonts w:cs="Tahoma"/>
        </w:rPr>
        <w:t>cases</w:t>
      </w:r>
      <w:r>
        <w:rPr>
          <w:rFonts w:cs="Tahoma"/>
        </w:rPr>
        <w:t xml:space="preserve"> are </w:t>
      </w:r>
      <w:r w:rsidR="001A25AF">
        <w:rPr>
          <w:rFonts w:cs="Tahoma"/>
        </w:rPr>
        <w:t xml:space="preserve">the </w:t>
      </w:r>
      <w:r>
        <w:rPr>
          <w:rFonts w:cs="Tahoma"/>
        </w:rPr>
        <w:t>n</w:t>
      </w:r>
      <w:r w:rsidR="00B615D5" w:rsidRPr="00B615D5">
        <w:rPr>
          <w:rFonts w:cs="Tahoma"/>
        </w:rPr>
        <w:t xml:space="preserve">umber of </w:t>
      </w:r>
      <w:r w:rsidR="00B615D5">
        <w:rPr>
          <w:rFonts w:cs="Tahoma"/>
        </w:rPr>
        <w:t>confirmed</w:t>
      </w:r>
      <w:r>
        <w:rPr>
          <w:rFonts w:cs="Tahoma"/>
        </w:rPr>
        <w:t xml:space="preserve"> and probable</w:t>
      </w:r>
      <w:r w:rsidR="00B615D5" w:rsidRPr="00B615D5">
        <w:rPr>
          <w:rFonts w:cs="Tahoma"/>
        </w:rPr>
        <w:t xml:space="preserve"> cases</w:t>
      </w:r>
      <w:r>
        <w:rPr>
          <w:rFonts w:cs="Tahoma"/>
        </w:rPr>
        <w:t xml:space="preserve"> in </w:t>
      </w:r>
      <w:proofErr w:type="gramStart"/>
      <w:r>
        <w:rPr>
          <w:rFonts w:cs="Tahoma"/>
        </w:rPr>
        <w:t>combination</w:t>
      </w:r>
      <w:r w:rsidR="00B615D5" w:rsidRPr="00B615D5">
        <w:rPr>
          <w:rFonts w:cs="Tahoma"/>
        </w:rPr>
        <w:t>;</w:t>
      </w:r>
      <w:proofErr w:type="gramEnd"/>
    </w:p>
    <w:p w14:paraId="4EB6399F" w14:textId="6491DD74" w:rsidR="00107FC7" w:rsidRPr="00107FC7" w:rsidRDefault="00107FC7" w:rsidP="00205026">
      <w:pPr>
        <w:pStyle w:val="EC-Para"/>
        <w:spacing w:line="259" w:lineRule="auto"/>
        <w:rPr>
          <w:rFonts w:cs="Tahoma"/>
        </w:rPr>
      </w:pPr>
      <w:r w:rsidRPr="00107FC7">
        <w:rPr>
          <w:rFonts w:cs="Tahoma"/>
        </w:rPr>
        <w:t xml:space="preserve">The Surveillance Atlas indicators for </w:t>
      </w:r>
      <w:r w:rsidR="0084467A">
        <w:rPr>
          <w:rFonts w:cs="Tahoma"/>
        </w:rPr>
        <w:t>confirmed and probable</w:t>
      </w:r>
      <w:r w:rsidR="0084467A" w:rsidRPr="00B615D5">
        <w:rPr>
          <w:rFonts w:cs="Tahoma"/>
        </w:rPr>
        <w:t xml:space="preserve"> </w:t>
      </w:r>
      <w:proofErr w:type="spellStart"/>
      <w:r w:rsidR="0084467A">
        <w:rPr>
          <w:rFonts w:cs="Tahoma"/>
        </w:rPr>
        <w:t>vCJD</w:t>
      </w:r>
      <w:proofErr w:type="spellEnd"/>
      <w:r w:rsidR="0084467A" w:rsidRPr="00B615D5">
        <w:rPr>
          <w:rFonts w:cs="Tahoma"/>
        </w:rPr>
        <w:t xml:space="preserve"> cases</w:t>
      </w:r>
      <w:r w:rsidRPr="00107FC7">
        <w:rPr>
          <w:rFonts w:cs="Tahoma"/>
        </w:rPr>
        <w:t xml:space="preserve"> are: </w:t>
      </w:r>
    </w:p>
    <w:p w14:paraId="44720972" w14:textId="147D8BA2" w:rsidR="00107FC7" w:rsidRPr="00107FC7" w:rsidRDefault="00107FC7" w:rsidP="00205026">
      <w:pPr>
        <w:pStyle w:val="EC-Para"/>
        <w:spacing w:after="0" w:line="259" w:lineRule="auto"/>
        <w:rPr>
          <w:rFonts w:cs="Tahoma"/>
        </w:rPr>
      </w:pPr>
      <w:r w:rsidRPr="00107FC7">
        <w:rPr>
          <w:rFonts w:cs="Tahoma"/>
        </w:rPr>
        <w:t xml:space="preserve">1. Number of reported </w:t>
      </w:r>
      <w:proofErr w:type="gramStart"/>
      <w:r w:rsidRPr="00107FC7">
        <w:rPr>
          <w:rFonts w:cs="Tahoma"/>
        </w:rPr>
        <w:t>cases;</w:t>
      </w:r>
      <w:proofErr w:type="gramEnd"/>
      <w:r w:rsidRPr="00107FC7">
        <w:rPr>
          <w:rFonts w:cs="Tahoma"/>
        </w:rPr>
        <w:t xml:space="preserve"> </w:t>
      </w:r>
    </w:p>
    <w:p w14:paraId="0AC4DD96" w14:textId="77777777" w:rsidR="00A64264" w:rsidRDefault="00A64264" w:rsidP="00205026">
      <w:pPr>
        <w:kinsoku w:val="0"/>
        <w:autoSpaceDE w:val="0"/>
        <w:autoSpaceDN w:val="0"/>
        <w:adjustRightInd w:val="0"/>
        <w:rPr>
          <w:rFonts w:eastAsia="Arial Unicode MS" w:cs="Tahoma"/>
          <w:kern w:val="22"/>
          <w:szCs w:val="18"/>
        </w:rPr>
      </w:pPr>
    </w:p>
    <w:p w14:paraId="459CA6D9" w14:textId="0474AAB0" w:rsidR="00560A04" w:rsidRPr="007B34B1" w:rsidRDefault="00560A04" w:rsidP="00205026">
      <w:pPr>
        <w:kinsoku w:val="0"/>
        <w:autoSpaceDE w:val="0"/>
        <w:autoSpaceDN w:val="0"/>
        <w:adjustRightInd w:val="0"/>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00B615D5" w:rsidRPr="00B615D5">
        <w:rPr>
          <w:rFonts w:eastAsia="Arial Unicode MS" w:cs="Tahoma"/>
          <w:kern w:val="22"/>
          <w:szCs w:val="18"/>
        </w:rPr>
        <w:t>these indicators</w:t>
      </w:r>
      <w:r w:rsidRPr="00B615D5">
        <w:rPr>
          <w:rFonts w:eastAsia="Arial Unicode MS" w:cs="Tahoma"/>
          <w:kern w:val="22"/>
          <w:szCs w:val="18"/>
        </w:rPr>
        <w:t>,</w:t>
      </w:r>
      <w:r>
        <w:rPr>
          <w:rFonts w:eastAsia="Arial Unicode MS" w:cs="Tahoma"/>
          <w:kern w:val="22"/>
          <w:szCs w:val="18"/>
        </w:rPr>
        <w:t xml:space="preserve">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25B9AF25" w14:textId="1418CF2E" w:rsidR="00560A04" w:rsidRDefault="00560A04" w:rsidP="00205026">
      <w:pPr>
        <w:numPr>
          <w:ilvl w:val="0"/>
          <w:numId w:val="1"/>
        </w:numPr>
        <w:kinsoku w:val="0"/>
        <w:autoSpaceDE w:val="0"/>
        <w:autoSpaceDN w:val="0"/>
        <w:adjustRightInd w:val="0"/>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r w:rsidR="00BE2F01">
        <w:rPr>
          <w:rFonts w:eastAsia="Arial Unicode MS" w:cs="Tahoma"/>
          <w:kern w:val="22"/>
          <w:szCs w:val="18"/>
        </w:rPr>
        <w:t>.</w:t>
      </w:r>
    </w:p>
    <w:p w14:paraId="079F3E60" w14:textId="77777777" w:rsidR="00560A04" w:rsidRDefault="00560A04" w:rsidP="00560A04">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560A04" w14:paraId="3F0C7013" w14:textId="77777777" w:rsidTr="001A1AE0">
        <w:tc>
          <w:tcPr>
            <w:tcW w:w="1101" w:type="dxa"/>
            <w:tcBorders>
              <w:top w:val="single" w:sz="4" w:space="0" w:color="000000"/>
              <w:left w:val="single" w:sz="4" w:space="0" w:color="000000"/>
              <w:bottom w:val="single" w:sz="4" w:space="0" w:color="000000"/>
              <w:right w:val="single" w:sz="4" w:space="0" w:color="000000"/>
            </w:tcBorders>
            <w:hideMark/>
          </w:tcPr>
          <w:p w14:paraId="0328A01A" w14:textId="77777777" w:rsidR="00560A04" w:rsidRDefault="00560A04" w:rsidP="001A1AE0">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4892B3E7" w14:textId="77777777" w:rsidR="00560A04" w:rsidRDefault="00560A04" w:rsidP="001A1AE0">
            <w:pPr>
              <w:pStyle w:val="EC-Para"/>
              <w:rPr>
                <w:lang w:eastAsia="en-US"/>
              </w:rPr>
            </w:pPr>
            <w:r>
              <w:rPr>
                <w:lang w:eastAsia="en-US"/>
              </w:rPr>
              <w:t>Comment</w:t>
            </w:r>
          </w:p>
        </w:tc>
      </w:tr>
      <w:tr w:rsidR="00560A04" w14:paraId="1E5CDA15" w14:textId="77777777" w:rsidTr="001A1AE0">
        <w:tc>
          <w:tcPr>
            <w:tcW w:w="1101" w:type="dxa"/>
            <w:tcBorders>
              <w:top w:val="single" w:sz="4" w:space="0" w:color="000000"/>
              <w:left w:val="single" w:sz="4" w:space="0" w:color="000000"/>
              <w:bottom w:val="single" w:sz="4" w:space="0" w:color="000000"/>
              <w:right w:val="single" w:sz="4" w:space="0" w:color="000000"/>
            </w:tcBorders>
            <w:hideMark/>
          </w:tcPr>
          <w:p w14:paraId="5B345A7F" w14:textId="77777777" w:rsidR="00560A04" w:rsidRDefault="00560A04" w:rsidP="001A1AE0">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0280B2ED" w14:textId="77777777" w:rsidR="00560A04" w:rsidRDefault="00560A04" w:rsidP="001A1AE0">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560A04" w14:paraId="08049F7F" w14:textId="77777777" w:rsidTr="001A1AE0">
        <w:tc>
          <w:tcPr>
            <w:tcW w:w="1101" w:type="dxa"/>
            <w:tcBorders>
              <w:top w:val="single" w:sz="4" w:space="0" w:color="000000"/>
              <w:left w:val="single" w:sz="4" w:space="0" w:color="000000"/>
              <w:bottom w:val="single" w:sz="4" w:space="0" w:color="000000"/>
              <w:right w:val="single" w:sz="4" w:space="0" w:color="000000"/>
            </w:tcBorders>
            <w:hideMark/>
          </w:tcPr>
          <w:p w14:paraId="6B272302" w14:textId="77777777" w:rsidR="00560A04" w:rsidRDefault="00560A04" w:rsidP="001A1AE0">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776EA3A" w14:textId="77777777" w:rsidR="00560A04" w:rsidRDefault="00560A04" w:rsidP="001A1AE0">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3467783F" w14:textId="77777777" w:rsidR="00560A04" w:rsidRDefault="00560A04" w:rsidP="00560A04">
      <w:pPr>
        <w:pStyle w:val="EC-Para"/>
        <w:rPr>
          <w:lang w:eastAsia="en-US"/>
        </w:rPr>
      </w:pPr>
    </w:p>
    <w:p w14:paraId="007CC9B4" w14:textId="575DAA83" w:rsidR="00560A04" w:rsidRPr="0072746F" w:rsidRDefault="00560A04" w:rsidP="00DA4B5C">
      <w:pPr>
        <w:pStyle w:val="EC-Title-6"/>
      </w:pPr>
      <w:r w:rsidRPr="0072746F">
        <w:t xml:space="preserve">Data </w:t>
      </w:r>
      <w:r w:rsidRPr="00DA4B5C">
        <w:t>quality</w:t>
      </w:r>
    </w:p>
    <w:p w14:paraId="4E52B670" w14:textId="1A72F9B9" w:rsidR="00560A04" w:rsidRDefault="00560A04" w:rsidP="00560A04">
      <w:pPr>
        <w:autoSpaceDE w:val="0"/>
        <w:autoSpaceDN w:val="0"/>
        <w:adjustRightInd w:val="0"/>
        <w:jc w:val="both"/>
        <w:rPr>
          <w:rFonts w:eastAsia="Arial Unicode MS" w:cs="Tahoma"/>
          <w:kern w:val="22"/>
          <w:szCs w:val="18"/>
        </w:rPr>
      </w:pPr>
      <w:r w:rsidRPr="009E3B9F">
        <w:rPr>
          <w:rFonts w:cs="Tahoma"/>
          <w:szCs w:val="18"/>
        </w:rPr>
        <w:t xml:space="preserve">The Surveillance Atlas indicators were calculated up to the end of </w:t>
      </w:r>
      <w:r w:rsidR="00A32FE1">
        <w:rPr>
          <w:rFonts w:cs="Tahoma"/>
          <w:szCs w:val="18"/>
        </w:rPr>
        <w:t>202</w:t>
      </w:r>
      <w:r w:rsidR="008C28F1">
        <w:rPr>
          <w:rFonts w:cs="Tahoma"/>
          <w:szCs w:val="18"/>
        </w:rPr>
        <w:t>2</w:t>
      </w:r>
      <w:r w:rsidRPr="009E3B9F">
        <w:rPr>
          <w:rFonts w:cs="Tahoma"/>
          <w:szCs w:val="18"/>
        </w:rPr>
        <w:t xml:space="preserve">. </w:t>
      </w:r>
      <w:r w:rsidRPr="009E3B9F">
        <w:rPr>
          <w:rFonts w:eastAsia="Arial Unicode MS" w:cs="Tahoma"/>
          <w:kern w:val="22"/>
          <w:szCs w:val="18"/>
        </w:rPr>
        <w:t xml:space="preserve">EU/EEA countries reporting data on </w:t>
      </w:r>
      <w:proofErr w:type="spellStart"/>
      <w:r w:rsidR="00C70B5B">
        <w:rPr>
          <w:rFonts w:eastAsia="Arial Unicode MS" w:cs="Tahoma"/>
          <w:kern w:val="22"/>
          <w:szCs w:val="18"/>
        </w:rPr>
        <w:t>vCJD</w:t>
      </w:r>
      <w:proofErr w:type="spellEnd"/>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w:t>
      </w:r>
      <w:r w:rsidR="00C70B5B">
        <w:rPr>
          <w:rFonts w:eastAsia="Arial Unicode MS" w:cs="Tahoma"/>
          <w:kern w:val="22"/>
          <w:szCs w:val="18"/>
        </w:rPr>
        <w:t xml:space="preserve">and probable </w:t>
      </w:r>
      <w:r w:rsidRPr="009E3B9F">
        <w:rPr>
          <w:rFonts w:eastAsia="Arial Unicode MS" w:cs="Tahoma"/>
          <w:kern w:val="22"/>
          <w:szCs w:val="18"/>
        </w:rPr>
        <w:t xml:space="preserve">cases.  </w:t>
      </w:r>
    </w:p>
    <w:p w14:paraId="337C60F9" w14:textId="0A6501A6" w:rsidR="00560A04" w:rsidRDefault="00560A04" w:rsidP="00560A04">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 for data quality of </w:t>
      </w:r>
      <w:r w:rsidRPr="00E95571">
        <w:rPr>
          <w:rFonts w:eastAsia="Arial Unicode MS" w:cs="Tahoma"/>
          <w:kern w:val="22"/>
          <w:szCs w:val="18"/>
        </w:rPr>
        <w:t xml:space="preserve">confirmed </w:t>
      </w:r>
      <w:r w:rsidR="00C70B5B">
        <w:rPr>
          <w:rFonts w:eastAsia="Arial Unicode MS" w:cs="Tahoma"/>
          <w:kern w:val="22"/>
          <w:szCs w:val="18"/>
        </w:rPr>
        <w:t xml:space="preserve">and probable </w:t>
      </w:r>
      <w:proofErr w:type="spellStart"/>
      <w:r w:rsidR="00C70B5B">
        <w:rPr>
          <w:rFonts w:eastAsia="Arial Unicode MS" w:cs="Tahoma"/>
          <w:kern w:val="22"/>
          <w:szCs w:val="18"/>
        </w:rPr>
        <w:t>vCJD</w:t>
      </w:r>
      <w:proofErr w:type="spellEnd"/>
      <w:r w:rsidR="00C70B5B">
        <w:rPr>
          <w:rFonts w:eastAsia="Arial Unicode MS" w:cs="Tahoma"/>
          <w:kern w:val="22"/>
          <w:szCs w:val="18"/>
        </w:rPr>
        <w:t xml:space="preserve"> is</w:t>
      </w:r>
      <w:r>
        <w:rPr>
          <w:rFonts w:eastAsia="Arial Unicode MS" w:cs="Tahoma"/>
          <w:kern w:val="22"/>
          <w:szCs w:val="18"/>
        </w:rPr>
        <w:t>:</w:t>
      </w:r>
    </w:p>
    <w:p w14:paraId="45A10D85" w14:textId="419CCF06" w:rsidR="00560A04" w:rsidRDefault="00560A0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r w:rsidR="00DA4B5C">
        <w:rPr>
          <w:rFonts w:eastAsia="Arial Unicode MS" w:cs="Tahoma"/>
          <w:kern w:val="22"/>
          <w:szCs w:val="18"/>
          <w:lang w:eastAsia="ko-KR"/>
        </w:rPr>
        <w:t>.</w:t>
      </w:r>
    </w:p>
    <w:p w14:paraId="66E31062" w14:textId="77777777" w:rsidR="00560A04" w:rsidRDefault="00560A04" w:rsidP="00560A04">
      <w:pPr>
        <w:pStyle w:val="EC-Title-6"/>
        <w:outlineLvl w:val="1"/>
        <w:rPr>
          <w:rFonts w:cs="Tahoma"/>
        </w:rPr>
      </w:pPr>
      <w:r w:rsidRPr="00C82DDE">
        <w:rPr>
          <w:rFonts w:cs="Tahoma"/>
        </w:rPr>
        <w:t xml:space="preserve">Interpretation </w:t>
      </w:r>
    </w:p>
    <w:p w14:paraId="6C6C2D99" w14:textId="24E5C2C1" w:rsidR="00F24124" w:rsidRDefault="009B2528" w:rsidP="00F24124">
      <w:pPr>
        <w:pStyle w:val="EC-Para"/>
        <w:spacing w:line="240" w:lineRule="auto"/>
        <w:jc w:val="both"/>
        <w:rPr>
          <w:rFonts w:cs="Tahoma"/>
        </w:rPr>
      </w:pPr>
      <w:r>
        <w:rPr>
          <w:rFonts w:eastAsiaTheme="minorHAnsi" w:cs="Tahoma"/>
          <w:lang w:eastAsia="en-US"/>
        </w:rPr>
        <w:t xml:space="preserve">The </w:t>
      </w:r>
      <w:r w:rsidR="00982825">
        <w:rPr>
          <w:rFonts w:eastAsiaTheme="minorHAnsi" w:cs="Tahoma"/>
          <w:lang w:eastAsia="en-US"/>
        </w:rPr>
        <w:t xml:space="preserve">notification of </w:t>
      </w:r>
      <w:proofErr w:type="spellStart"/>
      <w:r w:rsidR="00982825">
        <w:rPr>
          <w:rFonts w:eastAsiaTheme="minorHAnsi" w:cs="Tahoma"/>
          <w:lang w:eastAsia="en-US"/>
        </w:rPr>
        <w:t>vCJD</w:t>
      </w:r>
      <w:proofErr w:type="spellEnd"/>
      <w:r w:rsidR="00982825">
        <w:rPr>
          <w:rFonts w:eastAsiaTheme="minorHAnsi" w:cs="Tahoma"/>
          <w:lang w:eastAsia="en-US"/>
        </w:rPr>
        <w:t xml:space="preserve"> is </w:t>
      </w:r>
      <w:r w:rsidR="00982825" w:rsidRPr="00982825">
        <w:rPr>
          <w:rFonts w:eastAsiaTheme="minorHAnsi" w:cs="Tahoma"/>
          <w:lang w:eastAsia="en-US"/>
        </w:rPr>
        <w:t>mandatory in</w:t>
      </w:r>
      <w:r w:rsidR="00982825">
        <w:rPr>
          <w:rFonts w:eastAsiaTheme="minorHAnsi" w:cs="Tahoma"/>
          <w:lang w:eastAsia="en-US"/>
        </w:rPr>
        <w:t xml:space="preserve"> all </w:t>
      </w:r>
      <w:r w:rsidR="007909D7">
        <w:rPr>
          <w:rFonts w:eastAsiaTheme="minorHAnsi" w:cs="Tahoma"/>
          <w:lang w:eastAsia="en-US"/>
        </w:rPr>
        <w:t>EU/EEA countries</w:t>
      </w:r>
      <w:r w:rsidR="00A04448">
        <w:rPr>
          <w:rFonts w:eastAsiaTheme="minorHAnsi" w:cs="Tahoma"/>
          <w:lang w:eastAsia="en-US"/>
        </w:rPr>
        <w:t xml:space="preserve"> except in Belgium</w:t>
      </w:r>
      <w:r w:rsidR="002D3755">
        <w:rPr>
          <w:rFonts w:eastAsiaTheme="minorHAnsi" w:cs="Tahoma"/>
          <w:lang w:eastAsia="en-US"/>
        </w:rPr>
        <w:t xml:space="preserve"> where reporting is voluntary</w:t>
      </w:r>
      <w:r w:rsidR="00A04448">
        <w:rPr>
          <w:rFonts w:eastAsiaTheme="minorHAnsi" w:cs="Tahoma"/>
          <w:lang w:eastAsia="en-US"/>
        </w:rPr>
        <w:t>.</w:t>
      </w:r>
      <w:r w:rsidR="00CC46A2">
        <w:rPr>
          <w:rFonts w:eastAsiaTheme="minorHAnsi" w:cs="Tahoma"/>
          <w:lang w:eastAsia="en-US"/>
        </w:rPr>
        <w:t xml:space="preserve"> </w:t>
      </w:r>
      <w:r w:rsidR="00BA5399">
        <w:t>N</w:t>
      </w:r>
      <w:r w:rsidR="00BA5399" w:rsidRPr="00963B17">
        <w:t>o surveillance system</w:t>
      </w:r>
      <w:r w:rsidR="00BA5399">
        <w:t xml:space="preserve"> exists for </w:t>
      </w:r>
      <w:proofErr w:type="spellStart"/>
      <w:r w:rsidR="007F5C20">
        <w:t>vCJD</w:t>
      </w:r>
      <w:proofErr w:type="spellEnd"/>
      <w:r w:rsidR="007F5C20">
        <w:t xml:space="preserve"> in </w:t>
      </w:r>
      <w:r w:rsidR="00CC46A2" w:rsidRPr="00CC46A2">
        <w:rPr>
          <w:rFonts w:eastAsiaTheme="minorHAnsi" w:cs="Tahoma"/>
          <w:lang w:eastAsia="en-US"/>
        </w:rPr>
        <w:t>Finland</w:t>
      </w:r>
      <w:r w:rsidR="00565102">
        <w:rPr>
          <w:rFonts w:eastAsiaTheme="minorHAnsi" w:cs="Tahoma"/>
          <w:lang w:eastAsia="en-US"/>
        </w:rPr>
        <w:t xml:space="preserve">, </w:t>
      </w:r>
      <w:r w:rsidR="00CC46A2" w:rsidRPr="00CC46A2">
        <w:rPr>
          <w:rFonts w:eastAsiaTheme="minorHAnsi" w:cs="Tahoma"/>
          <w:lang w:eastAsia="en-US"/>
        </w:rPr>
        <w:t>Germany</w:t>
      </w:r>
      <w:r w:rsidR="00565102">
        <w:rPr>
          <w:rFonts w:eastAsiaTheme="minorHAnsi" w:cs="Tahoma"/>
          <w:lang w:eastAsia="en-US"/>
        </w:rPr>
        <w:t xml:space="preserve"> and Spain</w:t>
      </w:r>
      <w:r w:rsidR="007F5C20">
        <w:rPr>
          <w:rFonts w:eastAsiaTheme="minorHAnsi" w:cs="Tahoma"/>
          <w:lang w:eastAsia="en-US"/>
        </w:rPr>
        <w:t>.</w:t>
      </w:r>
      <w:r w:rsidR="007F5C20" w:rsidRPr="007F5C20">
        <w:t xml:space="preserve"> </w:t>
      </w:r>
      <w:r w:rsidR="007F5C20">
        <w:t xml:space="preserve">The surveillance systems </w:t>
      </w:r>
      <w:r w:rsidR="007F5C20" w:rsidRPr="007D395C">
        <w:t xml:space="preserve">have full national coverage in all </w:t>
      </w:r>
      <w:r w:rsidR="007F5C20">
        <w:t xml:space="preserve">reporting countries. </w:t>
      </w:r>
      <w:r w:rsidR="008F43DC">
        <w:rPr>
          <w:rFonts w:eastAsiaTheme="minorHAnsi" w:cs="Tahoma"/>
          <w:lang w:eastAsia="en-US"/>
        </w:rPr>
        <w:t>Most countries use the EU case definition while</w:t>
      </w:r>
      <w:r w:rsidR="00A105CD">
        <w:rPr>
          <w:rFonts w:eastAsiaTheme="minorHAnsi" w:cs="Tahoma"/>
          <w:lang w:eastAsia="en-US"/>
        </w:rPr>
        <w:t xml:space="preserve"> </w:t>
      </w:r>
      <w:r w:rsidR="007909D7">
        <w:rPr>
          <w:rFonts w:eastAsiaTheme="minorHAnsi" w:cs="Tahoma"/>
          <w:lang w:eastAsia="en-US"/>
        </w:rPr>
        <w:t>four</w:t>
      </w:r>
      <w:r w:rsidR="00777249">
        <w:rPr>
          <w:rFonts w:eastAsiaTheme="minorHAnsi" w:cs="Tahoma"/>
          <w:lang w:eastAsia="en-US"/>
        </w:rPr>
        <w:t xml:space="preserve"> </w:t>
      </w:r>
      <w:r w:rsidR="008F43DC">
        <w:rPr>
          <w:rFonts w:eastAsiaTheme="minorHAnsi" w:cs="Tahoma"/>
          <w:lang w:eastAsia="en-US"/>
        </w:rPr>
        <w:t>countries (Denmark, France</w:t>
      </w:r>
      <w:r w:rsidR="00711B5B">
        <w:rPr>
          <w:rFonts w:eastAsiaTheme="minorHAnsi" w:cs="Tahoma"/>
          <w:lang w:eastAsia="en-US"/>
        </w:rPr>
        <w:t xml:space="preserve"> and </w:t>
      </w:r>
      <w:r w:rsidR="008F43DC">
        <w:rPr>
          <w:rFonts w:eastAsiaTheme="minorHAnsi" w:cs="Tahoma"/>
          <w:lang w:eastAsia="en-US"/>
        </w:rPr>
        <w:t>Ireland</w:t>
      </w:r>
      <w:r w:rsidR="00F20C20">
        <w:rPr>
          <w:rStyle w:val="FootnoteReference"/>
          <w:rFonts w:eastAsiaTheme="minorHAnsi" w:cs="Tahoma"/>
          <w:lang w:eastAsia="en-US"/>
        </w:rPr>
        <w:footnoteReference w:id="42"/>
      </w:r>
      <w:r w:rsidR="008F43DC">
        <w:rPr>
          <w:rFonts w:eastAsiaTheme="minorHAnsi" w:cs="Tahoma"/>
          <w:lang w:eastAsia="en-US"/>
        </w:rPr>
        <w:t xml:space="preserve">) use another definition. </w:t>
      </w:r>
      <w:r>
        <w:rPr>
          <w:rFonts w:eastAsiaTheme="minorHAnsi" w:cs="Tahoma"/>
          <w:lang w:eastAsia="en-US"/>
        </w:rPr>
        <w:t>However, t</w:t>
      </w:r>
      <w:r w:rsidRPr="00D45E3C">
        <w:rPr>
          <w:rFonts w:eastAsiaTheme="minorHAnsi" w:cs="Tahoma"/>
          <w:lang w:eastAsia="en-US"/>
        </w:rPr>
        <w:t xml:space="preserve">he results shown in the Surveillance Atlas should be interpreted carefully. </w:t>
      </w:r>
      <w:r>
        <w:rPr>
          <w:rFonts w:eastAsiaTheme="minorHAnsi" w:cs="Tahoma"/>
          <w:lang w:eastAsia="en-US"/>
        </w:rPr>
        <w:t>I</w:t>
      </w:r>
      <w:r w:rsidR="00F24124">
        <w:rPr>
          <w:rFonts w:cs="Tahoma"/>
        </w:rPr>
        <w:t xml:space="preserve">n terms of diagnosis and reporting of </w:t>
      </w:r>
      <w:proofErr w:type="spellStart"/>
      <w:r w:rsidR="00F24124">
        <w:rPr>
          <w:rFonts w:cs="Tahoma"/>
        </w:rPr>
        <w:t>vCJD</w:t>
      </w:r>
      <w:proofErr w:type="spellEnd"/>
      <w:r w:rsidR="00F24124">
        <w:rPr>
          <w:rFonts w:cs="Tahoma"/>
        </w:rPr>
        <w:t xml:space="preserve">, </w:t>
      </w:r>
      <w:r w:rsidR="00982825">
        <w:rPr>
          <w:rFonts w:cs="Tahoma"/>
        </w:rPr>
        <w:t xml:space="preserve">the initial case ascertainment of CJD as a potential cause </w:t>
      </w:r>
      <w:r>
        <w:rPr>
          <w:rFonts w:cs="Tahoma"/>
        </w:rPr>
        <w:t xml:space="preserve">of illness </w:t>
      </w:r>
      <w:r w:rsidR="00982825">
        <w:rPr>
          <w:rFonts w:cs="Tahoma"/>
        </w:rPr>
        <w:t xml:space="preserve">is a critical element. Subsequently </w:t>
      </w:r>
      <w:r w:rsidR="00F24124">
        <w:rPr>
          <w:rFonts w:cs="Tahoma"/>
        </w:rPr>
        <w:t xml:space="preserve">a </w:t>
      </w:r>
      <w:r w:rsidR="00F24124" w:rsidRPr="004B0CC8">
        <w:rPr>
          <w:rFonts w:cs="Tahoma"/>
        </w:rPr>
        <w:t xml:space="preserve">diagnostic constraint is the need to obtain appropriate tissue samples </w:t>
      </w:r>
      <w:r w:rsidR="00C53F07" w:rsidRPr="004B0CC8">
        <w:rPr>
          <w:rFonts w:cs="Tahoma"/>
        </w:rPr>
        <w:t>postmortem</w:t>
      </w:r>
      <w:r w:rsidR="00F24124" w:rsidRPr="004B0CC8">
        <w:rPr>
          <w:rFonts w:cs="Tahoma"/>
        </w:rPr>
        <w:t xml:space="preserve"> to determine characteristic neuropathology associated with </w:t>
      </w:r>
      <w:proofErr w:type="spellStart"/>
      <w:r w:rsidR="00F24124" w:rsidRPr="004B0CC8">
        <w:rPr>
          <w:rFonts w:cs="Tahoma"/>
        </w:rPr>
        <w:t>vCJD</w:t>
      </w:r>
      <w:proofErr w:type="spellEnd"/>
      <w:r w:rsidR="00F24124" w:rsidRPr="004B0CC8">
        <w:rPr>
          <w:rFonts w:cs="Tahoma"/>
        </w:rPr>
        <w:t xml:space="preserve">. In many cases such tissue is not available, and in these </w:t>
      </w:r>
      <w:r w:rsidR="00C53F07" w:rsidRPr="004B0CC8">
        <w:rPr>
          <w:rFonts w:cs="Tahoma"/>
        </w:rPr>
        <w:t>situations,</w:t>
      </w:r>
      <w:r w:rsidR="00F24124" w:rsidRPr="004B0CC8">
        <w:rPr>
          <w:rFonts w:cs="Tahoma"/>
        </w:rPr>
        <w:t xml:space="preserve"> cases can only be classified as ‘possible’ or ‘probable’ based on the clinical and diagnostic criteria available. </w:t>
      </w:r>
      <w:r w:rsidR="00F24124">
        <w:rPr>
          <w:rFonts w:cs="Tahoma"/>
        </w:rPr>
        <w:t xml:space="preserve">The </w:t>
      </w:r>
      <w:r w:rsidR="00F24124" w:rsidRPr="004B0CC8">
        <w:rPr>
          <w:rFonts w:cs="Tahoma"/>
        </w:rPr>
        <w:t>cases reported here are restricted to ‘confirmed’ and ‘probable’ cases</w:t>
      </w:r>
      <w:r w:rsidR="00B85E6C">
        <w:rPr>
          <w:rFonts w:cs="Tahoma"/>
        </w:rPr>
        <w:t xml:space="preserve"> of </w:t>
      </w:r>
      <w:proofErr w:type="spellStart"/>
      <w:r w:rsidR="00B85E6C">
        <w:rPr>
          <w:rFonts w:cs="Tahoma"/>
        </w:rPr>
        <w:t>vCJD</w:t>
      </w:r>
      <w:proofErr w:type="spellEnd"/>
      <w:r w:rsidR="00F24124" w:rsidRPr="004B0CC8">
        <w:rPr>
          <w:rFonts w:cs="Tahoma"/>
        </w:rPr>
        <w:t>; cases classified</w:t>
      </w:r>
      <w:r w:rsidR="00B85E6C">
        <w:rPr>
          <w:rFonts w:cs="Tahoma"/>
        </w:rPr>
        <w:t xml:space="preserve"> as ‘possible’ are not included. </w:t>
      </w:r>
      <w:r w:rsidR="0071571E">
        <w:rPr>
          <w:rFonts w:cs="Tahoma"/>
        </w:rPr>
        <w:t>C</w:t>
      </w:r>
      <w:r w:rsidR="0043728F">
        <w:rPr>
          <w:rFonts w:cs="Tahoma"/>
        </w:rPr>
        <w:t xml:space="preserve">ountries </w:t>
      </w:r>
      <w:r w:rsidR="002A3233">
        <w:rPr>
          <w:rFonts w:cs="Tahoma"/>
        </w:rPr>
        <w:t xml:space="preserve">which </w:t>
      </w:r>
      <w:r w:rsidR="0043728F">
        <w:rPr>
          <w:rFonts w:cs="Tahoma"/>
        </w:rPr>
        <w:t>did not provide an official “zero reporting”</w:t>
      </w:r>
      <w:r w:rsidR="002A3233">
        <w:rPr>
          <w:rFonts w:cs="Tahoma"/>
        </w:rPr>
        <w:t xml:space="preserve"> for the entire year </w:t>
      </w:r>
      <w:r w:rsidR="0043728F">
        <w:rPr>
          <w:rFonts w:cs="Tahoma"/>
        </w:rPr>
        <w:t>are represented with ‘.’</w:t>
      </w:r>
      <w:r w:rsidR="002A3233">
        <w:rPr>
          <w:rFonts w:cs="Tahoma"/>
        </w:rPr>
        <w:t xml:space="preserve"> in the Atlas</w:t>
      </w:r>
      <w:r w:rsidR="0043728F">
        <w:rPr>
          <w:rFonts w:cs="Tahoma"/>
        </w:rPr>
        <w:t xml:space="preserve">. </w:t>
      </w:r>
    </w:p>
    <w:p w14:paraId="37D91153" w14:textId="77777777" w:rsidR="00205026" w:rsidRDefault="00205026" w:rsidP="00F24124">
      <w:pPr>
        <w:pStyle w:val="EC-Para"/>
        <w:spacing w:line="240" w:lineRule="auto"/>
        <w:jc w:val="both"/>
        <w:rPr>
          <w:rFonts w:cs="Tahoma"/>
        </w:rPr>
      </w:pPr>
    </w:p>
    <w:p w14:paraId="55D772A4" w14:textId="5EFCC0AB" w:rsidR="00560A04" w:rsidRDefault="00560A04" w:rsidP="00560A04">
      <w:pPr>
        <w:pStyle w:val="EC-Title-6"/>
        <w:outlineLvl w:val="1"/>
        <w:rPr>
          <w:rFonts w:cs="Tahoma"/>
          <w:color w:val="FF0000"/>
          <w:sz w:val="20"/>
          <w:szCs w:val="20"/>
        </w:rPr>
      </w:pPr>
      <w:r>
        <w:t xml:space="preserve">Reports published by ECDC on </w:t>
      </w:r>
      <w:proofErr w:type="spellStart"/>
      <w:r w:rsidR="00C70B5B">
        <w:t>vCJD</w:t>
      </w:r>
      <w:proofErr w:type="spellEnd"/>
      <w:r>
        <w:t xml:space="preserve"> </w:t>
      </w:r>
    </w:p>
    <w:p w14:paraId="4555DFF5" w14:textId="77777777" w:rsidR="00560A04" w:rsidRDefault="00560A04" w:rsidP="00560A04">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33DA9D8F" w14:textId="3487E09E" w:rsidR="00C345F5" w:rsidRPr="00C243F7" w:rsidRDefault="00C345F5" w:rsidP="00577BB1">
      <w:pPr>
        <w:pStyle w:val="EC-Para"/>
        <w:spacing w:after="0"/>
        <w:rPr>
          <w:rFonts w:eastAsiaTheme="minorHAnsi" w:cs="Tahoma"/>
          <w:b/>
          <w:lang w:eastAsia="en-US"/>
        </w:rPr>
      </w:pPr>
      <w:r w:rsidRPr="00C243F7">
        <w:rPr>
          <w:rFonts w:eastAsiaTheme="minorHAnsi" w:cs="Tahoma"/>
          <w:b/>
          <w:lang w:eastAsia="en-US"/>
        </w:rPr>
        <w:t xml:space="preserve">Annual epidemiological report </w:t>
      </w:r>
      <w:r w:rsidR="00736AA8" w:rsidRPr="00C243F7">
        <w:rPr>
          <w:rFonts w:eastAsiaTheme="minorHAnsi" w:cs="Tahoma"/>
          <w:b/>
          <w:lang w:eastAsia="en-US"/>
        </w:rPr>
        <w:t xml:space="preserve">for </w:t>
      </w:r>
      <w:r w:rsidRPr="00C243F7">
        <w:rPr>
          <w:rFonts w:eastAsiaTheme="minorHAnsi" w:cs="Tahoma"/>
          <w:b/>
          <w:lang w:eastAsia="en-US"/>
        </w:rPr>
        <w:t>20</w:t>
      </w:r>
      <w:r w:rsidR="00E76C30" w:rsidRPr="00C243F7">
        <w:rPr>
          <w:rFonts w:eastAsiaTheme="minorHAnsi" w:cs="Tahoma"/>
          <w:b/>
          <w:lang w:eastAsia="en-US"/>
        </w:rPr>
        <w:t>2</w:t>
      </w:r>
      <w:r w:rsidR="00520171">
        <w:rPr>
          <w:rFonts w:eastAsiaTheme="minorHAnsi" w:cs="Tahoma"/>
          <w:b/>
          <w:lang w:eastAsia="en-US"/>
        </w:rPr>
        <w:t>1</w:t>
      </w:r>
      <w:r w:rsidRPr="00C243F7">
        <w:rPr>
          <w:rFonts w:eastAsiaTheme="minorHAnsi" w:cs="Tahoma"/>
          <w:b/>
          <w:lang w:eastAsia="en-US"/>
        </w:rPr>
        <w:t xml:space="preserve"> – </w:t>
      </w:r>
      <w:r w:rsidR="00736AA8" w:rsidRPr="00C243F7">
        <w:rPr>
          <w:rFonts w:eastAsiaTheme="minorHAnsi" w:cs="Tahoma"/>
          <w:b/>
          <w:lang w:eastAsia="en-US"/>
        </w:rPr>
        <w:t>Variant Creutzfeldt-Jakob disease</w:t>
      </w:r>
      <w:r w:rsidRPr="00C243F7">
        <w:rPr>
          <w:rFonts w:eastAsiaTheme="minorHAnsi" w:cs="Tahoma"/>
          <w:b/>
          <w:lang w:eastAsia="en-US"/>
        </w:rPr>
        <w:t>:</w:t>
      </w:r>
    </w:p>
    <w:p w14:paraId="1BDD2A5D" w14:textId="5CA71E1C" w:rsidR="00520171" w:rsidRPr="00ED7423" w:rsidRDefault="00000000" w:rsidP="00205026">
      <w:pPr>
        <w:pStyle w:val="EC-Para"/>
      </w:pPr>
      <w:hyperlink r:id="rId96" w:history="1">
        <w:r w:rsidR="00ED7423" w:rsidRPr="00ED7423">
          <w:rPr>
            <w:rStyle w:val="Hyperlink"/>
            <w:sz w:val="18"/>
          </w:rPr>
          <w:t>https://www.ecdc.europa.eu/sites/default/files/documents/AER-vCJD-2021.pdf</w:t>
        </w:r>
      </w:hyperlink>
    </w:p>
    <w:p w14:paraId="4D4B1E15" w14:textId="77777777" w:rsidR="00ED7423" w:rsidRDefault="00ED7423" w:rsidP="00205026">
      <w:pPr>
        <w:pStyle w:val="EC-Para"/>
        <w:rPr>
          <w:b/>
          <w:bCs/>
        </w:rPr>
      </w:pPr>
    </w:p>
    <w:p w14:paraId="6C2B2A25" w14:textId="048FCDF7" w:rsidR="00C76364" w:rsidRDefault="00C76364" w:rsidP="00205026">
      <w:pPr>
        <w:pStyle w:val="EC-Para"/>
        <w:rPr>
          <w:b/>
          <w:bCs/>
        </w:rPr>
      </w:pPr>
      <w:r w:rsidRPr="00C76364">
        <w:rPr>
          <w:b/>
          <w:bCs/>
        </w:rPr>
        <w:lastRenderedPageBreak/>
        <w:t>Risk assessment: The risk of variant Creutzfeldt-Jakob disease transmission via blood and plasma-derived medicinal products manufactured from donations obtained in the United Kingdom (3 August 2021):</w:t>
      </w:r>
    </w:p>
    <w:p w14:paraId="29777D99" w14:textId="0BA3F5EE" w:rsidR="00205026" w:rsidRPr="00A64264" w:rsidRDefault="00000000" w:rsidP="00205026">
      <w:pPr>
        <w:pStyle w:val="EC-Para"/>
        <w:rPr>
          <w:b/>
          <w:bCs/>
        </w:rPr>
      </w:pPr>
      <w:hyperlink r:id="rId97" w:history="1">
        <w:r w:rsidR="00A64264" w:rsidRPr="00A64264">
          <w:rPr>
            <w:rStyle w:val="Hyperlink"/>
            <w:sz w:val="18"/>
          </w:rPr>
          <w:t>The risk of variant Creutzfeldt-Jakob disease transmission via blood and plasma-derived medicinal products (europa.eu)</w:t>
        </w:r>
      </w:hyperlink>
    </w:p>
    <w:p w14:paraId="581E16DB" w14:textId="2F25F2BF" w:rsidR="00C70B5B" w:rsidRDefault="00C70B5B" w:rsidP="00C70B5B">
      <w:pPr>
        <w:pStyle w:val="EC-Title-6"/>
        <w:outlineLvl w:val="1"/>
      </w:pPr>
      <w:r>
        <w:t xml:space="preserve">Annex 1. Surveillance systems overview, </w:t>
      </w:r>
      <w:r w:rsidR="0071571E">
        <w:t>202</w:t>
      </w:r>
      <w:r w:rsidR="00520171">
        <w:t>3</w:t>
      </w:r>
    </w:p>
    <w:tbl>
      <w:tblPr>
        <w:tblW w:w="10196" w:type="dxa"/>
        <w:tblLook w:val="04A0" w:firstRow="1" w:lastRow="0" w:firstColumn="1" w:lastColumn="0" w:noHBand="0" w:noVBand="1"/>
      </w:tblPr>
      <w:tblGrid>
        <w:gridCol w:w="1102"/>
        <w:gridCol w:w="2899"/>
        <w:gridCol w:w="570"/>
        <w:gridCol w:w="570"/>
        <w:gridCol w:w="570"/>
        <w:gridCol w:w="570"/>
        <w:gridCol w:w="570"/>
        <w:gridCol w:w="570"/>
        <w:gridCol w:w="570"/>
        <w:gridCol w:w="570"/>
        <w:gridCol w:w="1635"/>
      </w:tblGrid>
      <w:tr w:rsidR="00034328" w:rsidRPr="00DA4B5C" w14:paraId="242D274D" w14:textId="77777777" w:rsidTr="009A3655">
        <w:trPr>
          <w:trHeight w:val="301"/>
        </w:trPr>
        <w:tc>
          <w:tcPr>
            <w:tcW w:w="1102"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0850304D" w14:textId="77777777" w:rsidR="00B53BA8" w:rsidRPr="00DA4B5C" w:rsidRDefault="00B53BA8" w:rsidP="00B53BA8">
            <w:pPr>
              <w:rPr>
                <w:rFonts w:eastAsia="Times New Roman" w:cs="Tahoma"/>
                <w:b/>
                <w:bCs/>
                <w:color w:val="FFFFFF"/>
                <w:sz w:val="14"/>
                <w:szCs w:val="14"/>
                <w:lang w:eastAsia="en-GB"/>
              </w:rPr>
            </w:pPr>
            <w:r w:rsidRPr="00DA4B5C">
              <w:rPr>
                <w:rFonts w:eastAsia="Times New Roman" w:cs="Tahoma"/>
                <w:b/>
                <w:bCs/>
                <w:color w:val="FFFFFF"/>
                <w:sz w:val="14"/>
                <w:szCs w:val="14"/>
                <w:lang w:eastAsia="en-GB"/>
              </w:rPr>
              <w:t>Country</w:t>
            </w:r>
          </w:p>
        </w:tc>
        <w:tc>
          <w:tcPr>
            <w:tcW w:w="2899"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0759A729" w14:textId="77777777" w:rsidR="00B53BA8" w:rsidRPr="00DA4B5C" w:rsidRDefault="00B53BA8" w:rsidP="00B53BA8">
            <w:pPr>
              <w:rPr>
                <w:rFonts w:eastAsia="Times New Roman" w:cs="Tahoma"/>
                <w:b/>
                <w:bCs/>
                <w:color w:val="FFFFFF"/>
                <w:sz w:val="14"/>
                <w:szCs w:val="14"/>
                <w:lang w:eastAsia="en-GB"/>
              </w:rPr>
            </w:pPr>
            <w:r w:rsidRPr="00DA4B5C">
              <w:rPr>
                <w:rFonts w:eastAsia="Times New Roman" w:cs="Tahoma"/>
                <w:b/>
                <w:bCs/>
                <w:color w:val="FFFFFF"/>
                <w:sz w:val="14"/>
                <w:szCs w:val="14"/>
                <w:lang w:eastAsia="en-GB"/>
              </w:rPr>
              <w:t>Data source</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56E7151" w14:textId="77777777" w:rsidR="00B53BA8" w:rsidRPr="00DA4B5C" w:rsidRDefault="00B53BA8" w:rsidP="00B53BA8">
            <w:pPr>
              <w:jc w:val="center"/>
              <w:rPr>
                <w:rFonts w:eastAsia="Times New Roman" w:cs="Tahoma"/>
                <w:b/>
                <w:bCs/>
                <w:color w:val="FFFFFF"/>
                <w:sz w:val="14"/>
                <w:szCs w:val="14"/>
                <w:lang w:eastAsia="en-GB"/>
              </w:rPr>
            </w:pPr>
            <w:r w:rsidRPr="00DA4B5C">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8FDE45A" w14:textId="77777777" w:rsidR="00B53BA8" w:rsidRPr="00DA4B5C" w:rsidRDefault="00B53BA8" w:rsidP="00B53BA8">
            <w:pPr>
              <w:jc w:val="center"/>
              <w:rPr>
                <w:rFonts w:eastAsia="Times New Roman" w:cs="Tahoma"/>
                <w:b/>
                <w:bCs/>
                <w:color w:val="FFFFFF"/>
                <w:sz w:val="14"/>
                <w:szCs w:val="14"/>
                <w:lang w:eastAsia="en-GB"/>
              </w:rPr>
            </w:pPr>
            <w:r w:rsidRPr="00DA4B5C">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F2E25D0" w14:textId="77777777" w:rsidR="00B53BA8" w:rsidRPr="00DA4B5C" w:rsidRDefault="00B53BA8" w:rsidP="00B53BA8">
            <w:pPr>
              <w:jc w:val="center"/>
              <w:rPr>
                <w:rFonts w:eastAsia="Times New Roman" w:cs="Tahoma"/>
                <w:b/>
                <w:bCs/>
                <w:color w:val="FFFFFF"/>
                <w:sz w:val="14"/>
                <w:szCs w:val="14"/>
                <w:lang w:eastAsia="en-GB"/>
              </w:rPr>
            </w:pPr>
            <w:r w:rsidRPr="00DA4B5C">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386D8397" w14:textId="77777777" w:rsidR="00B53BA8" w:rsidRPr="00DA4B5C" w:rsidRDefault="00B53BA8" w:rsidP="00B53BA8">
            <w:pPr>
              <w:jc w:val="center"/>
              <w:rPr>
                <w:rFonts w:eastAsia="Times New Roman" w:cs="Tahoma"/>
                <w:b/>
                <w:bCs/>
                <w:color w:val="FFFFFF"/>
                <w:sz w:val="14"/>
                <w:szCs w:val="14"/>
                <w:lang w:eastAsia="en-GB"/>
              </w:rPr>
            </w:pPr>
            <w:r w:rsidRPr="00DA4B5C">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5C5E0854" w14:textId="77777777" w:rsidR="00B53BA8" w:rsidRPr="00DA4B5C" w:rsidRDefault="00B53BA8" w:rsidP="00B53BA8">
            <w:pPr>
              <w:jc w:val="center"/>
              <w:rPr>
                <w:rFonts w:eastAsia="Times New Roman" w:cs="Tahoma"/>
                <w:b/>
                <w:bCs/>
                <w:color w:val="FFFFFF"/>
                <w:sz w:val="14"/>
                <w:szCs w:val="14"/>
                <w:lang w:eastAsia="en-GB"/>
              </w:rPr>
            </w:pPr>
            <w:r w:rsidRPr="00DA4B5C">
              <w:rPr>
                <w:rFonts w:eastAsia="Times New Roman" w:cs="Tahoma"/>
                <w:b/>
                <w:bCs/>
                <w:color w:val="FFFFFF"/>
                <w:sz w:val="14"/>
                <w:szCs w:val="14"/>
                <w:lang w:eastAsia="en-GB"/>
              </w:rPr>
              <w:t>Data reported by</w:t>
            </w:r>
          </w:p>
        </w:tc>
        <w:tc>
          <w:tcPr>
            <w:tcW w:w="1635"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1E725B81" w14:textId="77777777" w:rsidR="00B53BA8" w:rsidRPr="00DA4B5C" w:rsidRDefault="00B53BA8" w:rsidP="00B53BA8">
            <w:pPr>
              <w:rPr>
                <w:rFonts w:eastAsia="Times New Roman" w:cs="Tahoma"/>
                <w:b/>
                <w:bCs/>
                <w:color w:val="FFFFFF"/>
                <w:sz w:val="14"/>
                <w:szCs w:val="14"/>
                <w:lang w:eastAsia="en-GB"/>
              </w:rPr>
            </w:pPr>
            <w:r w:rsidRPr="00DA4B5C">
              <w:rPr>
                <w:rFonts w:eastAsia="Times New Roman" w:cs="Tahoma"/>
                <w:b/>
                <w:bCs/>
                <w:color w:val="FFFFFF"/>
                <w:sz w:val="14"/>
                <w:szCs w:val="14"/>
                <w:lang w:eastAsia="en-GB"/>
              </w:rPr>
              <w:t>Case definition used</w:t>
            </w:r>
          </w:p>
        </w:tc>
      </w:tr>
      <w:tr w:rsidR="00034328" w:rsidRPr="00DA4B5C" w14:paraId="422C5F56" w14:textId="77777777" w:rsidTr="009A3655">
        <w:trPr>
          <w:trHeight w:val="2871"/>
        </w:trPr>
        <w:tc>
          <w:tcPr>
            <w:tcW w:w="1102" w:type="dxa"/>
            <w:vMerge/>
            <w:tcBorders>
              <w:top w:val="single" w:sz="4" w:space="0" w:color="auto"/>
              <w:left w:val="single" w:sz="4" w:space="0" w:color="auto"/>
              <w:bottom w:val="single" w:sz="4" w:space="0" w:color="auto"/>
              <w:right w:val="single" w:sz="4" w:space="0" w:color="auto"/>
            </w:tcBorders>
            <w:vAlign w:val="center"/>
            <w:hideMark/>
          </w:tcPr>
          <w:p w14:paraId="73497ABA" w14:textId="77777777" w:rsidR="00B53BA8" w:rsidRPr="00DA4B5C" w:rsidRDefault="00B53BA8" w:rsidP="00B53BA8">
            <w:pPr>
              <w:rPr>
                <w:rFonts w:eastAsia="Times New Roman" w:cs="Tahoma"/>
                <w:b/>
                <w:bCs/>
                <w:color w:val="FFFFFF"/>
                <w:sz w:val="14"/>
                <w:szCs w:val="14"/>
                <w:lang w:eastAsia="en-GB"/>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64F635E4" w14:textId="77777777" w:rsidR="00B53BA8" w:rsidRPr="00DA4B5C" w:rsidRDefault="00B53BA8" w:rsidP="00B53BA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547E63A3" w14:textId="77777777" w:rsidR="00B53BA8" w:rsidRPr="00DA4B5C" w:rsidRDefault="00B53BA8" w:rsidP="00B53BA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FC14F11" w14:textId="77777777" w:rsidR="00B53BA8" w:rsidRPr="00DA4B5C" w:rsidRDefault="00B53BA8" w:rsidP="00B53BA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602F368" w14:textId="77777777" w:rsidR="00B53BA8" w:rsidRPr="00DA4B5C" w:rsidRDefault="00B53BA8" w:rsidP="00B53BA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A40810C" w14:textId="77777777" w:rsidR="00B53BA8" w:rsidRPr="00DA4B5C" w:rsidRDefault="00B53BA8" w:rsidP="00B53BA8">
            <w:pPr>
              <w:rPr>
                <w:rFonts w:eastAsia="Times New Roman" w:cs="Tahoma"/>
                <w:b/>
                <w:bCs/>
                <w:color w:val="FFFFFF"/>
                <w:sz w:val="14"/>
                <w:szCs w:val="14"/>
                <w:lang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57A37FE7" w14:textId="77777777" w:rsidR="00B53BA8" w:rsidRPr="00DA4B5C" w:rsidRDefault="00B53BA8" w:rsidP="00B53BA8">
            <w:pPr>
              <w:jc w:val="center"/>
              <w:rPr>
                <w:rFonts w:eastAsia="Times New Roman" w:cs="Tahoma"/>
                <w:b/>
                <w:bCs/>
                <w:color w:val="FFFFFF"/>
                <w:sz w:val="14"/>
                <w:szCs w:val="14"/>
                <w:lang w:eastAsia="en-GB"/>
              </w:rPr>
            </w:pPr>
            <w:r w:rsidRPr="00DA4B5C">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366E92E4" w14:textId="77777777" w:rsidR="00B53BA8" w:rsidRPr="00DA4B5C" w:rsidRDefault="00B53BA8" w:rsidP="00B53BA8">
            <w:pPr>
              <w:jc w:val="center"/>
              <w:rPr>
                <w:rFonts w:eastAsia="Times New Roman" w:cs="Tahoma"/>
                <w:b/>
                <w:bCs/>
                <w:color w:val="FFFFFF"/>
                <w:sz w:val="14"/>
                <w:szCs w:val="14"/>
                <w:lang w:eastAsia="en-GB"/>
              </w:rPr>
            </w:pPr>
            <w:r w:rsidRPr="00DA4B5C">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4B0603BA" w14:textId="77777777" w:rsidR="00B53BA8" w:rsidRPr="00DA4B5C" w:rsidRDefault="00B53BA8" w:rsidP="00B53BA8">
            <w:pPr>
              <w:jc w:val="center"/>
              <w:rPr>
                <w:rFonts w:eastAsia="Times New Roman" w:cs="Tahoma"/>
                <w:b/>
                <w:bCs/>
                <w:color w:val="FFFFFF"/>
                <w:sz w:val="14"/>
                <w:szCs w:val="14"/>
                <w:lang w:eastAsia="en-GB"/>
              </w:rPr>
            </w:pPr>
            <w:r w:rsidRPr="00DA4B5C">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40C9DAAD" w14:textId="77777777" w:rsidR="00B53BA8" w:rsidRPr="00DA4B5C" w:rsidRDefault="00B53BA8" w:rsidP="00B53BA8">
            <w:pPr>
              <w:jc w:val="center"/>
              <w:rPr>
                <w:rFonts w:eastAsia="Times New Roman" w:cs="Tahoma"/>
                <w:b/>
                <w:bCs/>
                <w:color w:val="FFFFFF"/>
                <w:sz w:val="14"/>
                <w:szCs w:val="14"/>
                <w:lang w:eastAsia="en-GB"/>
              </w:rPr>
            </w:pPr>
            <w:r w:rsidRPr="00DA4B5C">
              <w:rPr>
                <w:rFonts w:eastAsia="Times New Roman" w:cs="Tahoma"/>
                <w:b/>
                <w:bCs/>
                <w:color w:val="FFFFFF"/>
                <w:sz w:val="14"/>
                <w:szCs w:val="14"/>
                <w:lang w:eastAsia="en-GB"/>
              </w:rPr>
              <w:t>Others</w:t>
            </w:r>
          </w:p>
        </w:tc>
        <w:tc>
          <w:tcPr>
            <w:tcW w:w="1635" w:type="dxa"/>
            <w:vMerge/>
            <w:tcBorders>
              <w:top w:val="single" w:sz="4" w:space="0" w:color="auto"/>
              <w:left w:val="single" w:sz="4" w:space="0" w:color="auto"/>
              <w:bottom w:val="single" w:sz="4" w:space="0" w:color="auto"/>
              <w:right w:val="single" w:sz="4" w:space="0" w:color="auto"/>
            </w:tcBorders>
            <w:vAlign w:val="center"/>
            <w:hideMark/>
          </w:tcPr>
          <w:p w14:paraId="1AD6EC1A" w14:textId="77777777" w:rsidR="00B53BA8" w:rsidRPr="00DA4B5C" w:rsidRDefault="00B53BA8" w:rsidP="00B53BA8">
            <w:pPr>
              <w:rPr>
                <w:rFonts w:eastAsia="Times New Roman" w:cs="Tahoma"/>
                <w:b/>
                <w:bCs/>
                <w:color w:val="FFFFFF"/>
                <w:sz w:val="14"/>
                <w:szCs w:val="14"/>
                <w:lang w:eastAsia="en-GB"/>
              </w:rPr>
            </w:pPr>
          </w:p>
        </w:tc>
      </w:tr>
      <w:tr w:rsidR="00034328" w:rsidRPr="00DA4B5C" w14:paraId="03E52D95" w14:textId="77777777" w:rsidTr="009A3655">
        <w:trPr>
          <w:trHeight w:val="240"/>
        </w:trPr>
        <w:tc>
          <w:tcPr>
            <w:tcW w:w="1102" w:type="dxa"/>
            <w:tcBorders>
              <w:top w:val="single" w:sz="4" w:space="0" w:color="auto"/>
              <w:left w:val="single" w:sz="4" w:space="0" w:color="auto"/>
              <w:bottom w:val="nil"/>
              <w:right w:val="single" w:sz="4" w:space="0" w:color="auto"/>
            </w:tcBorders>
            <w:shd w:val="clear" w:color="000000" w:fill="D9D9D9"/>
            <w:noWrap/>
            <w:vAlign w:val="bottom"/>
            <w:hideMark/>
          </w:tcPr>
          <w:p w14:paraId="3B52416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Austria</w:t>
            </w:r>
          </w:p>
        </w:tc>
        <w:tc>
          <w:tcPr>
            <w:tcW w:w="2899" w:type="dxa"/>
            <w:tcBorders>
              <w:top w:val="single" w:sz="4" w:space="0" w:color="auto"/>
              <w:left w:val="single" w:sz="4" w:space="0" w:color="auto"/>
              <w:bottom w:val="nil"/>
              <w:right w:val="single" w:sz="4" w:space="0" w:color="auto"/>
            </w:tcBorders>
            <w:shd w:val="clear" w:color="000000" w:fill="D9D9D9"/>
            <w:noWrap/>
            <w:vAlign w:val="bottom"/>
            <w:hideMark/>
          </w:tcPr>
          <w:p w14:paraId="5DA4F4F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AT-</w:t>
            </w:r>
            <w:proofErr w:type="spellStart"/>
            <w:r w:rsidRPr="00DA4B5C">
              <w:rPr>
                <w:rFonts w:eastAsia="Times New Roman" w:cs="Tahoma"/>
                <w:sz w:val="14"/>
                <w:szCs w:val="14"/>
                <w:lang w:eastAsia="en-GB"/>
              </w:rPr>
              <w:t>Epidemiegesetz</w:t>
            </w:r>
            <w:proofErr w:type="spellEnd"/>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1C56D06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498587A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22B2377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2A0768C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794ADD1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481012B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2BABF22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7E75373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1635" w:type="dxa"/>
            <w:tcBorders>
              <w:top w:val="single" w:sz="4" w:space="0" w:color="auto"/>
              <w:left w:val="nil"/>
              <w:bottom w:val="nil"/>
              <w:right w:val="single" w:sz="4" w:space="0" w:color="auto"/>
            </w:tcBorders>
            <w:shd w:val="clear" w:color="000000" w:fill="D9D9D9"/>
            <w:noWrap/>
            <w:vAlign w:val="bottom"/>
            <w:hideMark/>
          </w:tcPr>
          <w:p w14:paraId="71D4985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EU-2008</w:t>
            </w:r>
          </w:p>
        </w:tc>
      </w:tr>
      <w:tr w:rsidR="00B53BA8" w:rsidRPr="00DA4B5C" w14:paraId="08E3B54F"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0A1256D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Belgium</w:t>
            </w:r>
          </w:p>
        </w:tc>
        <w:tc>
          <w:tcPr>
            <w:tcW w:w="2899" w:type="dxa"/>
            <w:tcBorders>
              <w:top w:val="nil"/>
              <w:left w:val="nil"/>
              <w:bottom w:val="nil"/>
              <w:right w:val="single" w:sz="4" w:space="0" w:color="auto"/>
            </w:tcBorders>
            <w:shd w:val="clear" w:color="auto" w:fill="auto"/>
            <w:noWrap/>
            <w:vAlign w:val="bottom"/>
            <w:hideMark/>
          </w:tcPr>
          <w:p w14:paraId="7C9B3CC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BE-REFLAB</w:t>
            </w:r>
          </w:p>
        </w:tc>
        <w:tc>
          <w:tcPr>
            <w:tcW w:w="570" w:type="dxa"/>
            <w:tcBorders>
              <w:top w:val="nil"/>
              <w:left w:val="nil"/>
              <w:bottom w:val="nil"/>
              <w:right w:val="single" w:sz="4" w:space="0" w:color="auto"/>
            </w:tcBorders>
            <w:shd w:val="clear" w:color="auto" w:fill="auto"/>
            <w:noWrap/>
            <w:vAlign w:val="bottom"/>
            <w:hideMark/>
          </w:tcPr>
          <w:p w14:paraId="6A780FC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1B027C5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9690C2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5E03A88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D66238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626CF67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938DF1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5D372B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auto"/>
            <w:noWrap/>
            <w:vAlign w:val="bottom"/>
            <w:hideMark/>
          </w:tcPr>
          <w:p w14:paraId="7BE4858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r w:rsidR="00034328" w:rsidRPr="00DA4B5C" w14:paraId="35639528" w14:textId="77777777" w:rsidTr="009A3655">
        <w:trPr>
          <w:trHeight w:val="240"/>
        </w:trPr>
        <w:tc>
          <w:tcPr>
            <w:tcW w:w="1102" w:type="dxa"/>
            <w:tcBorders>
              <w:top w:val="nil"/>
              <w:left w:val="single" w:sz="4" w:space="0" w:color="auto"/>
              <w:bottom w:val="nil"/>
              <w:right w:val="single" w:sz="4" w:space="0" w:color="auto"/>
            </w:tcBorders>
            <w:shd w:val="clear" w:color="000000" w:fill="D9D9D9"/>
            <w:noWrap/>
            <w:vAlign w:val="bottom"/>
            <w:hideMark/>
          </w:tcPr>
          <w:p w14:paraId="22AF57C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Bulgaria</w:t>
            </w:r>
          </w:p>
        </w:tc>
        <w:tc>
          <w:tcPr>
            <w:tcW w:w="2899" w:type="dxa"/>
            <w:tcBorders>
              <w:top w:val="nil"/>
              <w:left w:val="single" w:sz="4" w:space="0" w:color="auto"/>
              <w:bottom w:val="nil"/>
              <w:right w:val="single" w:sz="4" w:space="0" w:color="auto"/>
            </w:tcBorders>
            <w:shd w:val="clear" w:color="000000" w:fill="D9D9D9"/>
            <w:noWrap/>
            <w:vAlign w:val="bottom"/>
            <w:hideMark/>
          </w:tcPr>
          <w:p w14:paraId="3BC6B94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BG-NATIONAL_SURVEILLANCE</w:t>
            </w:r>
          </w:p>
        </w:tc>
        <w:tc>
          <w:tcPr>
            <w:tcW w:w="570" w:type="dxa"/>
            <w:tcBorders>
              <w:top w:val="nil"/>
              <w:left w:val="single" w:sz="4" w:space="0" w:color="auto"/>
              <w:bottom w:val="nil"/>
              <w:right w:val="single" w:sz="4" w:space="0" w:color="auto"/>
            </w:tcBorders>
            <w:shd w:val="clear" w:color="000000" w:fill="D9D9D9"/>
            <w:noWrap/>
            <w:vAlign w:val="bottom"/>
            <w:hideMark/>
          </w:tcPr>
          <w:p w14:paraId="51BF49D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2807D8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065D1F6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3D8B81F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C05099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84DB62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852D1C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C45F18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1635" w:type="dxa"/>
            <w:tcBorders>
              <w:top w:val="nil"/>
              <w:left w:val="nil"/>
              <w:bottom w:val="nil"/>
              <w:right w:val="single" w:sz="4" w:space="0" w:color="auto"/>
            </w:tcBorders>
            <w:shd w:val="clear" w:color="000000" w:fill="D9D9D9"/>
            <w:noWrap/>
            <w:vAlign w:val="bottom"/>
            <w:hideMark/>
          </w:tcPr>
          <w:p w14:paraId="024F405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r w:rsidR="00B53BA8" w:rsidRPr="00DA4B5C" w14:paraId="4141C2E7"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485DF3A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Croatia</w:t>
            </w:r>
          </w:p>
        </w:tc>
        <w:tc>
          <w:tcPr>
            <w:tcW w:w="2899" w:type="dxa"/>
            <w:tcBorders>
              <w:top w:val="nil"/>
              <w:left w:val="nil"/>
              <w:bottom w:val="nil"/>
              <w:right w:val="single" w:sz="4" w:space="0" w:color="auto"/>
            </w:tcBorders>
            <w:shd w:val="clear" w:color="auto" w:fill="auto"/>
            <w:noWrap/>
            <w:vAlign w:val="bottom"/>
            <w:hideMark/>
          </w:tcPr>
          <w:p w14:paraId="575A240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HR-CNIPH</w:t>
            </w:r>
          </w:p>
        </w:tc>
        <w:tc>
          <w:tcPr>
            <w:tcW w:w="570" w:type="dxa"/>
            <w:tcBorders>
              <w:top w:val="nil"/>
              <w:left w:val="nil"/>
              <w:bottom w:val="nil"/>
              <w:right w:val="single" w:sz="4" w:space="0" w:color="auto"/>
            </w:tcBorders>
            <w:shd w:val="clear" w:color="auto" w:fill="auto"/>
            <w:noWrap/>
            <w:vAlign w:val="bottom"/>
            <w:hideMark/>
          </w:tcPr>
          <w:p w14:paraId="38248412"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BEB7F7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4865C7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7195FF7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227782C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DE1E06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D6A481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15BE26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1635" w:type="dxa"/>
            <w:tcBorders>
              <w:top w:val="nil"/>
              <w:left w:val="nil"/>
              <w:bottom w:val="nil"/>
              <w:right w:val="single" w:sz="4" w:space="0" w:color="auto"/>
            </w:tcBorders>
            <w:shd w:val="clear" w:color="auto" w:fill="auto"/>
            <w:noWrap/>
            <w:vAlign w:val="bottom"/>
            <w:hideMark/>
          </w:tcPr>
          <w:p w14:paraId="2D08AF8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EU-2012</w:t>
            </w:r>
          </w:p>
        </w:tc>
      </w:tr>
      <w:tr w:rsidR="00034328" w:rsidRPr="00DA4B5C" w14:paraId="0FF6EE3B" w14:textId="77777777" w:rsidTr="009A3655">
        <w:trPr>
          <w:trHeight w:val="240"/>
        </w:trPr>
        <w:tc>
          <w:tcPr>
            <w:tcW w:w="1102" w:type="dxa"/>
            <w:tcBorders>
              <w:top w:val="nil"/>
              <w:left w:val="single" w:sz="4" w:space="0" w:color="auto"/>
              <w:bottom w:val="nil"/>
              <w:right w:val="single" w:sz="4" w:space="0" w:color="auto"/>
            </w:tcBorders>
            <w:shd w:val="clear" w:color="000000" w:fill="D9D9D9"/>
            <w:noWrap/>
            <w:vAlign w:val="bottom"/>
            <w:hideMark/>
          </w:tcPr>
          <w:p w14:paraId="12DEE5F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Cyprus</w:t>
            </w:r>
          </w:p>
        </w:tc>
        <w:tc>
          <w:tcPr>
            <w:tcW w:w="2899" w:type="dxa"/>
            <w:tcBorders>
              <w:top w:val="nil"/>
              <w:left w:val="single" w:sz="4" w:space="0" w:color="auto"/>
              <w:bottom w:val="nil"/>
              <w:right w:val="single" w:sz="4" w:space="0" w:color="auto"/>
            </w:tcBorders>
            <w:shd w:val="clear" w:color="000000" w:fill="D9D9D9"/>
            <w:noWrap/>
            <w:vAlign w:val="bottom"/>
            <w:hideMark/>
          </w:tcPr>
          <w:p w14:paraId="0C2A257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CY-NOTIFIED_DISEASES</w:t>
            </w:r>
          </w:p>
        </w:tc>
        <w:tc>
          <w:tcPr>
            <w:tcW w:w="570" w:type="dxa"/>
            <w:tcBorders>
              <w:top w:val="nil"/>
              <w:left w:val="single" w:sz="4" w:space="0" w:color="auto"/>
              <w:bottom w:val="nil"/>
              <w:right w:val="single" w:sz="4" w:space="0" w:color="auto"/>
            </w:tcBorders>
            <w:shd w:val="clear" w:color="000000" w:fill="D9D9D9"/>
            <w:noWrap/>
            <w:vAlign w:val="bottom"/>
            <w:hideMark/>
          </w:tcPr>
          <w:p w14:paraId="47EBA75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680548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438A72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3C71354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5E166C0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1D3AB34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FFBFB1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30DB79F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000000" w:fill="D9D9D9"/>
            <w:noWrap/>
            <w:vAlign w:val="bottom"/>
            <w:hideMark/>
          </w:tcPr>
          <w:p w14:paraId="6EE2DAF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EU-2008</w:t>
            </w:r>
          </w:p>
        </w:tc>
      </w:tr>
      <w:tr w:rsidR="00B53BA8" w:rsidRPr="00DA4B5C" w14:paraId="030158BF"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0F1DFF6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Czechia</w:t>
            </w:r>
          </w:p>
        </w:tc>
        <w:tc>
          <w:tcPr>
            <w:tcW w:w="2899" w:type="dxa"/>
            <w:tcBorders>
              <w:top w:val="nil"/>
              <w:left w:val="nil"/>
              <w:bottom w:val="nil"/>
              <w:right w:val="single" w:sz="4" w:space="0" w:color="auto"/>
            </w:tcBorders>
            <w:shd w:val="clear" w:color="auto" w:fill="auto"/>
            <w:noWrap/>
            <w:vAlign w:val="bottom"/>
            <w:hideMark/>
          </w:tcPr>
          <w:p w14:paraId="0CDC3EE8" w14:textId="2B6655F1"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CZ-ISI</w:t>
            </w:r>
            <w:r w:rsidR="00532787">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866030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7C8E041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6F3FF88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042EAEA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0DEF4BD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03DEED2"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2FFB51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6D34C8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auto"/>
            <w:noWrap/>
            <w:vAlign w:val="bottom"/>
            <w:hideMark/>
          </w:tcPr>
          <w:p w14:paraId="632AFB8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EU-2008</w:t>
            </w:r>
          </w:p>
        </w:tc>
      </w:tr>
      <w:tr w:rsidR="00034328" w:rsidRPr="00DA4B5C" w14:paraId="6D423283" w14:textId="77777777" w:rsidTr="009A3655">
        <w:trPr>
          <w:trHeight w:val="240"/>
        </w:trPr>
        <w:tc>
          <w:tcPr>
            <w:tcW w:w="1102" w:type="dxa"/>
            <w:tcBorders>
              <w:top w:val="nil"/>
              <w:left w:val="single" w:sz="4" w:space="0" w:color="auto"/>
              <w:bottom w:val="nil"/>
              <w:right w:val="single" w:sz="4" w:space="0" w:color="auto"/>
            </w:tcBorders>
            <w:shd w:val="clear" w:color="000000" w:fill="D9D9D9"/>
            <w:noWrap/>
            <w:vAlign w:val="bottom"/>
            <w:hideMark/>
          </w:tcPr>
          <w:p w14:paraId="65B648E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Denmark</w:t>
            </w:r>
          </w:p>
        </w:tc>
        <w:tc>
          <w:tcPr>
            <w:tcW w:w="2899" w:type="dxa"/>
            <w:tcBorders>
              <w:top w:val="nil"/>
              <w:left w:val="single" w:sz="4" w:space="0" w:color="auto"/>
              <w:bottom w:val="nil"/>
              <w:right w:val="single" w:sz="4" w:space="0" w:color="auto"/>
            </w:tcBorders>
            <w:shd w:val="clear" w:color="000000" w:fill="D9D9D9"/>
            <w:noWrap/>
            <w:vAlign w:val="bottom"/>
            <w:hideMark/>
          </w:tcPr>
          <w:p w14:paraId="1D18155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DK-MIS</w:t>
            </w:r>
          </w:p>
        </w:tc>
        <w:tc>
          <w:tcPr>
            <w:tcW w:w="570" w:type="dxa"/>
            <w:tcBorders>
              <w:top w:val="nil"/>
              <w:left w:val="single" w:sz="4" w:space="0" w:color="auto"/>
              <w:bottom w:val="nil"/>
              <w:right w:val="single" w:sz="4" w:space="0" w:color="auto"/>
            </w:tcBorders>
            <w:shd w:val="clear" w:color="000000" w:fill="D9D9D9"/>
            <w:noWrap/>
            <w:vAlign w:val="bottom"/>
            <w:hideMark/>
          </w:tcPr>
          <w:p w14:paraId="3FF6D33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7B12ACF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168174F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7F70F24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B0BAA1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98930F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F2829D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62D9898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000000" w:fill="D9D9D9"/>
            <w:noWrap/>
            <w:vAlign w:val="bottom"/>
            <w:hideMark/>
          </w:tcPr>
          <w:p w14:paraId="4E7EB06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Other</w:t>
            </w:r>
          </w:p>
        </w:tc>
      </w:tr>
      <w:tr w:rsidR="00B53BA8" w:rsidRPr="00DA4B5C" w14:paraId="53B3BEC9"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1F98B64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Estonia</w:t>
            </w:r>
          </w:p>
        </w:tc>
        <w:tc>
          <w:tcPr>
            <w:tcW w:w="2899" w:type="dxa"/>
            <w:tcBorders>
              <w:top w:val="nil"/>
              <w:left w:val="nil"/>
              <w:bottom w:val="nil"/>
              <w:right w:val="single" w:sz="4" w:space="0" w:color="auto"/>
            </w:tcBorders>
            <w:shd w:val="clear" w:color="auto" w:fill="auto"/>
            <w:noWrap/>
            <w:vAlign w:val="bottom"/>
            <w:hideMark/>
          </w:tcPr>
          <w:p w14:paraId="4096018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EE-NAKIS</w:t>
            </w:r>
          </w:p>
        </w:tc>
        <w:tc>
          <w:tcPr>
            <w:tcW w:w="570" w:type="dxa"/>
            <w:tcBorders>
              <w:top w:val="nil"/>
              <w:left w:val="nil"/>
              <w:bottom w:val="nil"/>
              <w:right w:val="single" w:sz="4" w:space="0" w:color="auto"/>
            </w:tcBorders>
            <w:shd w:val="clear" w:color="auto" w:fill="auto"/>
            <w:noWrap/>
            <w:vAlign w:val="bottom"/>
            <w:hideMark/>
          </w:tcPr>
          <w:p w14:paraId="55C5B7A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D22E46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E9FE98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7CEB1C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0F8772B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A49AD2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783971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E49225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auto"/>
            <w:noWrap/>
            <w:vAlign w:val="bottom"/>
            <w:hideMark/>
          </w:tcPr>
          <w:p w14:paraId="06B7C95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r w:rsidR="00034328" w:rsidRPr="00DA4B5C" w14:paraId="7445A2D5" w14:textId="77777777" w:rsidTr="009A3655">
        <w:trPr>
          <w:trHeight w:val="240"/>
        </w:trPr>
        <w:tc>
          <w:tcPr>
            <w:tcW w:w="1102" w:type="dxa"/>
            <w:tcBorders>
              <w:top w:val="nil"/>
              <w:left w:val="single" w:sz="4" w:space="0" w:color="auto"/>
              <w:bottom w:val="nil"/>
              <w:right w:val="single" w:sz="4" w:space="0" w:color="auto"/>
            </w:tcBorders>
            <w:shd w:val="clear" w:color="000000" w:fill="D9D9D9"/>
            <w:noWrap/>
            <w:vAlign w:val="bottom"/>
            <w:hideMark/>
          </w:tcPr>
          <w:p w14:paraId="31AAF6F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France</w:t>
            </w:r>
          </w:p>
        </w:tc>
        <w:tc>
          <w:tcPr>
            <w:tcW w:w="2899" w:type="dxa"/>
            <w:tcBorders>
              <w:top w:val="nil"/>
              <w:left w:val="single" w:sz="4" w:space="0" w:color="auto"/>
              <w:bottom w:val="nil"/>
              <w:right w:val="single" w:sz="4" w:space="0" w:color="auto"/>
            </w:tcBorders>
            <w:shd w:val="clear" w:color="000000" w:fill="D9D9D9"/>
            <w:noWrap/>
            <w:vAlign w:val="bottom"/>
            <w:hideMark/>
          </w:tcPr>
          <w:p w14:paraId="06D23D2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FR-NATIONAL_REFERENCE_CENTRES</w:t>
            </w:r>
          </w:p>
        </w:tc>
        <w:tc>
          <w:tcPr>
            <w:tcW w:w="570" w:type="dxa"/>
            <w:tcBorders>
              <w:top w:val="nil"/>
              <w:left w:val="single" w:sz="4" w:space="0" w:color="auto"/>
              <w:bottom w:val="nil"/>
              <w:right w:val="single" w:sz="4" w:space="0" w:color="auto"/>
            </w:tcBorders>
            <w:shd w:val="clear" w:color="000000" w:fill="D9D9D9"/>
            <w:noWrap/>
            <w:vAlign w:val="bottom"/>
            <w:hideMark/>
          </w:tcPr>
          <w:p w14:paraId="4A81A517" w14:textId="5DDE6027" w:rsidR="00B53BA8" w:rsidRPr="00DA4B5C" w:rsidRDefault="00FE1C60" w:rsidP="00DA4B5C">
            <w:pPr>
              <w:spacing w:before="120" w:after="0"/>
              <w:rPr>
                <w:rFonts w:eastAsia="Times New Roman" w:cs="Tahoma"/>
                <w:sz w:val="14"/>
                <w:szCs w:val="14"/>
                <w:lang w:eastAsia="en-GB"/>
              </w:rPr>
            </w:pPr>
            <w:r>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6AA7309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2B008E9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F6A058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3161DB8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22F0C8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32006C0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553C882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000000" w:fill="D9D9D9"/>
            <w:noWrap/>
            <w:vAlign w:val="bottom"/>
            <w:hideMark/>
          </w:tcPr>
          <w:p w14:paraId="0E41256E" w14:textId="1CEDFEA2" w:rsidR="00B53BA8" w:rsidRPr="00DA4B5C" w:rsidRDefault="00BB752F" w:rsidP="00DA4B5C">
            <w:pPr>
              <w:spacing w:before="120" w:after="0"/>
              <w:rPr>
                <w:rFonts w:eastAsia="Times New Roman" w:cs="Tahoma"/>
                <w:sz w:val="14"/>
                <w:szCs w:val="14"/>
                <w:lang w:eastAsia="en-GB"/>
              </w:rPr>
            </w:pPr>
            <w:r w:rsidRPr="00614C6B">
              <w:rPr>
                <w:rFonts w:eastAsia="Times New Roman" w:cs="Tahoma"/>
                <w:sz w:val="14"/>
                <w:szCs w:val="14"/>
                <w:lang w:eastAsia="en-GB"/>
              </w:rPr>
              <w:t>Not specified/unknown</w:t>
            </w:r>
          </w:p>
        </w:tc>
      </w:tr>
      <w:tr w:rsidR="00B53BA8" w:rsidRPr="00DA4B5C" w14:paraId="7ADBC50F"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2E84B63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Greece</w:t>
            </w:r>
          </w:p>
        </w:tc>
        <w:tc>
          <w:tcPr>
            <w:tcW w:w="2899" w:type="dxa"/>
            <w:tcBorders>
              <w:top w:val="nil"/>
              <w:left w:val="nil"/>
              <w:bottom w:val="nil"/>
              <w:right w:val="single" w:sz="4" w:space="0" w:color="auto"/>
            </w:tcBorders>
            <w:shd w:val="clear" w:color="auto" w:fill="auto"/>
            <w:noWrap/>
            <w:vAlign w:val="bottom"/>
            <w:hideMark/>
          </w:tcPr>
          <w:p w14:paraId="344F717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EL-NOTIFIABLE_DISEASES</w:t>
            </w:r>
          </w:p>
        </w:tc>
        <w:tc>
          <w:tcPr>
            <w:tcW w:w="570" w:type="dxa"/>
            <w:tcBorders>
              <w:top w:val="nil"/>
              <w:left w:val="nil"/>
              <w:bottom w:val="nil"/>
              <w:right w:val="single" w:sz="4" w:space="0" w:color="auto"/>
            </w:tcBorders>
            <w:shd w:val="clear" w:color="auto" w:fill="auto"/>
            <w:noWrap/>
            <w:vAlign w:val="bottom"/>
            <w:hideMark/>
          </w:tcPr>
          <w:p w14:paraId="66C0A40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76119B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3324BA1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230466D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7AEB09F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25E964B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5C9148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E24347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w:t>
            </w:r>
          </w:p>
        </w:tc>
        <w:tc>
          <w:tcPr>
            <w:tcW w:w="1635" w:type="dxa"/>
            <w:tcBorders>
              <w:top w:val="nil"/>
              <w:left w:val="nil"/>
              <w:bottom w:val="nil"/>
              <w:right w:val="single" w:sz="4" w:space="0" w:color="auto"/>
            </w:tcBorders>
            <w:shd w:val="clear" w:color="auto" w:fill="auto"/>
            <w:noWrap/>
            <w:vAlign w:val="bottom"/>
            <w:hideMark/>
          </w:tcPr>
          <w:p w14:paraId="1DFC808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r w:rsidR="00034328" w:rsidRPr="00DA4B5C" w14:paraId="6033CF99" w14:textId="77777777" w:rsidTr="009A3655">
        <w:trPr>
          <w:trHeight w:val="240"/>
        </w:trPr>
        <w:tc>
          <w:tcPr>
            <w:tcW w:w="1102" w:type="dxa"/>
            <w:tcBorders>
              <w:top w:val="nil"/>
              <w:left w:val="single" w:sz="4" w:space="0" w:color="auto"/>
              <w:bottom w:val="nil"/>
              <w:right w:val="single" w:sz="4" w:space="0" w:color="auto"/>
            </w:tcBorders>
            <w:shd w:val="clear" w:color="000000" w:fill="D9D9D9"/>
            <w:noWrap/>
            <w:vAlign w:val="bottom"/>
            <w:hideMark/>
          </w:tcPr>
          <w:p w14:paraId="5C23C09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Hungary</w:t>
            </w:r>
          </w:p>
        </w:tc>
        <w:tc>
          <w:tcPr>
            <w:tcW w:w="2899" w:type="dxa"/>
            <w:tcBorders>
              <w:top w:val="nil"/>
              <w:left w:val="single" w:sz="4" w:space="0" w:color="auto"/>
              <w:bottom w:val="nil"/>
              <w:right w:val="single" w:sz="4" w:space="0" w:color="auto"/>
            </w:tcBorders>
            <w:shd w:val="clear" w:color="000000" w:fill="D9D9D9"/>
            <w:noWrap/>
            <w:vAlign w:val="bottom"/>
            <w:hideMark/>
          </w:tcPr>
          <w:p w14:paraId="62A1441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HU-EFRIR</w:t>
            </w:r>
          </w:p>
        </w:tc>
        <w:tc>
          <w:tcPr>
            <w:tcW w:w="570" w:type="dxa"/>
            <w:tcBorders>
              <w:top w:val="nil"/>
              <w:left w:val="single" w:sz="4" w:space="0" w:color="auto"/>
              <w:bottom w:val="nil"/>
              <w:right w:val="single" w:sz="4" w:space="0" w:color="auto"/>
            </w:tcBorders>
            <w:shd w:val="clear" w:color="000000" w:fill="D9D9D9"/>
            <w:noWrap/>
            <w:vAlign w:val="bottom"/>
            <w:hideMark/>
          </w:tcPr>
          <w:p w14:paraId="5FBE064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1803255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4BBD1F4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3165AD0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4AABA6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4BE06B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91479A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318B564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000000" w:fill="D9D9D9"/>
            <w:noWrap/>
            <w:vAlign w:val="bottom"/>
            <w:hideMark/>
          </w:tcPr>
          <w:p w14:paraId="4979C97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EU-2012</w:t>
            </w:r>
          </w:p>
        </w:tc>
      </w:tr>
      <w:tr w:rsidR="00B53BA8" w:rsidRPr="00DA4B5C" w14:paraId="1000F749"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3EAFFED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Ireland</w:t>
            </w:r>
          </w:p>
        </w:tc>
        <w:tc>
          <w:tcPr>
            <w:tcW w:w="2899" w:type="dxa"/>
            <w:tcBorders>
              <w:top w:val="nil"/>
              <w:left w:val="nil"/>
              <w:bottom w:val="nil"/>
              <w:right w:val="single" w:sz="4" w:space="0" w:color="auto"/>
            </w:tcBorders>
            <w:shd w:val="clear" w:color="auto" w:fill="auto"/>
            <w:noWrap/>
            <w:vAlign w:val="bottom"/>
            <w:hideMark/>
          </w:tcPr>
          <w:p w14:paraId="00D06B4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IE-Beaumont-</w:t>
            </w:r>
            <w:proofErr w:type="spellStart"/>
            <w:r w:rsidRPr="00DA4B5C">
              <w:rPr>
                <w:rFonts w:eastAsia="Times New Roman" w:cs="Tahoma"/>
                <w:sz w:val="14"/>
                <w:szCs w:val="14"/>
                <w:lang w:eastAsia="en-GB"/>
              </w:rPr>
              <w:t>vCJD</w:t>
            </w:r>
            <w:proofErr w:type="spellEnd"/>
          </w:p>
        </w:tc>
        <w:tc>
          <w:tcPr>
            <w:tcW w:w="570" w:type="dxa"/>
            <w:tcBorders>
              <w:top w:val="nil"/>
              <w:left w:val="nil"/>
              <w:bottom w:val="nil"/>
              <w:right w:val="single" w:sz="4" w:space="0" w:color="auto"/>
            </w:tcBorders>
            <w:shd w:val="clear" w:color="auto" w:fill="auto"/>
            <w:noWrap/>
            <w:vAlign w:val="bottom"/>
            <w:hideMark/>
          </w:tcPr>
          <w:p w14:paraId="56B04F3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44DBFBA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652E31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74DF52A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673CF2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3DFD5D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D1AEFC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D6C420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auto"/>
            <w:noWrap/>
            <w:vAlign w:val="bottom"/>
            <w:hideMark/>
          </w:tcPr>
          <w:p w14:paraId="1D2E3055" w14:textId="042A035C"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Other</w:t>
            </w:r>
          </w:p>
        </w:tc>
      </w:tr>
      <w:tr w:rsidR="00034328" w:rsidRPr="00DA4B5C" w14:paraId="277E8118" w14:textId="77777777" w:rsidTr="009A3655">
        <w:trPr>
          <w:trHeight w:val="240"/>
        </w:trPr>
        <w:tc>
          <w:tcPr>
            <w:tcW w:w="1102" w:type="dxa"/>
            <w:tcBorders>
              <w:top w:val="nil"/>
              <w:left w:val="single" w:sz="4" w:space="0" w:color="auto"/>
              <w:bottom w:val="nil"/>
              <w:right w:val="single" w:sz="4" w:space="0" w:color="auto"/>
            </w:tcBorders>
            <w:shd w:val="clear" w:color="000000" w:fill="D9D9D9"/>
            <w:noWrap/>
            <w:vAlign w:val="bottom"/>
            <w:hideMark/>
          </w:tcPr>
          <w:p w14:paraId="101B6D2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Ireland</w:t>
            </w:r>
          </w:p>
        </w:tc>
        <w:tc>
          <w:tcPr>
            <w:tcW w:w="2899" w:type="dxa"/>
            <w:tcBorders>
              <w:top w:val="nil"/>
              <w:left w:val="single" w:sz="4" w:space="0" w:color="auto"/>
              <w:bottom w:val="nil"/>
              <w:right w:val="single" w:sz="4" w:space="0" w:color="auto"/>
            </w:tcBorders>
            <w:shd w:val="clear" w:color="000000" w:fill="D9D9D9"/>
            <w:noWrap/>
            <w:vAlign w:val="bottom"/>
            <w:hideMark/>
          </w:tcPr>
          <w:p w14:paraId="073775D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IE-CIDR</w:t>
            </w:r>
          </w:p>
        </w:tc>
        <w:tc>
          <w:tcPr>
            <w:tcW w:w="570" w:type="dxa"/>
            <w:tcBorders>
              <w:top w:val="nil"/>
              <w:left w:val="single" w:sz="4" w:space="0" w:color="auto"/>
              <w:bottom w:val="nil"/>
              <w:right w:val="single" w:sz="4" w:space="0" w:color="auto"/>
            </w:tcBorders>
            <w:shd w:val="clear" w:color="000000" w:fill="D9D9D9"/>
            <w:noWrap/>
            <w:vAlign w:val="bottom"/>
            <w:hideMark/>
          </w:tcPr>
          <w:p w14:paraId="75B1936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387184E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60476B2"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244A704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56C1C63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2DEA3F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24629F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8C457F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000000" w:fill="D9D9D9"/>
            <w:noWrap/>
            <w:vAlign w:val="bottom"/>
            <w:hideMark/>
          </w:tcPr>
          <w:p w14:paraId="0F6EC4B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Other</w:t>
            </w:r>
          </w:p>
        </w:tc>
      </w:tr>
      <w:tr w:rsidR="00B37725" w:rsidRPr="00DA4B5C" w14:paraId="6662473E"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tcPr>
          <w:p w14:paraId="5CB4C23D" w14:textId="33268E90" w:rsidR="00B37725" w:rsidRPr="00CF15D0" w:rsidRDefault="00B37725" w:rsidP="00B37725">
            <w:pPr>
              <w:spacing w:before="120" w:after="0"/>
              <w:rPr>
                <w:rFonts w:eastAsia="Times New Roman" w:cs="Tahoma"/>
                <w:sz w:val="14"/>
                <w:szCs w:val="14"/>
                <w:lang w:eastAsia="en-GB"/>
              </w:rPr>
            </w:pPr>
            <w:r w:rsidRPr="00CF15D0">
              <w:rPr>
                <w:rFonts w:eastAsia="Times New Roman" w:cs="Tahoma"/>
                <w:sz w:val="14"/>
                <w:szCs w:val="14"/>
                <w:lang w:eastAsia="en-GB"/>
              </w:rPr>
              <w:t>Italy</w:t>
            </w:r>
          </w:p>
        </w:tc>
        <w:tc>
          <w:tcPr>
            <w:tcW w:w="2899" w:type="dxa"/>
            <w:tcBorders>
              <w:top w:val="nil"/>
              <w:left w:val="single" w:sz="4" w:space="0" w:color="auto"/>
              <w:bottom w:val="nil"/>
              <w:right w:val="single" w:sz="4" w:space="0" w:color="auto"/>
            </w:tcBorders>
            <w:shd w:val="clear" w:color="auto" w:fill="auto"/>
            <w:noWrap/>
          </w:tcPr>
          <w:p w14:paraId="1D8C8BA2" w14:textId="2177649C"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IT-CJD</w:t>
            </w:r>
          </w:p>
        </w:tc>
        <w:tc>
          <w:tcPr>
            <w:tcW w:w="570" w:type="dxa"/>
            <w:tcBorders>
              <w:top w:val="nil"/>
              <w:left w:val="single" w:sz="4" w:space="0" w:color="auto"/>
              <w:bottom w:val="nil"/>
              <w:right w:val="single" w:sz="4" w:space="0" w:color="auto"/>
            </w:tcBorders>
            <w:shd w:val="clear" w:color="auto" w:fill="auto"/>
            <w:noWrap/>
          </w:tcPr>
          <w:p w14:paraId="33D587CA" w14:textId="7C5B7FBF"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Cp</w:t>
            </w:r>
          </w:p>
        </w:tc>
        <w:tc>
          <w:tcPr>
            <w:tcW w:w="570" w:type="dxa"/>
            <w:tcBorders>
              <w:top w:val="nil"/>
              <w:left w:val="single" w:sz="4" w:space="0" w:color="auto"/>
              <w:bottom w:val="nil"/>
              <w:right w:val="single" w:sz="4" w:space="0" w:color="auto"/>
            </w:tcBorders>
            <w:shd w:val="clear" w:color="auto" w:fill="auto"/>
            <w:noWrap/>
          </w:tcPr>
          <w:p w14:paraId="21C7243B" w14:textId="5D40C2BD"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Co</w:t>
            </w:r>
          </w:p>
        </w:tc>
        <w:tc>
          <w:tcPr>
            <w:tcW w:w="570" w:type="dxa"/>
            <w:tcBorders>
              <w:top w:val="nil"/>
              <w:left w:val="single" w:sz="4" w:space="0" w:color="auto"/>
              <w:bottom w:val="nil"/>
              <w:right w:val="single" w:sz="4" w:space="0" w:color="auto"/>
            </w:tcBorders>
            <w:shd w:val="clear" w:color="auto" w:fill="auto"/>
            <w:noWrap/>
          </w:tcPr>
          <w:p w14:paraId="6FC5A8B9" w14:textId="187BAC59"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P</w:t>
            </w:r>
          </w:p>
        </w:tc>
        <w:tc>
          <w:tcPr>
            <w:tcW w:w="570" w:type="dxa"/>
            <w:tcBorders>
              <w:top w:val="nil"/>
              <w:left w:val="single" w:sz="4" w:space="0" w:color="auto"/>
              <w:bottom w:val="nil"/>
              <w:right w:val="single" w:sz="4" w:space="0" w:color="auto"/>
            </w:tcBorders>
            <w:shd w:val="clear" w:color="auto" w:fill="auto"/>
            <w:noWrap/>
          </w:tcPr>
          <w:p w14:paraId="0CE6B161" w14:textId="5B8F8415"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C</w:t>
            </w:r>
          </w:p>
        </w:tc>
        <w:tc>
          <w:tcPr>
            <w:tcW w:w="570" w:type="dxa"/>
            <w:tcBorders>
              <w:top w:val="nil"/>
              <w:left w:val="single" w:sz="4" w:space="0" w:color="auto"/>
              <w:bottom w:val="nil"/>
              <w:right w:val="single" w:sz="4" w:space="0" w:color="auto"/>
            </w:tcBorders>
            <w:shd w:val="clear" w:color="auto" w:fill="auto"/>
            <w:noWrap/>
          </w:tcPr>
          <w:p w14:paraId="092F8692" w14:textId="2BCB0AD9"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Y</w:t>
            </w:r>
          </w:p>
        </w:tc>
        <w:tc>
          <w:tcPr>
            <w:tcW w:w="570" w:type="dxa"/>
            <w:tcBorders>
              <w:top w:val="nil"/>
              <w:left w:val="single" w:sz="4" w:space="0" w:color="auto"/>
              <w:bottom w:val="nil"/>
              <w:right w:val="single" w:sz="4" w:space="0" w:color="auto"/>
            </w:tcBorders>
            <w:shd w:val="clear" w:color="auto" w:fill="auto"/>
            <w:noWrap/>
          </w:tcPr>
          <w:p w14:paraId="7F4A4895" w14:textId="276BEBEB"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Y</w:t>
            </w:r>
          </w:p>
        </w:tc>
        <w:tc>
          <w:tcPr>
            <w:tcW w:w="570" w:type="dxa"/>
            <w:tcBorders>
              <w:top w:val="nil"/>
              <w:left w:val="single" w:sz="4" w:space="0" w:color="auto"/>
              <w:bottom w:val="nil"/>
              <w:right w:val="single" w:sz="4" w:space="0" w:color="auto"/>
            </w:tcBorders>
            <w:shd w:val="clear" w:color="auto" w:fill="auto"/>
            <w:noWrap/>
          </w:tcPr>
          <w:p w14:paraId="5FCF6926" w14:textId="72465BFA"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Y</w:t>
            </w:r>
          </w:p>
        </w:tc>
        <w:tc>
          <w:tcPr>
            <w:tcW w:w="570" w:type="dxa"/>
            <w:tcBorders>
              <w:top w:val="nil"/>
              <w:left w:val="single" w:sz="4" w:space="0" w:color="auto"/>
              <w:bottom w:val="nil"/>
              <w:right w:val="single" w:sz="4" w:space="0" w:color="auto"/>
            </w:tcBorders>
            <w:shd w:val="clear" w:color="auto" w:fill="auto"/>
            <w:noWrap/>
          </w:tcPr>
          <w:p w14:paraId="3301BBBC" w14:textId="10437C36"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N</w:t>
            </w:r>
          </w:p>
        </w:tc>
        <w:tc>
          <w:tcPr>
            <w:tcW w:w="1635" w:type="dxa"/>
            <w:tcBorders>
              <w:top w:val="nil"/>
              <w:left w:val="nil"/>
              <w:bottom w:val="nil"/>
              <w:right w:val="single" w:sz="4" w:space="0" w:color="auto"/>
            </w:tcBorders>
            <w:shd w:val="clear" w:color="auto" w:fill="auto"/>
            <w:noWrap/>
          </w:tcPr>
          <w:p w14:paraId="648BE879" w14:textId="0800D6CC" w:rsidR="00B37725" w:rsidRPr="00CF15D0" w:rsidRDefault="00B37725" w:rsidP="00B37725">
            <w:pPr>
              <w:spacing w:before="120" w:after="0"/>
              <w:rPr>
                <w:rFonts w:eastAsia="Times New Roman" w:cs="Tahoma"/>
                <w:sz w:val="14"/>
                <w:szCs w:val="14"/>
                <w:lang w:eastAsia="en-GB"/>
              </w:rPr>
            </w:pPr>
            <w:r w:rsidRPr="00CF15D0">
              <w:rPr>
                <w:rFonts w:cs="Tahoma"/>
                <w:color w:val="000000"/>
                <w:sz w:val="14"/>
                <w:szCs w:val="14"/>
              </w:rPr>
              <w:t>EUCD</w:t>
            </w:r>
          </w:p>
        </w:tc>
      </w:tr>
      <w:tr w:rsidR="00B53BA8" w:rsidRPr="00DA4B5C" w14:paraId="76925669" w14:textId="77777777" w:rsidTr="009A3655">
        <w:trPr>
          <w:trHeight w:val="240"/>
        </w:trPr>
        <w:tc>
          <w:tcPr>
            <w:tcW w:w="1102" w:type="dxa"/>
            <w:tcBorders>
              <w:top w:val="nil"/>
              <w:left w:val="single" w:sz="4" w:space="0" w:color="auto"/>
              <w:bottom w:val="nil"/>
              <w:right w:val="single" w:sz="4" w:space="0" w:color="auto"/>
            </w:tcBorders>
            <w:shd w:val="clear" w:color="auto" w:fill="D9D9D9" w:themeFill="background1" w:themeFillShade="D9"/>
            <w:noWrap/>
            <w:vAlign w:val="bottom"/>
            <w:hideMark/>
          </w:tcPr>
          <w:p w14:paraId="3B2B47E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Latvia</w:t>
            </w:r>
          </w:p>
        </w:tc>
        <w:tc>
          <w:tcPr>
            <w:tcW w:w="2899" w:type="dxa"/>
            <w:tcBorders>
              <w:top w:val="nil"/>
              <w:left w:val="nil"/>
              <w:bottom w:val="nil"/>
              <w:right w:val="single" w:sz="4" w:space="0" w:color="auto"/>
            </w:tcBorders>
            <w:shd w:val="clear" w:color="auto" w:fill="D9D9D9" w:themeFill="background1" w:themeFillShade="D9"/>
            <w:noWrap/>
            <w:vAlign w:val="bottom"/>
            <w:hideMark/>
          </w:tcPr>
          <w:p w14:paraId="0672BFD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LV-BSN</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7B35664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4AA28CB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58FCFBF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7C5AB7A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3F45413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5EE48F7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0160749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6C658CB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D9D9D9" w:themeFill="background1" w:themeFillShade="D9"/>
            <w:noWrap/>
            <w:vAlign w:val="bottom"/>
            <w:hideMark/>
          </w:tcPr>
          <w:p w14:paraId="0ED40361" w14:textId="41C086BC"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w:t>
            </w:r>
            <w:r w:rsidR="00B76667">
              <w:rPr>
                <w:rFonts w:eastAsia="Times New Roman" w:cs="Tahoma"/>
                <w:sz w:val="14"/>
                <w:szCs w:val="14"/>
                <w:lang w:eastAsia="en-GB"/>
              </w:rPr>
              <w:t>8</w:t>
            </w:r>
          </w:p>
        </w:tc>
      </w:tr>
      <w:tr w:rsidR="00034328" w:rsidRPr="00DA4B5C" w14:paraId="5CDF14BB"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6709E07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Liechtenstein</w:t>
            </w:r>
          </w:p>
        </w:tc>
        <w:tc>
          <w:tcPr>
            <w:tcW w:w="2899" w:type="dxa"/>
            <w:tcBorders>
              <w:top w:val="nil"/>
              <w:left w:val="single" w:sz="4" w:space="0" w:color="auto"/>
              <w:bottom w:val="nil"/>
              <w:right w:val="single" w:sz="4" w:space="0" w:color="auto"/>
            </w:tcBorders>
            <w:shd w:val="clear" w:color="auto" w:fill="auto"/>
            <w:noWrap/>
            <w:vAlign w:val="bottom"/>
            <w:hideMark/>
          </w:tcPr>
          <w:p w14:paraId="00F646C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LI-</w:t>
            </w:r>
            <w:proofErr w:type="spellStart"/>
            <w:r w:rsidRPr="00DA4B5C">
              <w:rPr>
                <w:rFonts w:eastAsia="Times New Roman" w:cs="Tahoma"/>
                <w:sz w:val="14"/>
                <w:szCs w:val="14"/>
                <w:lang w:eastAsia="en-GB"/>
              </w:rPr>
              <w:t>vCJD</w:t>
            </w:r>
            <w:proofErr w:type="spellEnd"/>
          </w:p>
        </w:tc>
        <w:tc>
          <w:tcPr>
            <w:tcW w:w="570" w:type="dxa"/>
            <w:tcBorders>
              <w:top w:val="nil"/>
              <w:left w:val="single" w:sz="4" w:space="0" w:color="auto"/>
              <w:bottom w:val="nil"/>
              <w:right w:val="single" w:sz="4" w:space="0" w:color="auto"/>
            </w:tcBorders>
            <w:shd w:val="clear" w:color="auto" w:fill="auto"/>
            <w:noWrap/>
            <w:vAlign w:val="bottom"/>
            <w:hideMark/>
          </w:tcPr>
          <w:p w14:paraId="0305DD3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auto" w:fill="auto"/>
            <w:noWrap/>
            <w:vAlign w:val="bottom"/>
            <w:hideMark/>
          </w:tcPr>
          <w:p w14:paraId="1304652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auto" w:fill="auto"/>
            <w:noWrap/>
            <w:vAlign w:val="bottom"/>
            <w:hideMark/>
          </w:tcPr>
          <w:p w14:paraId="2AA9EDF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auto" w:fill="auto"/>
            <w:noWrap/>
            <w:vAlign w:val="bottom"/>
            <w:hideMark/>
          </w:tcPr>
          <w:p w14:paraId="541ABE8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auto" w:fill="auto"/>
            <w:noWrap/>
            <w:vAlign w:val="bottom"/>
            <w:hideMark/>
          </w:tcPr>
          <w:p w14:paraId="210D6162"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hideMark/>
          </w:tcPr>
          <w:p w14:paraId="195DBE4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hideMark/>
          </w:tcPr>
          <w:p w14:paraId="3C595CD2"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hideMark/>
          </w:tcPr>
          <w:p w14:paraId="4B4AB28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w:t>
            </w:r>
          </w:p>
        </w:tc>
        <w:tc>
          <w:tcPr>
            <w:tcW w:w="1635" w:type="dxa"/>
            <w:tcBorders>
              <w:top w:val="nil"/>
              <w:left w:val="nil"/>
              <w:bottom w:val="nil"/>
              <w:right w:val="single" w:sz="4" w:space="0" w:color="auto"/>
            </w:tcBorders>
            <w:shd w:val="clear" w:color="auto" w:fill="auto"/>
            <w:noWrap/>
            <w:vAlign w:val="bottom"/>
            <w:hideMark/>
          </w:tcPr>
          <w:p w14:paraId="0BAF3DB6" w14:textId="7990F15B" w:rsidR="00B53BA8" w:rsidRPr="00DA4B5C" w:rsidRDefault="00FE1C60" w:rsidP="00DA4B5C">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r w:rsidR="00B53BA8" w:rsidRPr="00DA4B5C" w14:paraId="3B7016AF" w14:textId="77777777" w:rsidTr="009A3655">
        <w:trPr>
          <w:trHeight w:val="240"/>
        </w:trPr>
        <w:tc>
          <w:tcPr>
            <w:tcW w:w="1102" w:type="dxa"/>
            <w:tcBorders>
              <w:top w:val="nil"/>
              <w:left w:val="single" w:sz="4" w:space="0" w:color="auto"/>
              <w:bottom w:val="nil"/>
              <w:right w:val="single" w:sz="4" w:space="0" w:color="auto"/>
            </w:tcBorders>
            <w:shd w:val="clear" w:color="auto" w:fill="D9D9D9" w:themeFill="background1" w:themeFillShade="D9"/>
            <w:noWrap/>
            <w:vAlign w:val="bottom"/>
            <w:hideMark/>
          </w:tcPr>
          <w:p w14:paraId="752B2AD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Lithuania</w:t>
            </w:r>
          </w:p>
        </w:tc>
        <w:tc>
          <w:tcPr>
            <w:tcW w:w="2899" w:type="dxa"/>
            <w:tcBorders>
              <w:top w:val="nil"/>
              <w:left w:val="nil"/>
              <w:bottom w:val="nil"/>
              <w:right w:val="single" w:sz="4" w:space="0" w:color="auto"/>
            </w:tcBorders>
            <w:shd w:val="clear" w:color="auto" w:fill="D9D9D9" w:themeFill="background1" w:themeFillShade="D9"/>
            <w:noWrap/>
            <w:vAlign w:val="bottom"/>
            <w:hideMark/>
          </w:tcPr>
          <w:p w14:paraId="1416687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LT-COMMUNICABLE_DISEASES</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3AB1B30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4E2F118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7EC0420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30B20C8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3996F51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6F45B56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604DB4F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2023711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D9D9D9" w:themeFill="background1" w:themeFillShade="D9"/>
            <w:noWrap/>
            <w:vAlign w:val="bottom"/>
            <w:hideMark/>
          </w:tcPr>
          <w:p w14:paraId="0AB7778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r w:rsidR="00034328" w:rsidRPr="00DA4B5C" w14:paraId="46DEC836"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5622FF5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Luxembourg</w:t>
            </w:r>
          </w:p>
        </w:tc>
        <w:tc>
          <w:tcPr>
            <w:tcW w:w="2899" w:type="dxa"/>
            <w:tcBorders>
              <w:top w:val="nil"/>
              <w:left w:val="single" w:sz="4" w:space="0" w:color="auto"/>
              <w:bottom w:val="nil"/>
              <w:right w:val="single" w:sz="4" w:space="0" w:color="auto"/>
            </w:tcBorders>
            <w:shd w:val="clear" w:color="auto" w:fill="auto"/>
            <w:noWrap/>
            <w:vAlign w:val="bottom"/>
            <w:hideMark/>
          </w:tcPr>
          <w:p w14:paraId="17AB205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LU-SYSTEM1</w:t>
            </w:r>
          </w:p>
        </w:tc>
        <w:tc>
          <w:tcPr>
            <w:tcW w:w="570" w:type="dxa"/>
            <w:tcBorders>
              <w:top w:val="nil"/>
              <w:left w:val="single" w:sz="4" w:space="0" w:color="auto"/>
              <w:bottom w:val="nil"/>
              <w:right w:val="single" w:sz="4" w:space="0" w:color="auto"/>
            </w:tcBorders>
            <w:shd w:val="clear" w:color="auto" w:fill="auto"/>
            <w:noWrap/>
            <w:vAlign w:val="bottom"/>
            <w:hideMark/>
          </w:tcPr>
          <w:p w14:paraId="1B04CB7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auto" w:fill="auto"/>
            <w:noWrap/>
            <w:vAlign w:val="bottom"/>
            <w:hideMark/>
          </w:tcPr>
          <w:p w14:paraId="21FDE1C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auto" w:fill="auto"/>
            <w:noWrap/>
            <w:vAlign w:val="bottom"/>
            <w:hideMark/>
          </w:tcPr>
          <w:p w14:paraId="23CC6C5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auto" w:fill="auto"/>
            <w:noWrap/>
            <w:vAlign w:val="bottom"/>
            <w:hideMark/>
          </w:tcPr>
          <w:p w14:paraId="7463EFA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auto" w:fill="auto"/>
            <w:noWrap/>
            <w:vAlign w:val="bottom"/>
            <w:hideMark/>
          </w:tcPr>
          <w:p w14:paraId="38EEF660" w14:textId="497B0041" w:rsidR="00B53BA8" w:rsidRPr="00DA4B5C" w:rsidRDefault="005B5ABF"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hideMark/>
          </w:tcPr>
          <w:p w14:paraId="426E86A2"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hideMark/>
          </w:tcPr>
          <w:p w14:paraId="252FD2D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auto" w:fill="auto"/>
            <w:noWrap/>
            <w:vAlign w:val="bottom"/>
            <w:hideMark/>
          </w:tcPr>
          <w:p w14:paraId="36B746D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auto"/>
            <w:noWrap/>
            <w:vAlign w:val="bottom"/>
            <w:hideMark/>
          </w:tcPr>
          <w:p w14:paraId="302642D6" w14:textId="5F63FBB0"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w:t>
            </w:r>
            <w:r w:rsidR="005B5ABF" w:rsidRPr="00DA4B5C">
              <w:rPr>
                <w:rFonts w:eastAsia="Times New Roman" w:cs="Tahoma"/>
                <w:sz w:val="14"/>
                <w:szCs w:val="14"/>
                <w:lang w:eastAsia="en-GB"/>
              </w:rPr>
              <w:t>18</w:t>
            </w:r>
          </w:p>
        </w:tc>
      </w:tr>
      <w:tr w:rsidR="00B53BA8" w:rsidRPr="00DA4B5C" w14:paraId="572FE42F" w14:textId="77777777" w:rsidTr="009A3655">
        <w:trPr>
          <w:trHeight w:val="240"/>
        </w:trPr>
        <w:tc>
          <w:tcPr>
            <w:tcW w:w="1102" w:type="dxa"/>
            <w:tcBorders>
              <w:top w:val="nil"/>
              <w:left w:val="single" w:sz="4" w:space="0" w:color="auto"/>
              <w:bottom w:val="nil"/>
              <w:right w:val="single" w:sz="4" w:space="0" w:color="auto"/>
            </w:tcBorders>
            <w:shd w:val="clear" w:color="auto" w:fill="D9D9D9" w:themeFill="background1" w:themeFillShade="D9"/>
            <w:noWrap/>
            <w:vAlign w:val="bottom"/>
            <w:hideMark/>
          </w:tcPr>
          <w:p w14:paraId="6BB3897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Malta</w:t>
            </w:r>
          </w:p>
        </w:tc>
        <w:tc>
          <w:tcPr>
            <w:tcW w:w="2899" w:type="dxa"/>
            <w:tcBorders>
              <w:top w:val="nil"/>
              <w:left w:val="nil"/>
              <w:bottom w:val="nil"/>
              <w:right w:val="single" w:sz="4" w:space="0" w:color="auto"/>
            </w:tcBorders>
            <w:shd w:val="clear" w:color="auto" w:fill="D9D9D9" w:themeFill="background1" w:themeFillShade="D9"/>
            <w:noWrap/>
            <w:vAlign w:val="bottom"/>
            <w:hideMark/>
          </w:tcPr>
          <w:p w14:paraId="61AEAAB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MT-DISEASE_SURVEILLANCE</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04D8501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7985C79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1C45E284"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400F978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3134EB0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5628AB2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713BDC6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20841DD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1635" w:type="dxa"/>
            <w:tcBorders>
              <w:top w:val="nil"/>
              <w:left w:val="nil"/>
              <w:bottom w:val="nil"/>
              <w:right w:val="single" w:sz="4" w:space="0" w:color="auto"/>
            </w:tcBorders>
            <w:shd w:val="clear" w:color="auto" w:fill="D9D9D9" w:themeFill="background1" w:themeFillShade="D9"/>
            <w:noWrap/>
            <w:vAlign w:val="bottom"/>
            <w:hideMark/>
          </w:tcPr>
          <w:p w14:paraId="0779654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r w:rsidR="00034328" w:rsidRPr="00DA4B5C" w14:paraId="69295332"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6351B52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Netherlands</w:t>
            </w:r>
          </w:p>
        </w:tc>
        <w:tc>
          <w:tcPr>
            <w:tcW w:w="2899" w:type="dxa"/>
            <w:tcBorders>
              <w:top w:val="nil"/>
              <w:left w:val="single" w:sz="4" w:space="0" w:color="auto"/>
              <w:bottom w:val="nil"/>
              <w:right w:val="single" w:sz="4" w:space="0" w:color="auto"/>
            </w:tcBorders>
            <w:shd w:val="clear" w:color="auto" w:fill="auto"/>
            <w:noWrap/>
            <w:vAlign w:val="bottom"/>
            <w:hideMark/>
          </w:tcPr>
          <w:p w14:paraId="50A0012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NL-OSIRIS</w:t>
            </w:r>
          </w:p>
        </w:tc>
        <w:tc>
          <w:tcPr>
            <w:tcW w:w="570" w:type="dxa"/>
            <w:tcBorders>
              <w:top w:val="nil"/>
              <w:left w:val="single" w:sz="4" w:space="0" w:color="auto"/>
              <w:bottom w:val="nil"/>
              <w:right w:val="single" w:sz="4" w:space="0" w:color="auto"/>
            </w:tcBorders>
            <w:shd w:val="clear" w:color="auto" w:fill="auto"/>
            <w:noWrap/>
            <w:vAlign w:val="bottom"/>
            <w:hideMark/>
          </w:tcPr>
          <w:p w14:paraId="2558D012"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auto" w:fill="auto"/>
            <w:noWrap/>
            <w:vAlign w:val="bottom"/>
            <w:hideMark/>
          </w:tcPr>
          <w:p w14:paraId="5B32FE0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auto" w:fill="auto"/>
            <w:noWrap/>
            <w:vAlign w:val="bottom"/>
            <w:hideMark/>
          </w:tcPr>
          <w:p w14:paraId="4E485B4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auto" w:fill="auto"/>
            <w:noWrap/>
            <w:vAlign w:val="bottom"/>
            <w:hideMark/>
          </w:tcPr>
          <w:p w14:paraId="48E2EC5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auto" w:fill="auto"/>
            <w:noWrap/>
            <w:vAlign w:val="bottom"/>
            <w:hideMark/>
          </w:tcPr>
          <w:p w14:paraId="4490AF6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hideMark/>
          </w:tcPr>
          <w:p w14:paraId="7DA4C87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hideMark/>
          </w:tcPr>
          <w:p w14:paraId="35AA9DB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auto" w:fill="auto"/>
            <w:noWrap/>
            <w:vAlign w:val="bottom"/>
            <w:hideMark/>
          </w:tcPr>
          <w:p w14:paraId="6D709F3C"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1635" w:type="dxa"/>
            <w:tcBorders>
              <w:top w:val="nil"/>
              <w:left w:val="nil"/>
              <w:bottom w:val="nil"/>
              <w:right w:val="single" w:sz="4" w:space="0" w:color="auto"/>
            </w:tcBorders>
            <w:shd w:val="clear" w:color="auto" w:fill="auto"/>
            <w:noWrap/>
            <w:vAlign w:val="bottom"/>
            <w:hideMark/>
          </w:tcPr>
          <w:p w14:paraId="1499BE6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EU-2008</w:t>
            </w:r>
          </w:p>
        </w:tc>
      </w:tr>
      <w:tr w:rsidR="00B53BA8" w:rsidRPr="00DA4B5C" w14:paraId="3DE3997C" w14:textId="77777777" w:rsidTr="009A3655">
        <w:trPr>
          <w:trHeight w:val="240"/>
        </w:trPr>
        <w:tc>
          <w:tcPr>
            <w:tcW w:w="1102" w:type="dxa"/>
            <w:tcBorders>
              <w:top w:val="nil"/>
              <w:left w:val="single" w:sz="4" w:space="0" w:color="auto"/>
              <w:bottom w:val="nil"/>
              <w:right w:val="single" w:sz="4" w:space="0" w:color="auto"/>
            </w:tcBorders>
            <w:shd w:val="clear" w:color="auto" w:fill="D9D9D9" w:themeFill="background1" w:themeFillShade="D9"/>
            <w:noWrap/>
            <w:vAlign w:val="bottom"/>
            <w:hideMark/>
          </w:tcPr>
          <w:p w14:paraId="71699BB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Norway</w:t>
            </w:r>
          </w:p>
        </w:tc>
        <w:tc>
          <w:tcPr>
            <w:tcW w:w="2899" w:type="dxa"/>
            <w:tcBorders>
              <w:top w:val="nil"/>
              <w:left w:val="nil"/>
              <w:bottom w:val="nil"/>
              <w:right w:val="single" w:sz="4" w:space="0" w:color="auto"/>
            </w:tcBorders>
            <w:shd w:val="clear" w:color="auto" w:fill="D9D9D9" w:themeFill="background1" w:themeFillShade="D9"/>
            <w:noWrap/>
            <w:vAlign w:val="bottom"/>
            <w:hideMark/>
          </w:tcPr>
          <w:p w14:paraId="7B87098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NO-MSIS_A</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06846DD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21775C3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7B19E59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2B8A183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6BCEE22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7AC6972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2FA2B5B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D9D9D9" w:themeFill="background1" w:themeFillShade="D9"/>
            <w:noWrap/>
            <w:vAlign w:val="bottom"/>
            <w:hideMark/>
          </w:tcPr>
          <w:p w14:paraId="1022575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D9D9D9" w:themeFill="background1" w:themeFillShade="D9"/>
            <w:noWrap/>
            <w:vAlign w:val="bottom"/>
            <w:hideMark/>
          </w:tcPr>
          <w:p w14:paraId="107D9C5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r w:rsidR="00034328" w:rsidRPr="00DA4B5C" w14:paraId="16FF4210"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5F8408C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Poland</w:t>
            </w:r>
          </w:p>
        </w:tc>
        <w:tc>
          <w:tcPr>
            <w:tcW w:w="2899" w:type="dxa"/>
            <w:tcBorders>
              <w:top w:val="nil"/>
              <w:left w:val="single" w:sz="4" w:space="0" w:color="auto"/>
              <w:bottom w:val="nil"/>
              <w:right w:val="single" w:sz="4" w:space="0" w:color="auto"/>
            </w:tcBorders>
            <w:shd w:val="clear" w:color="auto" w:fill="auto"/>
            <w:noWrap/>
            <w:vAlign w:val="bottom"/>
            <w:hideMark/>
          </w:tcPr>
          <w:p w14:paraId="6750C4BA"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PL-NATIONAL_SURVEILLANCE</w:t>
            </w:r>
          </w:p>
        </w:tc>
        <w:tc>
          <w:tcPr>
            <w:tcW w:w="570" w:type="dxa"/>
            <w:tcBorders>
              <w:top w:val="nil"/>
              <w:left w:val="single" w:sz="4" w:space="0" w:color="auto"/>
              <w:bottom w:val="nil"/>
              <w:right w:val="single" w:sz="4" w:space="0" w:color="auto"/>
            </w:tcBorders>
            <w:shd w:val="clear" w:color="auto" w:fill="auto"/>
            <w:noWrap/>
            <w:vAlign w:val="bottom"/>
            <w:hideMark/>
          </w:tcPr>
          <w:p w14:paraId="2098140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auto" w:fill="auto"/>
            <w:noWrap/>
            <w:vAlign w:val="bottom"/>
            <w:hideMark/>
          </w:tcPr>
          <w:p w14:paraId="0544043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auto" w:fill="auto"/>
            <w:noWrap/>
            <w:vAlign w:val="bottom"/>
            <w:hideMark/>
          </w:tcPr>
          <w:p w14:paraId="1D627F02"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auto" w:fill="auto"/>
            <w:noWrap/>
            <w:vAlign w:val="bottom"/>
            <w:hideMark/>
          </w:tcPr>
          <w:p w14:paraId="66AF3F1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auto" w:fill="auto"/>
            <w:noWrap/>
            <w:vAlign w:val="bottom"/>
            <w:hideMark/>
          </w:tcPr>
          <w:p w14:paraId="6C13A373"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auto" w:fill="auto"/>
            <w:noWrap/>
            <w:vAlign w:val="bottom"/>
            <w:hideMark/>
          </w:tcPr>
          <w:p w14:paraId="4872740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hideMark/>
          </w:tcPr>
          <w:p w14:paraId="69DA171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auto" w:fill="auto"/>
            <w:noWrap/>
            <w:vAlign w:val="bottom"/>
            <w:hideMark/>
          </w:tcPr>
          <w:p w14:paraId="6EB5CD49"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auto"/>
            <w:noWrap/>
            <w:vAlign w:val="bottom"/>
            <w:hideMark/>
          </w:tcPr>
          <w:p w14:paraId="4F915F3B"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EU-2008</w:t>
            </w:r>
          </w:p>
        </w:tc>
      </w:tr>
      <w:tr w:rsidR="00B37725" w:rsidRPr="00DA4B5C" w14:paraId="3117DA54" w14:textId="77777777" w:rsidTr="009A3655">
        <w:trPr>
          <w:trHeight w:val="240"/>
        </w:trPr>
        <w:tc>
          <w:tcPr>
            <w:tcW w:w="1102" w:type="dxa"/>
            <w:tcBorders>
              <w:top w:val="nil"/>
              <w:left w:val="single" w:sz="4" w:space="0" w:color="auto"/>
              <w:bottom w:val="nil"/>
              <w:right w:val="single" w:sz="4" w:space="0" w:color="auto"/>
            </w:tcBorders>
            <w:shd w:val="clear" w:color="000000" w:fill="D9D9D9"/>
            <w:noWrap/>
            <w:vAlign w:val="bottom"/>
          </w:tcPr>
          <w:p w14:paraId="4B4A8B3C" w14:textId="4E8034C6" w:rsidR="00B37725" w:rsidRPr="00DA4B5C" w:rsidRDefault="00B37725" w:rsidP="00B37725">
            <w:pPr>
              <w:spacing w:before="120" w:after="0"/>
              <w:rPr>
                <w:rFonts w:eastAsia="Times New Roman" w:cs="Tahoma"/>
                <w:sz w:val="14"/>
                <w:szCs w:val="14"/>
                <w:lang w:eastAsia="en-GB"/>
              </w:rPr>
            </w:pPr>
            <w:r>
              <w:rPr>
                <w:rFonts w:eastAsia="Times New Roman" w:cs="Tahoma"/>
                <w:sz w:val="14"/>
                <w:szCs w:val="14"/>
                <w:lang w:eastAsia="en-GB"/>
              </w:rPr>
              <w:t>Portugal</w:t>
            </w:r>
          </w:p>
        </w:tc>
        <w:tc>
          <w:tcPr>
            <w:tcW w:w="2899" w:type="dxa"/>
            <w:tcBorders>
              <w:top w:val="nil"/>
              <w:left w:val="single" w:sz="4" w:space="0" w:color="auto"/>
              <w:bottom w:val="nil"/>
              <w:right w:val="single" w:sz="4" w:space="0" w:color="auto"/>
            </w:tcBorders>
            <w:shd w:val="clear" w:color="000000" w:fill="D9D9D9"/>
            <w:noWrap/>
          </w:tcPr>
          <w:p w14:paraId="05CC639A" w14:textId="2BB3E20F" w:rsidR="00B37725" w:rsidRPr="00B37725" w:rsidRDefault="00B37725" w:rsidP="00B37725">
            <w:pPr>
              <w:spacing w:before="120" w:after="0"/>
              <w:rPr>
                <w:rFonts w:eastAsia="Times New Roman" w:cs="Tahoma"/>
                <w:sz w:val="12"/>
                <w:szCs w:val="12"/>
                <w:lang w:eastAsia="en-GB"/>
              </w:rPr>
            </w:pPr>
            <w:r w:rsidRPr="00B37725">
              <w:rPr>
                <w:rFonts w:cs="Tahoma"/>
                <w:color w:val="000000"/>
                <w:sz w:val="12"/>
                <w:szCs w:val="12"/>
              </w:rPr>
              <w:t>PT-TRANS_SPONGIFORM_ENCEPHALOPATHIES</w:t>
            </w:r>
          </w:p>
        </w:tc>
        <w:tc>
          <w:tcPr>
            <w:tcW w:w="570" w:type="dxa"/>
            <w:tcBorders>
              <w:top w:val="nil"/>
              <w:left w:val="single" w:sz="4" w:space="0" w:color="auto"/>
              <w:bottom w:val="nil"/>
              <w:right w:val="single" w:sz="4" w:space="0" w:color="auto"/>
            </w:tcBorders>
            <w:shd w:val="clear" w:color="000000" w:fill="D9D9D9"/>
            <w:noWrap/>
          </w:tcPr>
          <w:p w14:paraId="0D15C684" w14:textId="2EF427AD" w:rsidR="00B37725" w:rsidRPr="00B37725" w:rsidRDefault="00B37725" w:rsidP="00B37725">
            <w:pPr>
              <w:spacing w:before="120" w:after="0"/>
              <w:rPr>
                <w:rFonts w:eastAsia="Times New Roman" w:cs="Tahoma"/>
                <w:sz w:val="14"/>
                <w:szCs w:val="14"/>
                <w:lang w:eastAsia="en-GB"/>
              </w:rPr>
            </w:pPr>
            <w:r w:rsidRPr="00B37725">
              <w:rPr>
                <w:rFonts w:cs="Tahoma"/>
                <w:color w:val="000000"/>
                <w:sz w:val="14"/>
                <w:szCs w:val="14"/>
              </w:rPr>
              <w:t>Cp</w:t>
            </w:r>
          </w:p>
        </w:tc>
        <w:tc>
          <w:tcPr>
            <w:tcW w:w="570" w:type="dxa"/>
            <w:tcBorders>
              <w:top w:val="nil"/>
              <w:left w:val="single" w:sz="4" w:space="0" w:color="auto"/>
              <w:bottom w:val="nil"/>
              <w:right w:val="single" w:sz="4" w:space="0" w:color="auto"/>
            </w:tcBorders>
            <w:shd w:val="clear" w:color="000000" w:fill="D9D9D9"/>
            <w:noWrap/>
          </w:tcPr>
          <w:p w14:paraId="176D78F1" w14:textId="67A2E399" w:rsidR="00B37725" w:rsidRPr="00B37725" w:rsidRDefault="00B37725" w:rsidP="00B37725">
            <w:pPr>
              <w:spacing w:before="120" w:after="0"/>
              <w:rPr>
                <w:rFonts w:eastAsia="Times New Roman" w:cs="Tahoma"/>
                <w:sz w:val="14"/>
                <w:szCs w:val="14"/>
                <w:lang w:eastAsia="en-GB"/>
              </w:rPr>
            </w:pPr>
            <w:r w:rsidRPr="00B37725">
              <w:rPr>
                <w:rFonts w:cs="Tahoma"/>
                <w:color w:val="000000"/>
                <w:sz w:val="14"/>
                <w:szCs w:val="14"/>
              </w:rPr>
              <w:t>Co</w:t>
            </w:r>
          </w:p>
        </w:tc>
        <w:tc>
          <w:tcPr>
            <w:tcW w:w="570" w:type="dxa"/>
            <w:tcBorders>
              <w:top w:val="nil"/>
              <w:left w:val="single" w:sz="4" w:space="0" w:color="auto"/>
              <w:bottom w:val="nil"/>
              <w:right w:val="single" w:sz="4" w:space="0" w:color="auto"/>
            </w:tcBorders>
            <w:shd w:val="clear" w:color="000000" w:fill="D9D9D9"/>
            <w:noWrap/>
          </w:tcPr>
          <w:p w14:paraId="5DC577DC" w14:textId="6F0256EC" w:rsidR="00B37725" w:rsidRPr="00B37725" w:rsidRDefault="00B37725" w:rsidP="00B37725">
            <w:pPr>
              <w:spacing w:before="120" w:after="0"/>
              <w:rPr>
                <w:rFonts w:eastAsia="Times New Roman" w:cs="Tahoma"/>
                <w:sz w:val="14"/>
                <w:szCs w:val="14"/>
                <w:lang w:eastAsia="en-GB"/>
              </w:rPr>
            </w:pPr>
            <w:r w:rsidRPr="00B37725">
              <w:rPr>
                <w:rFonts w:cs="Tahoma"/>
                <w:color w:val="000000"/>
                <w:sz w:val="14"/>
                <w:szCs w:val="14"/>
              </w:rPr>
              <w:t>P</w:t>
            </w:r>
          </w:p>
        </w:tc>
        <w:tc>
          <w:tcPr>
            <w:tcW w:w="570" w:type="dxa"/>
            <w:tcBorders>
              <w:top w:val="nil"/>
              <w:left w:val="single" w:sz="4" w:space="0" w:color="auto"/>
              <w:bottom w:val="nil"/>
              <w:right w:val="single" w:sz="4" w:space="0" w:color="auto"/>
            </w:tcBorders>
            <w:shd w:val="clear" w:color="000000" w:fill="D9D9D9"/>
            <w:noWrap/>
          </w:tcPr>
          <w:p w14:paraId="7B94299B" w14:textId="47CD7C9E" w:rsidR="00B37725" w:rsidRPr="00B37725" w:rsidRDefault="00B37725" w:rsidP="00B37725">
            <w:pPr>
              <w:spacing w:before="120" w:after="0"/>
              <w:rPr>
                <w:rFonts w:eastAsia="Times New Roman" w:cs="Tahoma"/>
                <w:sz w:val="14"/>
                <w:szCs w:val="14"/>
                <w:lang w:eastAsia="en-GB"/>
              </w:rPr>
            </w:pPr>
            <w:r w:rsidRPr="00B37725">
              <w:rPr>
                <w:rFonts w:cs="Tahoma"/>
                <w:color w:val="000000"/>
                <w:sz w:val="14"/>
                <w:szCs w:val="14"/>
              </w:rPr>
              <w:t>C</w:t>
            </w:r>
          </w:p>
        </w:tc>
        <w:tc>
          <w:tcPr>
            <w:tcW w:w="570" w:type="dxa"/>
            <w:tcBorders>
              <w:top w:val="nil"/>
              <w:left w:val="single" w:sz="4" w:space="0" w:color="auto"/>
              <w:bottom w:val="nil"/>
              <w:right w:val="single" w:sz="4" w:space="0" w:color="auto"/>
            </w:tcBorders>
            <w:shd w:val="clear" w:color="000000" w:fill="D9D9D9"/>
            <w:noWrap/>
          </w:tcPr>
          <w:p w14:paraId="7E0D14B8" w14:textId="31328DFE" w:rsidR="00B37725" w:rsidRPr="00B37725" w:rsidRDefault="00B37725" w:rsidP="00B37725">
            <w:pPr>
              <w:spacing w:before="120" w:after="0"/>
              <w:rPr>
                <w:rFonts w:eastAsia="Times New Roman" w:cs="Tahoma"/>
                <w:sz w:val="14"/>
                <w:szCs w:val="14"/>
                <w:lang w:eastAsia="en-GB"/>
              </w:rPr>
            </w:pPr>
            <w:r w:rsidRPr="00B37725">
              <w:rPr>
                <w:rFonts w:cs="Tahoma"/>
                <w:color w:val="000000"/>
                <w:sz w:val="14"/>
                <w:szCs w:val="14"/>
              </w:rPr>
              <w:t>N</w:t>
            </w:r>
          </w:p>
        </w:tc>
        <w:tc>
          <w:tcPr>
            <w:tcW w:w="570" w:type="dxa"/>
            <w:tcBorders>
              <w:top w:val="nil"/>
              <w:left w:val="single" w:sz="4" w:space="0" w:color="auto"/>
              <w:bottom w:val="nil"/>
              <w:right w:val="single" w:sz="4" w:space="0" w:color="auto"/>
            </w:tcBorders>
            <w:shd w:val="clear" w:color="000000" w:fill="D9D9D9"/>
            <w:noWrap/>
          </w:tcPr>
          <w:p w14:paraId="56E0C8F5" w14:textId="7B7E25E2" w:rsidR="00B37725" w:rsidRPr="00B37725" w:rsidRDefault="00B37725" w:rsidP="00B37725">
            <w:pPr>
              <w:spacing w:before="120" w:after="0"/>
              <w:rPr>
                <w:rFonts w:eastAsia="Times New Roman" w:cs="Tahoma"/>
                <w:sz w:val="14"/>
                <w:szCs w:val="14"/>
                <w:lang w:eastAsia="en-GB"/>
              </w:rPr>
            </w:pPr>
            <w:r w:rsidRPr="00B37725">
              <w:rPr>
                <w:rFonts w:cs="Tahoma"/>
                <w:color w:val="000000"/>
                <w:sz w:val="14"/>
                <w:szCs w:val="14"/>
              </w:rPr>
              <w:t>Y</w:t>
            </w:r>
          </w:p>
        </w:tc>
        <w:tc>
          <w:tcPr>
            <w:tcW w:w="570" w:type="dxa"/>
            <w:tcBorders>
              <w:top w:val="nil"/>
              <w:left w:val="single" w:sz="4" w:space="0" w:color="auto"/>
              <w:bottom w:val="nil"/>
              <w:right w:val="single" w:sz="4" w:space="0" w:color="auto"/>
            </w:tcBorders>
            <w:shd w:val="clear" w:color="000000" w:fill="D9D9D9"/>
            <w:noWrap/>
          </w:tcPr>
          <w:p w14:paraId="088A516C" w14:textId="31803C6C" w:rsidR="00B37725" w:rsidRPr="00B37725" w:rsidRDefault="00B37725" w:rsidP="00B37725">
            <w:pPr>
              <w:spacing w:before="120" w:after="0"/>
              <w:rPr>
                <w:rFonts w:eastAsia="Times New Roman" w:cs="Tahoma"/>
                <w:sz w:val="14"/>
                <w:szCs w:val="14"/>
                <w:lang w:eastAsia="en-GB"/>
              </w:rPr>
            </w:pPr>
            <w:r w:rsidRPr="00B37725">
              <w:rPr>
                <w:rFonts w:cs="Tahoma"/>
                <w:color w:val="000000"/>
                <w:sz w:val="14"/>
                <w:szCs w:val="14"/>
              </w:rPr>
              <w:t>N</w:t>
            </w:r>
          </w:p>
        </w:tc>
        <w:tc>
          <w:tcPr>
            <w:tcW w:w="570" w:type="dxa"/>
            <w:tcBorders>
              <w:top w:val="nil"/>
              <w:left w:val="single" w:sz="4" w:space="0" w:color="auto"/>
              <w:bottom w:val="nil"/>
              <w:right w:val="single" w:sz="4" w:space="0" w:color="auto"/>
            </w:tcBorders>
            <w:shd w:val="clear" w:color="000000" w:fill="D9D9D9"/>
            <w:noWrap/>
          </w:tcPr>
          <w:p w14:paraId="3D625DB9" w14:textId="1F9AD5AD" w:rsidR="00B37725" w:rsidRPr="00B37725" w:rsidRDefault="00B37725" w:rsidP="00B37725">
            <w:pPr>
              <w:spacing w:before="120" w:after="0"/>
              <w:rPr>
                <w:rFonts w:eastAsia="Times New Roman" w:cs="Tahoma"/>
                <w:sz w:val="14"/>
                <w:szCs w:val="14"/>
                <w:lang w:eastAsia="en-GB"/>
              </w:rPr>
            </w:pPr>
            <w:r w:rsidRPr="00B37725">
              <w:rPr>
                <w:rFonts w:cs="Tahoma"/>
                <w:color w:val="000000"/>
                <w:sz w:val="14"/>
                <w:szCs w:val="14"/>
              </w:rPr>
              <w:t>N</w:t>
            </w:r>
          </w:p>
        </w:tc>
        <w:tc>
          <w:tcPr>
            <w:tcW w:w="1635" w:type="dxa"/>
            <w:tcBorders>
              <w:top w:val="nil"/>
              <w:left w:val="nil"/>
              <w:bottom w:val="nil"/>
              <w:right w:val="single" w:sz="4" w:space="0" w:color="auto"/>
            </w:tcBorders>
            <w:shd w:val="clear" w:color="000000" w:fill="D9D9D9"/>
            <w:noWrap/>
          </w:tcPr>
          <w:p w14:paraId="01B2529C" w14:textId="371B9F0C" w:rsidR="00B37725" w:rsidRPr="00B37725" w:rsidRDefault="00B37725" w:rsidP="00B37725">
            <w:pPr>
              <w:spacing w:before="120" w:after="0"/>
              <w:rPr>
                <w:rFonts w:eastAsia="Times New Roman" w:cs="Tahoma"/>
                <w:sz w:val="14"/>
                <w:szCs w:val="14"/>
                <w:lang w:eastAsia="en-GB"/>
              </w:rPr>
            </w:pPr>
            <w:r w:rsidRPr="00B37725">
              <w:rPr>
                <w:rFonts w:cs="Tahoma"/>
                <w:color w:val="000000"/>
                <w:sz w:val="14"/>
                <w:szCs w:val="14"/>
              </w:rPr>
              <w:t>EU</w:t>
            </w:r>
            <w:r w:rsidR="00747A6A">
              <w:rPr>
                <w:rFonts w:cs="Tahoma"/>
                <w:color w:val="000000"/>
                <w:sz w:val="14"/>
                <w:szCs w:val="14"/>
              </w:rPr>
              <w:t>-</w:t>
            </w:r>
            <w:r w:rsidRPr="00B37725">
              <w:rPr>
                <w:rFonts w:cs="Tahoma"/>
                <w:color w:val="000000"/>
                <w:sz w:val="14"/>
                <w:szCs w:val="14"/>
              </w:rPr>
              <w:t>2018</w:t>
            </w:r>
          </w:p>
        </w:tc>
      </w:tr>
      <w:tr w:rsidR="00B53BA8" w:rsidRPr="00DA4B5C" w14:paraId="6A7537FE"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hideMark/>
          </w:tcPr>
          <w:p w14:paraId="59961B4E"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Romania</w:t>
            </w:r>
          </w:p>
        </w:tc>
        <w:tc>
          <w:tcPr>
            <w:tcW w:w="2899" w:type="dxa"/>
            <w:tcBorders>
              <w:top w:val="nil"/>
              <w:left w:val="nil"/>
              <w:bottom w:val="nil"/>
              <w:right w:val="single" w:sz="4" w:space="0" w:color="auto"/>
            </w:tcBorders>
            <w:shd w:val="clear" w:color="auto" w:fill="auto"/>
            <w:noWrap/>
            <w:vAlign w:val="bottom"/>
            <w:hideMark/>
          </w:tcPr>
          <w:p w14:paraId="6EA261B7"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RO-</w:t>
            </w:r>
            <w:proofErr w:type="spellStart"/>
            <w:r w:rsidRPr="00DA4B5C">
              <w:rPr>
                <w:rFonts w:eastAsia="Times New Roman" w:cs="Tahoma"/>
                <w:sz w:val="14"/>
                <w:szCs w:val="14"/>
                <w:lang w:eastAsia="en-GB"/>
              </w:rPr>
              <w:t>RNSSy</w:t>
            </w:r>
            <w:proofErr w:type="spellEnd"/>
          </w:p>
        </w:tc>
        <w:tc>
          <w:tcPr>
            <w:tcW w:w="570" w:type="dxa"/>
            <w:tcBorders>
              <w:top w:val="nil"/>
              <w:left w:val="nil"/>
              <w:bottom w:val="nil"/>
              <w:right w:val="single" w:sz="4" w:space="0" w:color="auto"/>
            </w:tcBorders>
            <w:shd w:val="clear" w:color="auto" w:fill="auto"/>
            <w:noWrap/>
            <w:vAlign w:val="bottom"/>
            <w:hideMark/>
          </w:tcPr>
          <w:p w14:paraId="668B9646"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1410F1B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6916D89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2C801F81"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4A455B00"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61C0DF3F"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F416255"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A6626AD"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auto"/>
            <w:noWrap/>
            <w:vAlign w:val="bottom"/>
            <w:hideMark/>
          </w:tcPr>
          <w:p w14:paraId="4BE6A5D8" w14:textId="77777777" w:rsidR="00B53BA8" w:rsidRPr="00DA4B5C" w:rsidRDefault="00B53BA8" w:rsidP="00DA4B5C">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r w:rsidR="009A3655" w:rsidRPr="00DA4B5C" w14:paraId="7BAFBDFC" w14:textId="77777777" w:rsidTr="00DB5552">
        <w:trPr>
          <w:trHeight w:val="240"/>
        </w:trPr>
        <w:tc>
          <w:tcPr>
            <w:tcW w:w="1102" w:type="dxa"/>
            <w:tcBorders>
              <w:top w:val="nil"/>
              <w:left w:val="single" w:sz="4" w:space="0" w:color="auto"/>
              <w:bottom w:val="nil"/>
              <w:right w:val="single" w:sz="4" w:space="0" w:color="auto"/>
            </w:tcBorders>
            <w:shd w:val="clear" w:color="000000" w:fill="D9D9D9"/>
            <w:noWrap/>
            <w:vAlign w:val="bottom"/>
          </w:tcPr>
          <w:p w14:paraId="2DF1F406" w14:textId="7B903043" w:rsidR="009A3655" w:rsidRPr="00DA4B5C" w:rsidRDefault="009A3655" w:rsidP="009A3655">
            <w:pPr>
              <w:spacing w:before="120" w:after="0"/>
              <w:rPr>
                <w:rFonts w:eastAsia="Times New Roman" w:cs="Tahoma"/>
                <w:sz w:val="14"/>
                <w:szCs w:val="14"/>
                <w:lang w:eastAsia="en-GB"/>
              </w:rPr>
            </w:pPr>
            <w:r>
              <w:rPr>
                <w:rFonts w:eastAsia="Times New Roman" w:cs="Tahoma"/>
                <w:sz w:val="14"/>
                <w:szCs w:val="14"/>
                <w:lang w:eastAsia="en-GB"/>
              </w:rPr>
              <w:t>Slovakia</w:t>
            </w:r>
          </w:p>
        </w:tc>
        <w:tc>
          <w:tcPr>
            <w:tcW w:w="2899" w:type="dxa"/>
            <w:tcBorders>
              <w:top w:val="nil"/>
              <w:left w:val="single" w:sz="4" w:space="0" w:color="auto"/>
              <w:bottom w:val="nil"/>
              <w:right w:val="single" w:sz="4" w:space="0" w:color="auto"/>
            </w:tcBorders>
            <w:shd w:val="clear" w:color="000000" w:fill="D9D9D9"/>
            <w:noWrap/>
          </w:tcPr>
          <w:p w14:paraId="362B6179" w14:textId="65986C87"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SK-EPIS</w:t>
            </w:r>
          </w:p>
        </w:tc>
        <w:tc>
          <w:tcPr>
            <w:tcW w:w="570" w:type="dxa"/>
            <w:tcBorders>
              <w:top w:val="nil"/>
              <w:left w:val="single" w:sz="4" w:space="0" w:color="auto"/>
              <w:bottom w:val="nil"/>
              <w:right w:val="single" w:sz="4" w:space="0" w:color="auto"/>
            </w:tcBorders>
            <w:shd w:val="clear" w:color="000000" w:fill="D9D9D9"/>
            <w:noWrap/>
          </w:tcPr>
          <w:p w14:paraId="394729E3" w14:textId="2388705B"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Cp</w:t>
            </w:r>
          </w:p>
        </w:tc>
        <w:tc>
          <w:tcPr>
            <w:tcW w:w="570" w:type="dxa"/>
            <w:tcBorders>
              <w:top w:val="nil"/>
              <w:left w:val="single" w:sz="4" w:space="0" w:color="auto"/>
              <w:bottom w:val="nil"/>
              <w:right w:val="single" w:sz="4" w:space="0" w:color="auto"/>
            </w:tcBorders>
            <w:shd w:val="clear" w:color="000000" w:fill="D9D9D9"/>
            <w:noWrap/>
          </w:tcPr>
          <w:p w14:paraId="7A1EB584" w14:textId="444B0975"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Co</w:t>
            </w:r>
          </w:p>
        </w:tc>
        <w:tc>
          <w:tcPr>
            <w:tcW w:w="570" w:type="dxa"/>
            <w:tcBorders>
              <w:top w:val="nil"/>
              <w:left w:val="single" w:sz="4" w:space="0" w:color="auto"/>
              <w:bottom w:val="nil"/>
              <w:right w:val="single" w:sz="4" w:space="0" w:color="auto"/>
            </w:tcBorders>
            <w:shd w:val="clear" w:color="000000" w:fill="D9D9D9"/>
            <w:noWrap/>
          </w:tcPr>
          <w:p w14:paraId="072670CF" w14:textId="0DB6A267"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A</w:t>
            </w:r>
          </w:p>
        </w:tc>
        <w:tc>
          <w:tcPr>
            <w:tcW w:w="570" w:type="dxa"/>
            <w:tcBorders>
              <w:top w:val="nil"/>
              <w:left w:val="single" w:sz="4" w:space="0" w:color="auto"/>
              <w:bottom w:val="nil"/>
              <w:right w:val="single" w:sz="4" w:space="0" w:color="auto"/>
            </w:tcBorders>
            <w:shd w:val="clear" w:color="000000" w:fill="D9D9D9"/>
            <w:noWrap/>
          </w:tcPr>
          <w:p w14:paraId="68C25F62" w14:textId="3280F52D"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C</w:t>
            </w:r>
          </w:p>
        </w:tc>
        <w:tc>
          <w:tcPr>
            <w:tcW w:w="570" w:type="dxa"/>
            <w:tcBorders>
              <w:top w:val="nil"/>
              <w:left w:val="single" w:sz="4" w:space="0" w:color="auto"/>
              <w:bottom w:val="nil"/>
              <w:right w:val="single" w:sz="4" w:space="0" w:color="auto"/>
            </w:tcBorders>
            <w:shd w:val="clear" w:color="000000" w:fill="D9D9D9"/>
            <w:noWrap/>
          </w:tcPr>
          <w:p w14:paraId="03D2168F" w14:textId="184A9C30"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Y</w:t>
            </w:r>
          </w:p>
        </w:tc>
        <w:tc>
          <w:tcPr>
            <w:tcW w:w="570" w:type="dxa"/>
            <w:tcBorders>
              <w:top w:val="nil"/>
              <w:left w:val="single" w:sz="4" w:space="0" w:color="auto"/>
              <w:bottom w:val="nil"/>
              <w:right w:val="single" w:sz="4" w:space="0" w:color="auto"/>
            </w:tcBorders>
            <w:shd w:val="clear" w:color="000000" w:fill="D9D9D9"/>
            <w:noWrap/>
          </w:tcPr>
          <w:p w14:paraId="2DB82B44" w14:textId="015692F1"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Y</w:t>
            </w:r>
          </w:p>
        </w:tc>
        <w:tc>
          <w:tcPr>
            <w:tcW w:w="570" w:type="dxa"/>
            <w:tcBorders>
              <w:top w:val="nil"/>
              <w:left w:val="single" w:sz="4" w:space="0" w:color="auto"/>
              <w:bottom w:val="nil"/>
              <w:right w:val="single" w:sz="4" w:space="0" w:color="auto"/>
            </w:tcBorders>
            <w:shd w:val="clear" w:color="000000" w:fill="D9D9D9"/>
            <w:noWrap/>
          </w:tcPr>
          <w:p w14:paraId="0D6095D7" w14:textId="714FCF2F"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Y</w:t>
            </w:r>
          </w:p>
        </w:tc>
        <w:tc>
          <w:tcPr>
            <w:tcW w:w="570" w:type="dxa"/>
            <w:tcBorders>
              <w:top w:val="nil"/>
              <w:left w:val="single" w:sz="4" w:space="0" w:color="auto"/>
              <w:bottom w:val="nil"/>
              <w:right w:val="single" w:sz="4" w:space="0" w:color="auto"/>
            </w:tcBorders>
            <w:shd w:val="clear" w:color="000000" w:fill="D9D9D9"/>
            <w:noWrap/>
          </w:tcPr>
          <w:p w14:paraId="4D610D2E" w14:textId="1DCC41A7"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N</w:t>
            </w:r>
          </w:p>
        </w:tc>
        <w:tc>
          <w:tcPr>
            <w:tcW w:w="1635" w:type="dxa"/>
            <w:tcBorders>
              <w:top w:val="nil"/>
              <w:left w:val="nil"/>
              <w:bottom w:val="nil"/>
              <w:right w:val="single" w:sz="4" w:space="0" w:color="auto"/>
            </w:tcBorders>
            <w:shd w:val="clear" w:color="000000" w:fill="D9D9D9"/>
            <w:noWrap/>
          </w:tcPr>
          <w:p w14:paraId="1F4380C5" w14:textId="3FFF612F" w:rsidR="009A3655" w:rsidRPr="00DA4B5C" w:rsidRDefault="009A3655" w:rsidP="009A3655">
            <w:pPr>
              <w:spacing w:before="120" w:after="0"/>
              <w:rPr>
                <w:rFonts w:eastAsia="Times New Roman" w:cs="Tahoma"/>
                <w:sz w:val="14"/>
                <w:szCs w:val="14"/>
                <w:lang w:eastAsia="en-GB"/>
              </w:rPr>
            </w:pPr>
            <w:r w:rsidRPr="009A3655">
              <w:rPr>
                <w:rFonts w:cs="Tahoma"/>
                <w:color w:val="000000"/>
                <w:sz w:val="14"/>
                <w:szCs w:val="14"/>
              </w:rPr>
              <w:t>EUCD2018</w:t>
            </w:r>
          </w:p>
        </w:tc>
      </w:tr>
      <w:tr w:rsidR="009A3655" w:rsidRPr="00DA4B5C" w14:paraId="0B969A6F" w14:textId="77777777" w:rsidTr="009A3655">
        <w:trPr>
          <w:trHeight w:val="240"/>
        </w:trPr>
        <w:tc>
          <w:tcPr>
            <w:tcW w:w="1102" w:type="dxa"/>
            <w:tcBorders>
              <w:top w:val="nil"/>
              <w:left w:val="single" w:sz="4" w:space="0" w:color="auto"/>
              <w:bottom w:val="nil"/>
              <w:right w:val="single" w:sz="4" w:space="0" w:color="auto"/>
            </w:tcBorders>
            <w:shd w:val="clear" w:color="auto" w:fill="auto"/>
            <w:noWrap/>
            <w:vAlign w:val="bottom"/>
          </w:tcPr>
          <w:p w14:paraId="20186422" w14:textId="434026C9"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Slovenia</w:t>
            </w:r>
          </w:p>
        </w:tc>
        <w:tc>
          <w:tcPr>
            <w:tcW w:w="2899" w:type="dxa"/>
            <w:tcBorders>
              <w:top w:val="nil"/>
              <w:left w:val="nil"/>
              <w:bottom w:val="nil"/>
              <w:right w:val="single" w:sz="4" w:space="0" w:color="auto"/>
            </w:tcBorders>
            <w:shd w:val="clear" w:color="auto" w:fill="auto"/>
            <w:noWrap/>
            <w:vAlign w:val="bottom"/>
          </w:tcPr>
          <w:p w14:paraId="62C6424B" w14:textId="0F1CB74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SI-SURVIVAL</w:t>
            </w:r>
          </w:p>
        </w:tc>
        <w:tc>
          <w:tcPr>
            <w:tcW w:w="570" w:type="dxa"/>
            <w:tcBorders>
              <w:top w:val="nil"/>
              <w:left w:val="nil"/>
              <w:bottom w:val="nil"/>
              <w:right w:val="single" w:sz="4" w:space="0" w:color="auto"/>
            </w:tcBorders>
            <w:shd w:val="clear" w:color="auto" w:fill="auto"/>
            <w:noWrap/>
            <w:vAlign w:val="bottom"/>
          </w:tcPr>
          <w:p w14:paraId="6AEA1E32" w14:textId="5BAFD27E"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tcPr>
          <w:p w14:paraId="32955408" w14:textId="032B125B"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tcPr>
          <w:p w14:paraId="25C59817" w14:textId="266BD3B9"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tcPr>
          <w:p w14:paraId="28687463" w14:textId="11A62F90"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tcPr>
          <w:p w14:paraId="4A45BF20" w14:textId="2F7B5924"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70C1FB33" w14:textId="2A178BE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5CCEC5CB" w14:textId="645EDDE1"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tcPr>
          <w:p w14:paraId="0386D6BD" w14:textId="2672ED16"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nil"/>
              <w:right w:val="single" w:sz="4" w:space="0" w:color="auto"/>
            </w:tcBorders>
            <w:shd w:val="clear" w:color="auto" w:fill="auto"/>
            <w:noWrap/>
            <w:vAlign w:val="bottom"/>
          </w:tcPr>
          <w:p w14:paraId="66E8C9E7" w14:textId="21FE317F"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EU-2008</w:t>
            </w:r>
          </w:p>
        </w:tc>
      </w:tr>
      <w:tr w:rsidR="009A3655" w:rsidRPr="00DA4B5C" w14:paraId="5EB24BF9" w14:textId="77777777" w:rsidTr="009A3655">
        <w:trPr>
          <w:trHeight w:val="240"/>
        </w:trPr>
        <w:tc>
          <w:tcPr>
            <w:tcW w:w="1102" w:type="dxa"/>
            <w:tcBorders>
              <w:top w:val="nil"/>
              <w:left w:val="single" w:sz="4" w:space="0" w:color="auto"/>
              <w:bottom w:val="single" w:sz="4" w:space="0" w:color="auto"/>
              <w:right w:val="single" w:sz="4" w:space="0" w:color="auto"/>
            </w:tcBorders>
            <w:shd w:val="clear" w:color="000000" w:fill="D9D9D9"/>
            <w:noWrap/>
            <w:vAlign w:val="bottom"/>
            <w:hideMark/>
          </w:tcPr>
          <w:p w14:paraId="2BAF3CF0"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Sweden</w:t>
            </w:r>
          </w:p>
        </w:tc>
        <w:tc>
          <w:tcPr>
            <w:tcW w:w="2899" w:type="dxa"/>
            <w:tcBorders>
              <w:top w:val="nil"/>
              <w:left w:val="single" w:sz="4" w:space="0" w:color="auto"/>
              <w:bottom w:val="single" w:sz="4" w:space="0" w:color="auto"/>
              <w:right w:val="single" w:sz="4" w:space="0" w:color="auto"/>
            </w:tcBorders>
            <w:shd w:val="clear" w:color="000000" w:fill="D9D9D9"/>
            <w:noWrap/>
            <w:vAlign w:val="bottom"/>
            <w:hideMark/>
          </w:tcPr>
          <w:p w14:paraId="7CC187E5"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SE-SMINET</w:t>
            </w:r>
          </w:p>
        </w:tc>
        <w:tc>
          <w:tcPr>
            <w:tcW w:w="570" w:type="dxa"/>
            <w:tcBorders>
              <w:top w:val="nil"/>
              <w:left w:val="single" w:sz="4" w:space="0" w:color="auto"/>
              <w:bottom w:val="single" w:sz="4" w:space="0" w:color="auto"/>
              <w:right w:val="single" w:sz="4" w:space="0" w:color="auto"/>
            </w:tcBorders>
            <w:shd w:val="clear" w:color="000000" w:fill="D9D9D9"/>
            <w:noWrap/>
            <w:vAlign w:val="bottom"/>
            <w:hideMark/>
          </w:tcPr>
          <w:p w14:paraId="27874BB0"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Cp</w:t>
            </w:r>
          </w:p>
        </w:tc>
        <w:tc>
          <w:tcPr>
            <w:tcW w:w="570" w:type="dxa"/>
            <w:tcBorders>
              <w:top w:val="nil"/>
              <w:left w:val="single" w:sz="4" w:space="0" w:color="auto"/>
              <w:bottom w:val="single" w:sz="4" w:space="0" w:color="auto"/>
              <w:right w:val="single" w:sz="4" w:space="0" w:color="auto"/>
            </w:tcBorders>
            <w:shd w:val="clear" w:color="000000" w:fill="D9D9D9"/>
            <w:noWrap/>
            <w:vAlign w:val="bottom"/>
            <w:hideMark/>
          </w:tcPr>
          <w:p w14:paraId="0C6F5D35"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Co</w:t>
            </w:r>
          </w:p>
        </w:tc>
        <w:tc>
          <w:tcPr>
            <w:tcW w:w="570" w:type="dxa"/>
            <w:tcBorders>
              <w:top w:val="nil"/>
              <w:left w:val="single" w:sz="4" w:space="0" w:color="auto"/>
              <w:bottom w:val="single" w:sz="4" w:space="0" w:color="auto"/>
              <w:right w:val="single" w:sz="4" w:space="0" w:color="auto"/>
            </w:tcBorders>
            <w:shd w:val="clear" w:color="000000" w:fill="D9D9D9"/>
            <w:noWrap/>
            <w:vAlign w:val="bottom"/>
            <w:hideMark/>
          </w:tcPr>
          <w:p w14:paraId="27576B8F"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P</w:t>
            </w:r>
          </w:p>
        </w:tc>
        <w:tc>
          <w:tcPr>
            <w:tcW w:w="570" w:type="dxa"/>
            <w:tcBorders>
              <w:top w:val="nil"/>
              <w:left w:val="single" w:sz="4" w:space="0" w:color="auto"/>
              <w:bottom w:val="single" w:sz="4" w:space="0" w:color="auto"/>
              <w:right w:val="single" w:sz="4" w:space="0" w:color="auto"/>
            </w:tcBorders>
            <w:shd w:val="clear" w:color="000000" w:fill="D9D9D9"/>
            <w:noWrap/>
            <w:vAlign w:val="bottom"/>
            <w:hideMark/>
          </w:tcPr>
          <w:p w14:paraId="5FC6145B"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C</w:t>
            </w:r>
          </w:p>
        </w:tc>
        <w:tc>
          <w:tcPr>
            <w:tcW w:w="570" w:type="dxa"/>
            <w:tcBorders>
              <w:top w:val="nil"/>
              <w:left w:val="single" w:sz="4" w:space="0" w:color="auto"/>
              <w:bottom w:val="single" w:sz="4" w:space="0" w:color="auto"/>
              <w:right w:val="single" w:sz="4" w:space="0" w:color="auto"/>
            </w:tcBorders>
            <w:shd w:val="clear" w:color="000000" w:fill="D9D9D9"/>
            <w:noWrap/>
            <w:vAlign w:val="bottom"/>
            <w:hideMark/>
          </w:tcPr>
          <w:p w14:paraId="4D07C4DE"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000000" w:fill="D9D9D9"/>
            <w:noWrap/>
            <w:vAlign w:val="bottom"/>
            <w:hideMark/>
          </w:tcPr>
          <w:p w14:paraId="3E18625F"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000000" w:fill="D9D9D9"/>
            <w:noWrap/>
            <w:vAlign w:val="bottom"/>
            <w:hideMark/>
          </w:tcPr>
          <w:p w14:paraId="4882BBAA"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570" w:type="dxa"/>
            <w:tcBorders>
              <w:top w:val="nil"/>
              <w:left w:val="single" w:sz="4" w:space="0" w:color="auto"/>
              <w:bottom w:val="single" w:sz="4" w:space="0" w:color="auto"/>
              <w:right w:val="single" w:sz="4" w:space="0" w:color="auto"/>
            </w:tcBorders>
            <w:shd w:val="clear" w:color="000000" w:fill="D9D9D9"/>
            <w:noWrap/>
            <w:vAlign w:val="bottom"/>
            <w:hideMark/>
          </w:tcPr>
          <w:p w14:paraId="5A664AD6"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N</w:t>
            </w:r>
          </w:p>
        </w:tc>
        <w:tc>
          <w:tcPr>
            <w:tcW w:w="1635" w:type="dxa"/>
            <w:tcBorders>
              <w:top w:val="nil"/>
              <w:left w:val="nil"/>
              <w:bottom w:val="single" w:sz="4" w:space="0" w:color="auto"/>
              <w:right w:val="single" w:sz="4" w:space="0" w:color="auto"/>
            </w:tcBorders>
            <w:shd w:val="clear" w:color="000000" w:fill="D9D9D9"/>
            <w:noWrap/>
            <w:vAlign w:val="bottom"/>
            <w:hideMark/>
          </w:tcPr>
          <w:p w14:paraId="2151EB08" w14:textId="77777777" w:rsidR="009A3655" w:rsidRPr="00DA4B5C" w:rsidRDefault="009A3655" w:rsidP="009A3655">
            <w:pPr>
              <w:spacing w:before="120" w:after="0"/>
              <w:rPr>
                <w:rFonts w:eastAsia="Times New Roman" w:cs="Tahoma"/>
                <w:sz w:val="14"/>
                <w:szCs w:val="14"/>
                <w:lang w:eastAsia="en-GB"/>
              </w:rPr>
            </w:pPr>
            <w:r w:rsidRPr="00DA4B5C">
              <w:rPr>
                <w:rFonts w:eastAsia="Times New Roman" w:cs="Tahoma"/>
                <w:sz w:val="14"/>
                <w:szCs w:val="14"/>
                <w:lang w:eastAsia="en-GB"/>
              </w:rPr>
              <w:t>EU-2018</w:t>
            </w:r>
          </w:p>
        </w:tc>
      </w:tr>
    </w:tbl>
    <w:p w14:paraId="19965D9E" w14:textId="74464810" w:rsidR="0000770A" w:rsidRDefault="0000770A">
      <w:r>
        <w:br w:type="page"/>
      </w:r>
    </w:p>
    <w:p w14:paraId="3BA1F540" w14:textId="2415F133" w:rsidR="009F5B73" w:rsidRPr="000969C8" w:rsidRDefault="000969C8" w:rsidP="00B3152F">
      <w:pPr>
        <w:pStyle w:val="EC-Title-5"/>
        <w:outlineLvl w:val="0"/>
        <w:rPr>
          <w:i/>
        </w:rPr>
      </w:pPr>
      <w:bookmarkStart w:id="89" w:name="_Toc127531835"/>
      <w:r w:rsidRPr="00BE6037">
        <w:lastRenderedPageBreak/>
        <w:t>Yersiniosis</w:t>
      </w:r>
      <w:bookmarkEnd w:id="89"/>
      <w:r w:rsidR="00EF2644" w:rsidRPr="000969C8">
        <w:br/>
      </w:r>
      <w:bookmarkEnd w:id="88"/>
    </w:p>
    <w:p w14:paraId="60C13F26" w14:textId="72D55CCD" w:rsidR="00EE1F3C" w:rsidRPr="00A32FE1" w:rsidRDefault="00CB3144" w:rsidP="00EE1F3C">
      <w:pPr>
        <w:pStyle w:val="EC-Para"/>
        <w:jc w:val="right"/>
        <w:rPr>
          <w:b/>
          <w:lang w:eastAsia="en-US"/>
        </w:rPr>
      </w:pPr>
      <w:r>
        <w:rPr>
          <w:b/>
          <w:lang w:eastAsia="en-US"/>
        </w:rPr>
        <w:t>Last updated: 13 August 2024</w:t>
      </w:r>
    </w:p>
    <w:p w14:paraId="70A07768" w14:textId="1158D826" w:rsidR="00EE1F3C" w:rsidRDefault="0045529D" w:rsidP="00EE1F3C">
      <w:pPr>
        <w:pStyle w:val="EC-Para"/>
        <w:jc w:val="right"/>
        <w:rPr>
          <w:b/>
          <w:lang w:eastAsia="en-US"/>
        </w:rPr>
      </w:pPr>
      <w:r>
        <w:rPr>
          <w:b/>
          <w:lang w:eastAsia="en-US"/>
        </w:rPr>
        <w:t xml:space="preserve">Data retrieval from </w:t>
      </w:r>
      <w:proofErr w:type="spellStart"/>
      <w:r>
        <w:rPr>
          <w:b/>
          <w:lang w:eastAsia="en-US"/>
        </w:rPr>
        <w:t>TESSy</w:t>
      </w:r>
      <w:proofErr w:type="spellEnd"/>
      <w:r>
        <w:rPr>
          <w:b/>
          <w:lang w:eastAsia="en-US"/>
        </w:rPr>
        <w:t>: 13 August 2024</w:t>
      </w:r>
    </w:p>
    <w:p w14:paraId="775ADEC4" w14:textId="77777777" w:rsidR="009F5B73" w:rsidRPr="00EE1F3C" w:rsidRDefault="009F5B73" w:rsidP="009F5B73">
      <w:pPr>
        <w:autoSpaceDE w:val="0"/>
        <w:autoSpaceDN w:val="0"/>
        <w:adjustRightInd w:val="0"/>
        <w:spacing w:after="120"/>
        <w:jc w:val="both"/>
        <w:rPr>
          <w:rFonts w:cs="Tahoma"/>
          <w:color w:val="333333"/>
          <w:szCs w:val="18"/>
        </w:rPr>
      </w:pPr>
    </w:p>
    <w:p w14:paraId="7420EB07" w14:textId="77777777" w:rsidR="009F5B73" w:rsidRPr="00F44E9A" w:rsidRDefault="009F5B73" w:rsidP="009F5B73">
      <w:pPr>
        <w:autoSpaceDE w:val="0"/>
        <w:autoSpaceDN w:val="0"/>
        <w:adjustRightInd w:val="0"/>
        <w:spacing w:after="120"/>
        <w:jc w:val="both"/>
        <w:rPr>
          <w:rFonts w:cs="Tahoma"/>
          <w:szCs w:val="18"/>
        </w:rPr>
      </w:pPr>
      <w:r w:rsidRPr="000969C8">
        <w:rPr>
          <w:rFonts w:cs="Tahoma"/>
          <w:szCs w:val="18"/>
        </w:rPr>
        <w:t xml:space="preserve">Yersiniosis </w:t>
      </w:r>
      <w:r w:rsidRPr="000969C8">
        <w:rPr>
          <w:rFonts w:cs="Tahoma"/>
          <w:szCs w:val="18"/>
          <w:lang w:val="en"/>
        </w:rPr>
        <w:t xml:space="preserve">is a bacterial infection </w:t>
      </w:r>
      <w:r w:rsidRPr="000969C8">
        <w:rPr>
          <w:rFonts w:cs="Tahoma"/>
          <w:szCs w:val="18"/>
        </w:rPr>
        <w:t xml:space="preserve">caused by </w:t>
      </w:r>
      <w:r w:rsidRPr="000969C8">
        <w:rPr>
          <w:rFonts w:cs="Tahoma"/>
          <w:szCs w:val="18"/>
          <w:shd w:val="clear" w:color="auto" w:fill="FFFFFF"/>
        </w:rPr>
        <w:t xml:space="preserve">zoonotic enteropathogenic species of </w:t>
      </w:r>
      <w:r w:rsidRPr="000969C8">
        <w:rPr>
          <w:rFonts w:cs="Tahoma"/>
          <w:i/>
          <w:szCs w:val="18"/>
          <w:shd w:val="clear" w:color="auto" w:fill="FFFFFF"/>
        </w:rPr>
        <w:t xml:space="preserve">Yersinia enterocolitica </w:t>
      </w:r>
      <w:r w:rsidRPr="000969C8">
        <w:rPr>
          <w:rFonts w:cs="Tahoma"/>
          <w:szCs w:val="18"/>
          <w:shd w:val="clear" w:color="auto" w:fill="FFFFFF"/>
        </w:rPr>
        <w:t xml:space="preserve">and </w:t>
      </w:r>
      <w:r w:rsidRPr="000969C8">
        <w:rPr>
          <w:rFonts w:cs="Tahoma"/>
          <w:i/>
          <w:szCs w:val="18"/>
          <w:shd w:val="clear" w:color="auto" w:fill="FFFFFF"/>
        </w:rPr>
        <w:t>Y. pseudotuberculosis</w:t>
      </w:r>
      <w:r>
        <w:rPr>
          <w:rFonts w:cs="Tahoma"/>
          <w:szCs w:val="18"/>
          <w:shd w:val="clear" w:color="auto" w:fill="FFFFFF"/>
        </w:rPr>
        <w:t>.</w:t>
      </w:r>
      <w:r w:rsidRPr="002D5505">
        <w:rPr>
          <w:rFonts w:ascii="Arial" w:hAnsi="Arial" w:cs="Arial"/>
          <w:shd w:val="clear" w:color="auto" w:fill="FFFFFF"/>
        </w:rPr>
        <w:t xml:space="preserve"> </w:t>
      </w:r>
      <w:r>
        <w:rPr>
          <w:rFonts w:ascii="Arial" w:hAnsi="Arial" w:cs="Arial"/>
          <w:shd w:val="clear" w:color="auto" w:fill="FFFFFF"/>
        </w:rPr>
        <w:t xml:space="preserve"> </w:t>
      </w:r>
      <w:r w:rsidRPr="00F44E9A">
        <w:rPr>
          <w:rFonts w:eastAsiaTheme="minorHAnsi" w:cs="Tahoma"/>
          <w:szCs w:val="18"/>
        </w:rPr>
        <w:t>For a more detailed description of the disease and its epidemiology</w:t>
      </w:r>
      <w:r>
        <w:rPr>
          <w:rFonts w:eastAsiaTheme="minorHAnsi" w:cs="Tahoma"/>
          <w:szCs w:val="18"/>
        </w:rPr>
        <w:t>,</w:t>
      </w:r>
      <w:r w:rsidRPr="00F44E9A">
        <w:rPr>
          <w:rFonts w:eastAsiaTheme="minorHAnsi" w:cs="Tahoma"/>
          <w:szCs w:val="18"/>
        </w:rPr>
        <w:t xml:space="preserve"> please </w:t>
      </w:r>
      <w:r w:rsidRPr="00205026">
        <w:rPr>
          <w:rFonts w:eastAsiaTheme="minorHAnsi" w:cs="Tahoma"/>
          <w:szCs w:val="18"/>
        </w:rPr>
        <w:t>click</w:t>
      </w:r>
      <w:r w:rsidRPr="00205026">
        <w:rPr>
          <w:rFonts w:cs="Tahoma"/>
          <w:szCs w:val="18"/>
        </w:rPr>
        <w:t xml:space="preserve"> </w:t>
      </w:r>
      <w:hyperlink r:id="rId98" w:history="1">
        <w:r w:rsidRPr="00205026">
          <w:rPr>
            <w:rStyle w:val="Hyperlink"/>
            <w:i/>
            <w:sz w:val="18"/>
            <w:szCs w:val="18"/>
          </w:rPr>
          <w:t>here</w:t>
        </w:r>
      </w:hyperlink>
      <w:r w:rsidRPr="00205026">
        <w:rPr>
          <w:rStyle w:val="Hyperlink"/>
          <w:i/>
          <w:color w:val="auto"/>
          <w:sz w:val="18"/>
          <w:szCs w:val="18"/>
        </w:rPr>
        <w:t>.</w:t>
      </w:r>
      <w:r w:rsidRPr="00F44E9A">
        <w:rPr>
          <w:rStyle w:val="Hyperlink"/>
          <w:i/>
        </w:rPr>
        <w:t xml:space="preserve">  </w:t>
      </w:r>
    </w:p>
    <w:p w14:paraId="2DE5660D" w14:textId="77777777" w:rsidR="009F5B73" w:rsidRDefault="009F5B73" w:rsidP="00B3152F">
      <w:pPr>
        <w:pStyle w:val="EC-Title-6"/>
        <w:outlineLvl w:val="1"/>
        <w:rPr>
          <w:rFonts w:cs="Tahoma"/>
        </w:rPr>
      </w:pPr>
      <w:r>
        <w:rPr>
          <w:rFonts w:cs="Tahoma"/>
        </w:rPr>
        <w:t>Data</w:t>
      </w:r>
    </w:p>
    <w:p w14:paraId="5488D9F6" w14:textId="30F4604A" w:rsidR="009F5B73" w:rsidRDefault="009F5B73" w:rsidP="009F5B73">
      <w:pPr>
        <w:pStyle w:val="EC-Para"/>
        <w:jc w:val="both"/>
        <w:rPr>
          <w:rFonts w:cs="Tahoma"/>
        </w:rPr>
      </w:pPr>
      <w:r>
        <w:rPr>
          <w:rFonts w:cs="Tahoma"/>
        </w:rPr>
        <w:t xml:space="preserve">The Surveillance Atlas of Infectious Diseases displays data on yersiniosis reported by the </w:t>
      </w:r>
      <w:r w:rsidR="00E75405">
        <w:rPr>
          <w:rFonts w:cs="Tahoma"/>
        </w:rPr>
        <w:t>EU/EEA countries</w:t>
      </w:r>
      <w:r>
        <w:rPr>
          <w:rFonts w:cs="Tahoma"/>
        </w:rPr>
        <w:t>. Cases should be reported according to the 201</w:t>
      </w:r>
      <w:r w:rsidR="00F53BCA">
        <w:rPr>
          <w:rFonts w:cs="Tahoma"/>
        </w:rPr>
        <w:t>8</w:t>
      </w:r>
      <w:r>
        <w:rPr>
          <w:rFonts w:cs="Tahoma"/>
        </w:rPr>
        <w:t xml:space="preserve"> EU case definition for </w:t>
      </w:r>
      <w:r w:rsidR="000969C8">
        <w:rPr>
          <w:rFonts w:cs="Tahoma"/>
        </w:rPr>
        <w:t>e</w:t>
      </w:r>
      <w:r w:rsidR="000969C8" w:rsidRPr="000969C8">
        <w:rPr>
          <w:rFonts w:cs="Tahoma"/>
        </w:rPr>
        <w:t xml:space="preserve">nteritis due to </w:t>
      </w:r>
      <w:r w:rsidR="000969C8" w:rsidRPr="000969C8">
        <w:rPr>
          <w:rFonts w:cs="Tahoma"/>
          <w:i/>
        </w:rPr>
        <w:t>Yersinia enterocolitica</w:t>
      </w:r>
      <w:r w:rsidR="000969C8" w:rsidRPr="000969C8">
        <w:rPr>
          <w:rFonts w:cs="Tahoma"/>
        </w:rPr>
        <w:t xml:space="preserve"> or </w:t>
      </w:r>
      <w:r w:rsidR="000969C8" w:rsidRPr="000969C8">
        <w:rPr>
          <w:rFonts w:cs="Tahoma"/>
          <w:i/>
        </w:rPr>
        <w:t>Yersinia</w:t>
      </w:r>
      <w:r w:rsidR="000969C8" w:rsidRPr="000969C8">
        <w:rPr>
          <w:rFonts w:cs="Tahoma"/>
        </w:rPr>
        <w:t xml:space="preserve"> </w:t>
      </w:r>
      <w:r w:rsidR="000969C8" w:rsidRPr="000969C8">
        <w:rPr>
          <w:rFonts w:cs="Tahoma"/>
          <w:i/>
        </w:rPr>
        <w:t>pseudotuberculosis</w:t>
      </w:r>
      <w:r>
        <w:rPr>
          <w:rStyle w:val="FootnoteReference"/>
          <w:rFonts w:eastAsiaTheme="minorHAnsi" w:cs="Tahoma"/>
          <w:szCs w:val="20"/>
          <w:lang w:eastAsia="en-US"/>
        </w:rPr>
        <w:footnoteReference w:id="43"/>
      </w:r>
      <w:r>
        <w:rPr>
          <w:rFonts w:cs="Tahoma"/>
        </w:rPr>
        <w:t>:</w:t>
      </w:r>
    </w:p>
    <w:p w14:paraId="211E9905" w14:textId="77777777" w:rsidR="009F5B73" w:rsidRDefault="009F5B73" w:rsidP="009F5B73">
      <w:pPr>
        <w:autoSpaceDE w:val="0"/>
        <w:autoSpaceDN w:val="0"/>
        <w:adjustRightInd w:val="0"/>
        <w:spacing w:before="60" w:after="60"/>
        <w:rPr>
          <w:rFonts w:eastAsiaTheme="minorHAnsi" w:cs="Tahoma"/>
          <w:b/>
          <w:bCs/>
          <w:color w:val="000000"/>
          <w:szCs w:val="18"/>
        </w:rPr>
      </w:pPr>
    </w:p>
    <w:p w14:paraId="2DE128D0" w14:textId="77777777" w:rsidR="009F5B73" w:rsidRPr="0089113C" w:rsidRDefault="009F5B73" w:rsidP="009F5B73">
      <w:pPr>
        <w:autoSpaceDE w:val="0"/>
        <w:autoSpaceDN w:val="0"/>
        <w:adjustRightInd w:val="0"/>
        <w:spacing w:before="60" w:after="60"/>
        <w:rPr>
          <w:rFonts w:eastAsiaTheme="minorHAnsi" w:cs="Tahoma"/>
          <w:color w:val="000000"/>
          <w:szCs w:val="18"/>
        </w:rPr>
      </w:pPr>
      <w:r w:rsidRPr="0089113C">
        <w:rPr>
          <w:rFonts w:eastAsiaTheme="minorHAnsi" w:cs="Tahoma"/>
          <w:b/>
          <w:bCs/>
          <w:color w:val="000000"/>
          <w:szCs w:val="18"/>
        </w:rPr>
        <w:t xml:space="preserve">Clinical </w:t>
      </w:r>
      <w:r>
        <w:rPr>
          <w:rFonts w:eastAsiaTheme="minorHAnsi" w:cs="Tahoma"/>
          <w:b/>
          <w:bCs/>
          <w:color w:val="000000"/>
          <w:szCs w:val="18"/>
        </w:rPr>
        <w:t>c</w:t>
      </w:r>
      <w:r w:rsidRPr="0089113C">
        <w:rPr>
          <w:rFonts w:eastAsiaTheme="minorHAnsi" w:cs="Tahoma"/>
          <w:b/>
          <w:bCs/>
          <w:color w:val="000000"/>
          <w:szCs w:val="18"/>
        </w:rPr>
        <w:t xml:space="preserve">riteria </w:t>
      </w:r>
    </w:p>
    <w:p w14:paraId="31E77ECB" w14:textId="77777777" w:rsidR="009F5B73" w:rsidRPr="0089113C" w:rsidRDefault="009F5B73" w:rsidP="009F5B73">
      <w:pPr>
        <w:autoSpaceDE w:val="0"/>
        <w:autoSpaceDN w:val="0"/>
        <w:adjustRightInd w:val="0"/>
        <w:spacing w:before="60" w:after="60"/>
        <w:rPr>
          <w:rFonts w:eastAsiaTheme="minorHAnsi" w:cs="Tahoma"/>
          <w:color w:val="000000"/>
          <w:szCs w:val="18"/>
        </w:rPr>
      </w:pPr>
      <w:r w:rsidRPr="0089113C">
        <w:rPr>
          <w:rFonts w:eastAsiaTheme="minorHAnsi" w:cs="Tahoma"/>
          <w:color w:val="000000"/>
          <w:szCs w:val="18"/>
        </w:rPr>
        <w:t xml:space="preserve">Any person with at least one of the following five: </w:t>
      </w:r>
    </w:p>
    <w:p w14:paraId="18F7F350" w14:textId="77777777" w:rsidR="009F5B73" w:rsidRPr="0089113C" w:rsidRDefault="009F5B73" w:rsidP="009F5B73">
      <w:pPr>
        <w:autoSpaceDE w:val="0"/>
        <w:autoSpaceDN w:val="0"/>
        <w:adjustRightInd w:val="0"/>
        <w:spacing w:before="60" w:after="60"/>
        <w:rPr>
          <w:rFonts w:eastAsiaTheme="minorHAnsi" w:cs="Tahoma"/>
          <w:color w:val="000000"/>
          <w:szCs w:val="18"/>
        </w:rPr>
      </w:pPr>
      <w:r w:rsidRPr="0089113C">
        <w:rPr>
          <w:rFonts w:eastAsiaTheme="minorHAnsi" w:cs="Tahoma"/>
          <w:color w:val="000000"/>
          <w:szCs w:val="18"/>
        </w:rPr>
        <w:t xml:space="preserve">— </w:t>
      </w:r>
      <w:proofErr w:type="gramStart"/>
      <w:r w:rsidRPr="0089113C">
        <w:rPr>
          <w:rFonts w:eastAsiaTheme="minorHAnsi" w:cs="Tahoma"/>
          <w:color w:val="000000"/>
          <w:szCs w:val="18"/>
        </w:rPr>
        <w:t>Fever;</w:t>
      </w:r>
      <w:proofErr w:type="gramEnd"/>
      <w:r w:rsidRPr="0089113C">
        <w:rPr>
          <w:rFonts w:eastAsiaTheme="minorHAnsi" w:cs="Tahoma"/>
          <w:color w:val="000000"/>
          <w:szCs w:val="18"/>
        </w:rPr>
        <w:t xml:space="preserve"> </w:t>
      </w:r>
    </w:p>
    <w:p w14:paraId="7B3DF510" w14:textId="77777777"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 xml:space="preserve">— </w:t>
      </w:r>
      <w:proofErr w:type="gramStart"/>
      <w:r w:rsidRPr="009957FE">
        <w:rPr>
          <w:rFonts w:eastAsiaTheme="minorHAnsi" w:cs="Tahoma"/>
          <w:color w:val="000000"/>
          <w:szCs w:val="18"/>
        </w:rPr>
        <w:t>Diarrhoea;</w:t>
      </w:r>
      <w:proofErr w:type="gramEnd"/>
    </w:p>
    <w:p w14:paraId="12EF5F13" w14:textId="77777777"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 Vomiting</w:t>
      </w:r>
    </w:p>
    <w:p w14:paraId="041F23EA" w14:textId="77777777"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 Abdominal pain (</w:t>
      </w:r>
      <w:proofErr w:type="spellStart"/>
      <w:r w:rsidRPr="009957FE">
        <w:rPr>
          <w:rFonts w:eastAsiaTheme="minorHAnsi" w:cs="Tahoma"/>
          <w:color w:val="000000"/>
          <w:szCs w:val="18"/>
        </w:rPr>
        <w:t>pseudoappendicitis</w:t>
      </w:r>
      <w:proofErr w:type="spellEnd"/>
      <w:proofErr w:type="gramStart"/>
      <w:r w:rsidRPr="009957FE">
        <w:rPr>
          <w:rFonts w:eastAsiaTheme="minorHAnsi" w:cs="Tahoma"/>
          <w:color w:val="000000"/>
          <w:szCs w:val="18"/>
        </w:rPr>
        <w:t>);</w:t>
      </w:r>
      <w:proofErr w:type="gramEnd"/>
      <w:r w:rsidRPr="009957FE">
        <w:rPr>
          <w:rFonts w:eastAsiaTheme="minorHAnsi" w:cs="Tahoma"/>
          <w:color w:val="000000"/>
          <w:szCs w:val="18"/>
        </w:rPr>
        <w:t xml:space="preserve"> </w:t>
      </w:r>
    </w:p>
    <w:p w14:paraId="5A622797" w14:textId="2EC5ADC3" w:rsidR="00EF2644" w:rsidRPr="009957FE" w:rsidRDefault="00EF2644" w:rsidP="009F5B73">
      <w:pPr>
        <w:autoSpaceDE w:val="0"/>
        <w:autoSpaceDN w:val="0"/>
        <w:adjustRightInd w:val="0"/>
        <w:spacing w:before="60" w:after="60"/>
        <w:rPr>
          <w:rFonts w:eastAsiaTheme="minorHAnsi" w:cs="Tahoma"/>
          <w:color w:val="000000"/>
          <w:szCs w:val="18"/>
        </w:rPr>
      </w:pPr>
      <w:r w:rsidRPr="009957FE">
        <w:rPr>
          <w:szCs w:val="18"/>
        </w:rPr>
        <w:t>— Rectal tenesmus</w:t>
      </w:r>
    </w:p>
    <w:p w14:paraId="664E9313" w14:textId="07D6527E"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b/>
          <w:bCs/>
          <w:color w:val="000000"/>
          <w:szCs w:val="18"/>
        </w:rPr>
        <w:t xml:space="preserve">Laboratory criteria </w:t>
      </w:r>
      <w:r w:rsidR="00150E79" w:rsidRPr="009957FE">
        <w:rPr>
          <w:rFonts w:eastAsiaTheme="minorHAnsi" w:cs="Tahoma"/>
          <w:b/>
          <w:bCs/>
          <w:color w:val="000000"/>
          <w:szCs w:val="18"/>
        </w:rPr>
        <w:br/>
      </w:r>
      <w:r w:rsidR="00150E79" w:rsidRPr="009957FE">
        <w:rPr>
          <w:szCs w:val="18"/>
        </w:rPr>
        <w:t xml:space="preserve">At least one of the following </w:t>
      </w:r>
      <w:r w:rsidR="009957FE" w:rsidRPr="009957FE">
        <w:rPr>
          <w:szCs w:val="18"/>
        </w:rPr>
        <w:t>two</w:t>
      </w:r>
      <w:r w:rsidR="00150E79" w:rsidRPr="009957FE">
        <w:rPr>
          <w:szCs w:val="18"/>
        </w:rPr>
        <w:t>:</w:t>
      </w:r>
    </w:p>
    <w:p w14:paraId="6F6D280D" w14:textId="77777777"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 xml:space="preserve">— Isolation of human pathogenic </w:t>
      </w:r>
      <w:r w:rsidRPr="009957FE">
        <w:rPr>
          <w:rFonts w:eastAsiaTheme="minorHAnsi" w:cs="Tahoma"/>
          <w:i/>
          <w:iCs/>
          <w:color w:val="000000"/>
          <w:szCs w:val="18"/>
        </w:rPr>
        <w:t xml:space="preserve">Yersinia enterocolitica </w:t>
      </w:r>
      <w:r w:rsidRPr="009957FE">
        <w:rPr>
          <w:rFonts w:eastAsiaTheme="minorHAnsi" w:cs="Tahoma"/>
          <w:color w:val="000000"/>
          <w:szCs w:val="18"/>
        </w:rPr>
        <w:t xml:space="preserve">or </w:t>
      </w:r>
      <w:r w:rsidRPr="009957FE">
        <w:rPr>
          <w:rFonts w:eastAsiaTheme="minorHAnsi" w:cs="Tahoma"/>
          <w:i/>
          <w:iCs/>
          <w:color w:val="000000"/>
          <w:szCs w:val="18"/>
        </w:rPr>
        <w:t xml:space="preserve">Yersinia pseudotuberculosis </w:t>
      </w:r>
      <w:r w:rsidRPr="009957FE">
        <w:rPr>
          <w:rFonts w:eastAsiaTheme="minorHAnsi" w:cs="Tahoma"/>
          <w:color w:val="000000"/>
          <w:szCs w:val="18"/>
        </w:rPr>
        <w:t xml:space="preserve">from a clinical specimen </w:t>
      </w:r>
    </w:p>
    <w:p w14:paraId="69FD8369" w14:textId="29B9CA7C" w:rsidR="00150E79" w:rsidRPr="009957FE" w:rsidRDefault="00150E79" w:rsidP="009F5B73">
      <w:pPr>
        <w:autoSpaceDE w:val="0"/>
        <w:autoSpaceDN w:val="0"/>
        <w:adjustRightInd w:val="0"/>
        <w:spacing w:before="60" w:after="60"/>
        <w:rPr>
          <w:rFonts w:eastAsiaTheme="minorHAnsi" w:cs="Tahoma"/>
          <w:color w:val="000000"/>
          <w:szCs w:val="18"/>
        </w:rPr>
      </w:pPr>
      <w:r w:rsidRPr="009957FE">
        <w:rPr>
          <w:szCs w:val="18"/>
        </w:rPr>
        <w:t xml:space="preserve">— Detection of </w:t>
      </w:r>
      <w:r w:rsidRPr="009957FE">
        <w:rPr>
          <w:i/>
          <w:szCs w:val="18"/>
        </w:rPr>
        <w:t>Y. enterocolitica</w:t>
      </w:r>
      <w:r w:rsidRPr="009957FE">
        <w:rPr>
          <w:szCs w:val="18"/>
        </w:rPr>
        <w:t xml:space="preserve"> or </w:t>
      </w:r>
      <w:r w:rsidRPr="009957FE">
        <w:rPr>
          <w:i/>
          <w:szCs w:val="18"/>
        </w:rPr>
        <w:t>Y. pseudotuberculosis</w:t>
      </w:r>
      <w:r w:rsidRPr="009957FE">
        <w:rPr>
          <w:szCs w:val="18"/>
        </w:rPr>
        <w:t xml:space="preserve"> virulence genes in a clinical specimen</w:t>
      </w:r>
    </w:p>
    <w:p w14:paraId="49A666FE" w14:textId="77777777"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b/>
          <w:bCs/>
          <w:color w:val="000000"/>
          <w:szCs w:val="18"/>
        </w:rPr>
        <w:t xml:space="preserve">Epidemiological criteria </w:t>
      </w:r>
    </w:p>
    <w:p w14:paraId="0FCA0A40" w14:textId="5C4F3515"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 xml:space="preserve">At least one of the following four epidemiological links: </w:t>
      </w:r>
    </w:p>
    <w:p w14:paraId="54F7E2E9" w14:textId="419CBF51"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 Human</w:t>
      </w:r>
      <w:r w:rsidR="00150E79" w:rsidRPr="009957FE">
        <w:rPr>
          <w:rFonts w:eastAsiaTheme="minorHAnsi" w:cs="Tahoma"/>
          <w:color w:val="000000"/>
          <w:szCs w:val="18"/>
        </w:rPr>
        <w:t xml:space="preserve"> </w:t>
      </w:r>
      <w:r w:rsidRPr="009957FE">
        <w:rPr>
          <w:rFonts w:eastAsiaTheme="minorHAnsi" w:cs="Tahoma"/>
          <w:color w:val="000000"/>
          <w:szCs w:val="18"/>
        </w:rPr>
        <w:t>to</w:t>
      </w:r>
      <w:r w:rsidR="00150E79" w:rsidRPr="009957FE">
        <w:rPr>
          <w:rFonts w:eastAsiaTheme="minorHAnsi" w:cs="Tahoma"/>
          <w:color w:val="000000"/>
          <w:szCs w:val="18"/>
        </w:rPr>
        <w:t xml:space="preserve"> </w:t>
      </w:r>
      <w:r w:rsidRPr="009957FE">
        <w:rPr>
          <w:rFonts w:eastAsiaTheme="minorHAnsi" w:cs="Tahoma"/>
          <w:color w:val="000000"/>
          <w:szCs w:val="18"/>
        </w:rPr>
        <w:t xml:space="preserve">human </w:t>
      </w:r>
      <w:proofErr w:type="gramStart"/>
      <w:r w:rsidRPr="009957FE">
        <w:rPr>
          <w:rFonts w:eastAsiaTheme="minorHAnsi" w:cs="Tahoma"/>
          <w:color w:val="000000"/>
          <w:szCs w:val="18"/>
        </w:rPr>
        <w:t>transmission;</w:t>
      </w:r>
      <w:proofErr w:type="gramEnd"/>
    </w:p>
    <w:p w14:paraId="44C8DE2F" w14:textId="77777777"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 xml:space="preserve">— Exposure to a common </w:t>
      </w:r>
      <w:proofErr w:type="gramStart"/>
      <w:r w:rsidRPr="009957FE">
        <w:rPr>
          <w:rFonts w:eastAsiaTheme="minorHAnsi" w:cs="Tahoma"/>
          <w:color w:val="000000"/>
          <w:szCs w:val="18"/>
        </w:rPr>
        <w:t>source;</w:t>
      </w:r>
      <w:proofErr w:type="gramEnd"/>
      <w:r w:rsidRPr="009957FE">
        <w:rPr>
          <w:rFonts w:eastAsiaTheme="minorHAnsi" w:cs="Tahoma"/>
          <w:color w:val="000000"/>
          <w:szCs w:val="18"/>
        </w:rPr>
        <w:t xml:space="preserve"> </w:t>
      </w:r>
    </w:p>
    <w:p w14:paraId="69008D3C" w14:textId="190A4D48"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 Animal</w:t>
      </w:r>
      <w:r w:rsidR="00150E79" w:rsidRPr="009957FE">
        <w:rPr>
          <w:rFonts w:eastAsiaTheme="minorHAnsi" w:cs="Tahoma"/>
          <w:color w:val="000000"/>
          <w:szCs w:val="18"/>
        </w:rPr>
        <w:t xml:space="preserve"> </w:t>
      </w:r>
      <w:r w:rsidRPr="009957FE">
        <w:rPr>
          <w:rFonts w:eastAsiaTheme="minorHAnsi" w:cs="Tahoma"/>
          <w:color w:val="000000"/>
          <w:szCs w:val="18"/>
        </w:rPr>
        <w:t>to</w:t>
      </w:r>
      <w:r w:rsidR="00150E79" w:rsidRPr="009957FE">
        <w:rPr>
          <w:rFonts w:eastAsiaTheme="minorHAnsi" w:cs="Tahoma"/>
          <w:color w:val="000000"/>
          <w:szCs w:val="18"/>
        </w:rPr>
        <w:t xml:space="preserve"> </w:t>
      </w:r>
      <w:r w:rsidRPr="009957FE">
        <w:rPr>
          <w:rFonts w:eastAsiaTheme="minorHAnsi" w:cs="Tahoma"/>
          <w:color w:val="000000"/>
          <w:szCs w:val="18"/>
        </w:rPr>
        <w:t xml:space="preserve">human </w:t>
      </w:r>
      <w:proofErr w:type="gramStart"/>
      <w:r w:rsidRPr="009957FE">
        <w:rPr>
          <w:rFonts w:eastAsiaTheme="minorHAnsi" w:cs="Tahoma"/>
          <w:color w:val="000000"/>
          <w:szCs w:val="18"/>
        </w:rPr>
        <w:t>transmission;</w:t>
      </w:r>
      <w:proofErr w:type="gramEnd"/>
    </w:p>
    <w:p w14:paraId="3EED3336" w14:textId="5864EFF1" w:rsidR="009F5B73" w:rsidRPr="009957FE" w:rsidRDefault="009F5B7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 xml:space="preserve">— Exposure to contaminated food/drinking water. </w:t>
      </w:r>
    </w:p>
    <w:p w14:paraId="2CD27875" w14:textId="5E7C0055" w:rsidR="009F5B73" w:rsidRPr="009957FE" w:rsidRDefault="009F5B73" w:rsidP="009F5B73">
      <w:pPr>
        <w:pStyle w:val="CM4"/>
        <w:spacing w:before="60" w:after="60"/>
        <w:rPr>
          <w:rFonts w:ascii="Tahoma" w:hAnsi="Tahoma" w:cs="Tahoma"/>
          <w:color w:val="000000"/>
          <w:sz w:val="18"/>
          <w:szCs w:val="18"/>
        </w:rPr>
      </w:pPr>
      <w:r w:rsidRPr="009957FE">
        <w:rPr>
          <w:rFonts w:ascii="Tahoma" w:hAnsi="Tahoma" w:cs="Tahoma"/>
          <w:b/>
          <w:sz w:val="18"/>
          <w:szCs w:val="18"/>
        </w:rPr>
        <w:t>Case classification</w:t>
      </w:r>
      <w:r w:rsidR="00B329D3" w:rsidRPr="009957FE">
        <w:rPr>
          <w:rFonts w:ascii="Tahoma" w:hAnsi="Tahoma" w:cs="Tahoma"/>
          <w:b/>
          <w:sz w:val="18"/>
          <w:szCs w:val="18"/>
        </w:rPr>
        <w:br/>
      </w:r>
      <w:r w:rsidR="00B329D3" w:rsidRPr="009957FE">
        <w:rPr>
          <w:rFonts w:ascii="Tahoma" w:hAnsi="Tahoma" w:cs="Tahoma"/>
          <w:sz w:val="18"/>
          <w:szCs w:val="18"/>
        </w:rPr>
        <w:t>A. Possible case NA</w:t>
      </w:r>
    </w:p>
    <w:p w14:paraId="2163F22E" w14:textId="452BA317" w:rsidR="009F5B73" w:rsidRPr="009957FE" w:rsidRDefault="00B329D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B</w:t>
      </w:r>
      <w:r w:rsidR="009F5B73" w:rsidRPr="009957FE">
        <w:rPr>
          <w:rFonts w:eastAsiaTheme="minorHAnsi" w:cs="Tahoma"/>
          <w:color w:val="000000"/>
          <w:szCs w:val="18"/>
        </w:rPr>
        <w:t xml:space="preserve">. </w:t>
      </w:r>
      <w:r w:rsidR="009F5B73" w:rsidRPr="009957FE">
        <w:rPr>
          <w:rFonts w:eastAsiaTheme="minorHAnsi" w:cs="Tahoma"/>
          <w:bCs/>
          <w:color w:val="000000"/>
          <w:szCs w:val="18"/>
        </w:rPr>
        <w:t xml:space="preserve">Probable case: </w:t>
      </w:r>
      <w:r w:rsidR="009F5B73" w:rsidRPr="009957FE">
        <w:rPr>
          <w:rFonts w:eastAsiaTheme="minorHAnsi" w:cs="Tahoma"/>
          <w:color w:val="000000"/>
          <w:szCs w:val="18"/>
        </w:rPr>
        <w:t>Any person meeting the clinical criteria with an epidemiological link</w:t>
      </w:r>
    </w:p>
    <w:p w14:paraId="124E81BD" w14:textId="48E0BD65" w:rsidR="009F5B73" w:rsidRPr="009957FE" w:rsidRDefault="00B329D3" w:rsidP="009F5B73">
      <w:pPr>
        <w:autoSpaceDE w:val="0"/>
        <w:autoSpaceDN w:val="0"/>
        <w:adjustRightInd w:val="0"/>
        <w:spacing w:before="60" w:after="60"/>
        <w:rPr>
          <w:rFonts w:eastAsiaTheme="minorHAnsi" w:cs="Tahoma"/>
          <w:color w:val="000000"/>
          <w:szCs w:val="18"/>
        </w:rPr>
      </w:pPr>
      <w:r w:rsidRPr="009957FE">
        <w:rPr>
          <w:rFonts w:eastAsiaTheme="minorHAnsi" w:cs="Tahoma"/>
          <w:color w:val="000000"/>
          <w:szCs w:val="18"/>
        </w:rPr>
        <w:t>C</w:t>
      </w:r>
      <w:r w:rsidR="009F5B73" w:rsidRPr="009957FE">
        <w:rPr>
          <w:rFonts w:eastAsiaTheme="minorHAnsi" w:cs="Tahoma"/>
          <w:color w:val="000000"/>
          <w:szCs w:val="18"/>
        </w:rPr>
        <w:t xml:space="preserve">. </w:t>
      </w:r>
      <w:r w:rsidR="009F5B73" w:rsidRPr="009957FE">
        <w:rPr>
          <w:rFonts w:eastAsiaTheme="minorHAnsi" w:cs="Tahoma"/>
          <w:bCs/>
          <w:color w:val="000000"/>
          <w:szCs w:val="18"/>
        </w:rPr>
        <w:t xml:space="preserve">Confirmed case: </w:t>
      </w:r>
      <w:r w:rsidR="009F5B73" w:rsidRPr="009957FE">
        <w:rPr>
          <w:rFonts w:eastAsiaTheme="minorHAnsi" w:cs="Tahoma"/>
          <w:szCs w:val="18"/>
        </w:rPr>
        <w:t>Any person meeting the clinical and the laboratory criteria</w:t>
      </w:r>
    </w:p>
    <w:p w14:paraId="68D3FDE2" w14:textId="77777777" w:rsidR="009F5B73" w:rsidRPr="009957FE" w:rsidRDefault="009F5B73" w:rsidP="009F5B73">
      <w:pPr>
        <w:pStyle w:val="Default"/>
        <w:rPr>
          <w:rFonts w:ascii="Tahoma" w:eastAsiaTheme="minorHAnsi" w:hAnsi="Tahoma" w:cs="Tahoma"/>
          <w:sz w:val="18"/>
          <w:szCs w:val="18"/>
          <w:lang w:eastAsia="en-US"/>
        </w:rPr>
      </w:pPr>
    </w:p>
    <w:p w14:paraId="01316553" w14:textId="1010920A" w:rsidR="009F5B73" w:rsidRPr="009957FE" w:rsidRDefault="00B329D3" w:rsidP="009F5B73">
      <w:pPr>
        <w:pStyle w:val="EC-Para"/>
        <w:spacing w:after="0" w:line="240" w:lineRule="auto"/>
        <w:jc w:val="both"/>
      </w:pPr>
      <w:r w:rsidRPr="009957FE">
        <w:t>Note: If the national surveillance system is not capturing clinical symptoms, all laboratory-confirmed individuals should be reported as confirmed cases.</w:t>
      </w:r>
    </w:p>
    <w:p w14:paraId="66BF41E7" w14:textId="2BE0D1F1" w:rsidR="009957FE" w:rsidRDefault="009957FE" w:rsidP="009F5B73">
      <w:pPr>
        <w:pStyle w:val="EC-Para"/>
        <w:spacing w:after="0" w:line="240" w:lineRule="auto"/>
        <w:jc w:val="both"/>
        <w:rPr>
          <w:highlight w:val="yellow"/>
        </w:rPr>
      </w:pPr>
    </w:p>
    <w:p w14:paraId="7BAD7384" w14:textId="77777777" w:rsidR="009957FE" w:rsidRDefault="009957FE" w:rsidP="009957FE">
      <w:pPr>
        <w:pStyle w:val="EC-Para"/>
        <w:spacing w:after="0" w:line="240" w:lineRule="auto"/>
        <w:jc w:val="both"/>
        <w:rPr>
          <w:rFonts w:cs="Tahoma"/>
        </w:rPr>
      </w:pPr>
      <w:r>
        <w:rPr>
          <w:rFonts w:cs="Tahoma"/>
        </w:rPr>
        <w:t>------------------------</w:t>
      </w:r>
    </w:p>
    <w:p w14:paraId="48358BEF" w14:textId="6BFBBA47" w:rsidR="009957FE" w:rsidRDefault="009957FE" w:rsidP="009957FE">
      <w:pPr>
        <w:pStyle w:val="EC-Para"/>
        <w:spacing w:after="0" w:line="240" w:lineRule="auto"/>
        <w:jc w:val="both"/>
        <w:rPr>
          <w:lang w:eastAsia="en-US"/>
        </w:rPr>
      </w:pPr>
      <w:r>
        <w:rPr>
          <w:rFonts w:cs="Tahoma"/>
        </w:rPr>
        <w:t>(</w:t>
      </w:r>
      <w:r w:rsidRPr="00805F81">
        <w:rPr>
          <w:rFonts w:cs="Tahoma"/>
        </w:rPr>
        <w:t>C</w:t>
      </w:r>
      <w:r w:rsidRPr="005679DF">
        <w:rPr>
          <w:lang w:eastAsia="en-US"/>
        </w:rPr>
        <w:t>ompared to the 2008 and 2012 EU case definition</w:t>
      </w:r>
      <w:r>
        <w:rPr>
          <w:lang w:eastAsia="en-US"/>
        </w:rPr>
        <w:t>s</w:t>
      </w:r>
      <w:r w:rsidRPr="005679DF">
        <w:rPr>
          <w:lang w:eastAsia="en-US"/>
        </w:rPr>
        <w:t>, the 2018 EU case d</w:t>
      </w:r>
      <w:r w:rsidRPr="00CB488F">
        <w:rPr>
          <w:lang w:eastAsia="en-US"/>
        </w:rPr>
        <w:t xml:space="preserve">efinition allows </w:t>
      </w:r>
      <w:r>
        <w:rPr>
          <w:lang w:eastAsia="en-US"/>
        </w:rPr>
        <w:t>detection of virulence genes</w:t>
      </w:r>
      <w:r w:rsidRPr="00CB488F">
        <w:rPr>
          <w:lang w:eastAsia="en-US"/>
        </w:rPr>
        <w:t xml:space="preserve"> </w:t>
      </w:r>
      <w:r>
        <w:rPr>
          <w:lang w:eastAsia="en-US"/>
        </w:rPr>
        <w:t>for laboratory confirmation and the note is also new.)</w:t>
      </w:r>
    </w:p>
    <w:p w14:paraId="1FEF6704" w14:textId="77777777" w:rsidR="009957FE" w:rsidRDefault="009957FE" w:rsidP="009F5B73">
      <w:pPr>
        <w:pStyle w:val="EC-Para"/>
        <w:spacing w:after="0" w:line="240" w:lineRule="auto"/>
        <w:jc w:val="both"/>
        <w:rPr>
          <w:color w:val="FF0000"/>
          <w:lang w:eastAsia="en-US"/>
        </w:rPr>
      </w:pPr>
    </w:p>
    <w:p w14:paraId="5F08DBAB" w14:textId="77777777" w:rsidR="009F5B73" w:rsidRPr="00452AF8" w:rsidRDefault="009F5B73" w:rsidP="00CF298A">
      <w:pPr>
        <w:pStyle w:val="EC-Title-6"/>
      </w:pPr>
      <w:r w:rsidRPr="00BD0ACE">
        <w:t xml:space="preserve">Data collection and </w:t>
      </w:r>
      <w:r w:rsidRPr="00CF298A">
        <w:t>analysis</w:t>
      </w:r>
      <w:r w:rsidRPr="00BD0ACE">
        <w:t xml:space="preserve"> </w:t>
      </w:r>
    </w:p>
    <w:p w14:paraId="71E02A00" w14:textId="722DBDAA" w:rsidR="009F5B73" w:rsidRDefault="009F5B73" w:rsidP="009F5B73">
      <w:pPr>
        <w:pStyle w:val="EC-Para"/>
        <w:spacing w:line="240" w:lineRule="auto"/>
        <w:jc w:val="both"/>
        <w:rPr>
          <w:rFonts w:cs="Tahoma"/>
        </w:rPr>
      </w:pPr>
      <w:r>
        <w:rPr>
          <w:rFonts w:cs="Tahoma"/>
        </w:rPr>
        <w:t>Data are collected on an annual basis for the previous year. C</w:t>
      </w:r>
      <w:r w:rsidRPr="007B34B1">
        <w:rPr>
          <w:rFonts w:cs="Tahoma"/>
        </w:rPr>
        <w:t>ountries can also update their data</w:t>
      </w:r>
      <w:r>
        <w:rPr>
          <w:rFonts w:cs="Tahoma"/>
        </w:rPr>
        <w:t xml:space="preserve"> at any time. Before analysis, data are validated with nominated data providers in </w:t>
      </w:r>
      <w:r w:rsidR="00D70B27">
        <w:rPr>
          <w:rFonts w:cs="Tahoma"/>
        </w:rPr>
        <w:t>EU/EEA countries</w:t>
      </w:r>
      <w:r>
        <w:rPr>
          <w:rFonts w:cs="Tahoma"/>
        </w:rPr>
        <w:t>. C</w:t>
      </w:r>
      <w:r>
        <w:t xml:space="preserve">ountry population denominators </w:t>
      </w:r>
      <w:r>
        <w:lastRenderedPageBreak/>
        <w:t>by age group for the calculation of notification rates were obtained from Eurostat</w:t>
      </w:r>
      <w:r>
        <w:rPr>
          <w:rStyle w:val="FootnoteReference"/>
        </w:rPr>
        <w:footnoteReference w:id="44"/>
      </w:r>
      <w:r>
        <w:t>.</w:t>
      </w:r>
      <w:r>
        <w:rPr>
          <w:rFonts w:cstheme="minorHAnsi"/>
        </w:rPr>
        <w:t xml:space="preserve"> Note that data published in the Surveillance Atlas might differ from figures in national reports due to different times of reporting, inclusion of cases by different case definitions and use of different denominators.</w:t>
      </w:r>
    </w:p>
    <w:p w14:paraId="3FB84978" w14:textId="77777777" w:rsidR="009F5B73" w:rsidRDefault="009F5B73" w:rsidP="009F5B73">
      <w:pPr>
        <w:pStyle w:val="EC-Para"/>
        <w:jc w:val="both"/>
      </w:pPr>
      <w:r>
        <w:t>Indicators were displayed as “</w:t>
      </w:r>
      <w:r w:rsidRPr="00321372">
        <w:rPr>
          <w:rFonts w:eastAsiaTheme="minorHAnsi" w:cs="Tahoma"/>
          <w:b/>
          <w:lang w:eastAsia="en-US"/>
        </w:rPr>
        <w:t>–</w:t>
      </w:r>
      <w:r>
        <w:t xml:space="preserve">” and not calculated for variables with more than 50% of cases with undocumented information (unknown or missing) for </w:t>
      </w:r>
      <w:r w:rsidRPr="00947887">
        <w:t>a given geograph</w:t>
      </w:r>
      <w:r>
        <w:t xml:space="preserve">ical resolution (e.g. country, EU/EEA) and </w:t>
      </w:r>
      <w:proofErr w:type="gramStart"/>
      <w:r>
        <w:t>time period</w:t>
      </w:r>
      <w:proofErr w:type="gramEnd"/>
      <w:r>
        <w:t>. T</w:t>
      </w:r>
      <w:r w:rsidRPr="00C51AE7">
        <w:rPr>
          <w:rFonts w:cstheme="minorHAnsi"/>
        </w:rPr>
        <w:t xml:space="preserve">he age-standardised rate and the notification rate for domestic cases were calculated when age </w:t>
      </w:r>
      <w:r>
        <w:rPr>
          <w:rFonts w:cstheme="minorHAnsi"/>
        </w:rPr>
        <w:t>and</w:t>
      </w:r>
      <w:r w:rsidRPr="00C51AE7">
        <w:rPr>
          <w:rFonts w:cstheme="minorHAnsi"/>
        </w:rPr>
        <w:t xml:space="preserve"> </w:t>
      </w:r>
      <w:r>
        <w:rPr>
          <w:rFonts w:cstheme="minorHAnsi"/>
        </w:rPr>
        <w:t xml:space="preserve">travel history </w:t>
      </w:r>
      <w:r w:rsidRPr="00C51AE7">
        <w:rPr>
          <w:rFonts w:cstheme="minorHAnsi"/>
        </w:rPr>
        <w:t>w</w:t>
      </w:r>
      <w:r>
        <w:rPr>
          <w:rFonts w:cstheme="minorHAnsi"/>
        </w:rPr>
        <w:t>ere</w:t>
      </w:r>
      <w:r w:rsidRPr="00C51AE7">
        <w:rPr>
          <w:rFonts w:cstheme="minorHAnsi"/>
        </w:rPr>
        <w:t xml:space="preserve"> known </w:t>
      </w:r>
      <w:r>
        <w:rPr>
          <w:rFonts w:cstheme="minorHAnsi"/>
        </w:rPr>
        <w:t>for</w:t>
      </w:r>
      <w:r w:rsidRPr="00C51AE7">
        <w:rPr>
          <w:rFonts w:cstheme="minorHAnsi"/>
        </w:rPr>
        <w:t xml:space="preserve"> at least 90% of cases.</w:t>
      </w:r>
    </w:p>
    <w:p w14:paraId="1BE76A05" w14:textId="77777777" w:rsidR="009F5B73" w:rsidRDefault="009F5B73" w:rsidP="009F5B73">
      <w:pPr>
        <w:pStyle w:val="EC-Para"/>
        <w:jc w:val="both"/>
        <w:rPr>
          <w:rFonts w:cs="Tahoma"/>
        </w:rPr>
      </w:pPr>
      <w:r>
        <w:rPr>
          <w:rFonts w:cs="Tahoma"/>
        </w:rPr>
        <w:t>Surveillance systems across the EU/EEA countries are heterogeneous and a surveillance systems overview is displayed in Annex 1.</w:t>
      </w:r>
    </w:p>
    <w:p w14:paraId="31705C15" w14:textId="77777777" w:rsidR="00205026" w:rsidRDefault="00205026" w:rsidP="009F5B73">
      <w:pPr>
        <w:pStyle w:val="EC-Para"/>
        <w:jc w:val="both"/>
        <w:rPr>
          <w:rFonts w:cs="Tahoma"/>
        </w:rPr>
      </w:pPr>
    </w:p>
    <w:p w14:paraId="17DB0B19" w14:textId="77777777" w:rsidR="009F5B73" w:rsidRPr="0072746F" w:rsidRDefault="009F5B73" w:rsidP="00205026">
      <w:pPr>
        <w:pStyle w:val="EC-Title-6"/>
      </w:pPr>
      <w:r w:rsidRPr="0072746F">
        <w:t xml:space="preserve">Surveillance Atlas </w:t>
      </w:r>
      <w:r w:rsidRPr="00205026">
        <w:t>indicators</w:t>
      </w:r>
    </w:p>
    <w:p w14:paraId="49458A49" w14:textId="6CE1993B" w:rsidR="009F5B73" w:rsidRDefault="009F5B73" w:rsidP="009F5B73">
      <w:pPr>
        <w:pStyle w:val="EC-Para"/>
        <w:rPr>
          <w:rFonts w:cs="Tahoma"/>
        </w:rPr>
      </w:pPr>
      <w:r w:rsidRPr="005E139C">
        <w:rPr>
          <w:rFonts w:cs="Tahoma"/>
        </w:rPr>
        <w:t>The Surveillan</w:t>
      </w:r>
      <w:r>
        <w:rPr>
          <w:rFonts w:cs="Tahoma"/>
        </w:rPr>
        <w:t xml:space="preserve">ce Atlas indicators for </w:t>
      </w:r>
      <w:r w:rsidR="00A11BA9">
        <w:rPr>
          <w:rFonts w:cs="Tahoma"/>
        </w:rPr>
        <w:t xml:space="preserve">confirmed </w:t>
      </w:r>
      <w:r>
        <w:rPr>
          <w:rFonts w:cs="Tahoma"/>
        </w:rPr>
        <w:t>yersiniosis</w:t>
      </w:r>
      <w:r w:rsidRPr="005E139C">
        <w:rPr>
          <w:rFonts w:cs="Tahoma"/>
        </w:rPr>
        <w:t xml:space="preserve"> </w:t>
      </w:r>
      <w:r w:rsidR="00A11BA9">
        <w:rPr>
          <w:rFonts w:cs="Tahoma"/>
        </w:rPr>
        <w:t xml:space="preserve">cases </w:t>
      </w:r>
      <w:r w:rsidRPr="005E139C">
        <w:rPr>
          <w:rFonts w:cs="Tahoma"/>
        </w:rPr>
        <w:t>are:</w:t>
      </w:r>
    </w:p>
    <w:p w14:paraId="4DA6C912" w14:textId="77777777" w:rsidR="009F5B73" w:rsidRPr="007B34B1" w:rsidRDefault="009F5B73" w:rsidP="000617B1">
      <w:pPr>
        <w:numPr>
          <w:ilvl w:val="0"/>
          <w:numId w:val="2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127C8E4F" w14:textId="77777777" w:rsidR="009F5B73" w:rsidRDefault="009F5B73" w:rsidP="000617B1">
      <w:pPr>
        <w:numPr>
          <w:ilvl w:val="0"/>
          <w:numId w:val="2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4F6C2D36" w14:textId="77777777" w:rsidR="009F5B73" w:rsidRDefault="009F5B73" w:rsidP="000617B1">
      <w:pPr>
        <w:numPr>
          <w:ilvl w:val="0"/>
          <w:numId w:val="24"/>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Age-standardised rate per 100 000 </w:t>
      </w:r>
      <w:proofErr w:type="gramStart"/>
      <w:r>
        <w:rPr>
          <w:rFonts w:eastAsia="Arial Unicode MS" w:cs="Tahoma"/>
          <w:kern w:val="22"/>
          <w:szCs w:val="18"/>
        </w:rPr>
        <w:t>population;;</w:t>
      </w:r>
      <w:proofErr w:type="gramEnd"/>
    </w:p>
    <w:p w14:paraId="040F5985" w14:textId="77777777" w:rsidR="009F5B73" w:rsidRPr="007B34B1" w:rsidRDefault="009F5B73" w:rsidP="000617B1">
      <w:pPr>
        <w:numPr>
          <w:ilvl w:val="0"/>
          <w:numId w:val="2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hospitalised </w:t>
      </w:r>
      <w:proofErr w:type="gramStart"/>
      <w:r w:rsidRPr="007B34B1">
        <w:rPr>
          <w:rFonts w:eastAsia="Arial Unicode MS" w:cs="Tahoma"/>
          <w:kern w:val="22"/>
          <w:szCs w:val="18"/>
        </w:rPr>
        <w:t>cases;</w:t>
      </w:r>
      <w:proofErr w:type="gramEnd"/>
    </w:p>
    <w:p w14:paraId="5BEA022E" w14:textId="77777777" w:rsidR="009F5B73" w:rsidRPr="00C31313" w:rsidRDefault="009F5B73" w:rsidP="000617B1">
      <w:pPr>
        <w:numPr>
          <w:ilvl w:val="0"/>
          <w:numId w:val="2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Proportion of hospitalised cases </w:t>
      </w:r>
      <w:r>
        <w:rPr>
          <w:rFonts w:eastAsia="Arial Unicode MS" w:cs="Tahoma"/>
          <w:kern w:val="22"/>
          <w:szCs w:val="18"/>
        </w:rPr>
        <w:t>among</w:t>
      </w:r>
      <w:r w:rsidRPr="007B34B1">
        <w:rPr>
          <w:rFonts w:eastAsia="Arial Unicode MS" w:cs="Tahoma"/>
          <w:kern w:val="22"/>
          <w:szCs w:val="18"/>
        </w:rPr>
        <w:t xml:space="preserve"> </w:t>
      </w:r>
      <w:r>
        <w:rPr>
          <w:rFonts w:eastAsia="Arial Unicode MS" w:cs="Tahoma"/>
          <w:kern w:val="22"/>
          <w:szCs w:val="18"/>
        </w:rPr>
        <w:t xml:space="preserve">confirmed </w:t>
      </w:r>
      <w:r w:rsidRPr="007B34B1">
        <w:rPr>
          <w:rFonts w:eastAsia="Arial Unicode MS" w:cs="Tahoma"/>
          <w:kern w:val="22"/>
          <w:szCs w:val="18"/>
        </w:rPr>
        <w:t xml:space="preserve">cases </w:t>
      </w:r>
      <w:r w:rsidRPr="002F58C3">
        <w:rPr>
          <w:rFonts w:eastAsia="Arial Unicode MS" w:cs="Tahoma"/>
          <w:kern w:val="22"/>
          <w:szCs w:val="18"/>
        </w:rPr>
        <w:t>with known history of hospitalisation</w:t>
      </w:r>
      <w:r w:rsidRPr="007B34B1">
        <w:rPr>
          <w:rFonts w:eastAsia="Arial Unicode MS" w:cs="Tahoma"/>
          <w:kern w:val="22"/>
          <w:szCs w:val="18"/>
        </w:rPr>
        <w:t xml:space="preserve"> (%</w:t>
      </w:r>
      <w:proofErr w:type="gramStart"/>
      <w:r w:rsidRPr="007B34B1">
        <w:rPr>
          <w:rFonts w:eastAsia="Arial Unicode MS" w:cs="Tahoma"/>
          <w:kern w:val="22"/>
          <w:szCs w:val="18"/>
        </w:rPr>
        <w:t>);</w:t>
      </w:r>
      <w:proofErr w:type="gramEnd"/>
    </w:p>
    <w:p w14:paraId="3B6287C3" w14:textId="77777777" w:rsidR="009F5B73" w:rsidRPr="007B34B1" w:rsidRDefault="009F5B73" w:rsidP="000617B1">
      <w:pPr>
        <w:numPr>
          <w:ilvl w:val="0"/>
          <w:numId w:val="2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4DFF10A4" w14:textId="77777777" w:rsidR="009F5B73" w:rsidRPr="007B34B1" w:rsidRDefault="009F5B73" w:rsidP="000617B1">
      <w:pPr>
        <w:numPr>
          <w:ilvl w:val="0"/>
          <w:numId w:val="24"/>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Case fatality calculated as proportion of deaths among confirmed cases with known disease</w:t>
      </w:r>
      <w:r w:rsidDel="000F26ED">
        <w:rPr>
          <w:rFonts w:eastAsia="Arial Unicode MS" w:cs="Tahoma"/>
          <w:kern w:val="22"/>
          <w:szCs w:val="18"/>
        </w:rPr>
        <w:t xml:space="preserv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4D2E4463" w14:textId="77777777" w:rsidR="009F5B73" w:rsidRPr="007B34B1" w:rsidRDefault="009F5B73" w:rsidP="000617B1">
      <w:pPr>
        <w:numPr>
          <w:ilvl w:val="0"/>
          <w:numId w:val="24"/>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for domestic cases per 100 000 </w:t>
      </w:r>
      <w:proofErr w:type="gramStart"/>
      <w:r w:rsidRPr="007B34B1">
        <w:rPr>
          <w:rFonts w:eastAsia="Arial Unicode MS" w:cs="Tahoma"/>
          <w:kern w:val="22"/>
          <w:szCs w:val="18"/>
        </w:rPr>
        <w:t>population;</w:t>
      </w:r>
      <w:proofErr w:type="gramEnd"/>
    </w:p>
    <w:p w14:paraId="03025785" w14:textId="77777777" w:rsidR="009F5B73" w:rsidRDefault="009F5B73" w:rsidP="000617B1">
      <w:pPr>
        <w:numPr>
          <w:ilvl w:val="0"/>
          <w:numId w:val="24"/>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Proportion of travel-associated</w:t>
      </w:r>
      <w:r w:rsidRPr="007B34B1">
        <w:rPr>
          <w:rFonts w:eastAsia="Arial Unicode MS" w:cs="Tahoma"/>
          <w:kern w:val="22"/>
          <w:szCs w:val="18"/>
        </w:rPr>
        <w:t xml:space="preserve"> cases </w:t>
      </w:r>
      <w:r>
        <w:rPr>
          <w:rFonts w:eastAsia="Arial Unicode MS" w:cs="Tahoma"/>
          <w:kern w:val="22"/>
          <w:szCs w:val="18"/>
        </w:rPr>
        <w:t>among confirmed cases with known travel history outside the reporting country (%</w:t>
      </w:r>
      <w:proofErr w:type="gramStart"/>
      <w:r>
        <w:rPr>
          <w:rFonts w:eastAsia="Arial Unicode MS" w:cs="Tahoma"/>
          <w:kern w:val="22"/>
          <w:szCs w:val="18"/>
        </w:rPr>
        <w:t>)</w:t>
      </w:r>
      <w:r w:rsidRPr="007B34B1">
        <w:rPr>
          <w:rFonts w:eastAsia="Arial Unicode MS" w:cs="Tahoma"/>
          <w:kern w:val="22"/>
          <w:szCs w:val="18"/>
        </w:rPr>
        <w:t>;</w:t>
      </w:r>
      <w:proofErr w:type="gramEnd"/>
    </w:p>
    <w:p w14:paraId="0BE43CB9" w14:textId="77777777" w:rsidR="009F5B73" w:rsidRDefault="009F5B73" w:rsidP="009F5B73">
      <w:pPr>
        <w:kinsoku w:val="0"/>
        <w:autoSpaceDE w:val="0"/>
        <w:autoSpaceDN w:val="0"/>
        <w:adjustRightInd w:val="0"/>
        <w:spacing w:line="200" w:lineRule="atLeast"/>
        <w:ind w:left="720"/>
        <w:rPr>
          <w:rFonts w:eastAsia="Arial Unicode MS" w:cs="Tahoma"/>
          <w:kern w:val="22"/>
          <w:szCs w:val="18"/>
        </w:rPr>
      </w:pPr>
    </w:p>
    <w:p w14:paraId="4DFA298D" w14:textId="138025BD" w:rsidR="009F5B73" w:rsidRPr="00A11BA9" w:rsidRDefault="00A11BA9" w:rsidP="000617B1">
      <w:pPr>
        <w:pStyle w:val="ListParagraph"/>
        <w:numPr>
          <w:ilvl w:val="0"/>
          <w:numId w:val="40"/>
        </w:numPr>
        <w:kinsoku w:val="0"/>
        <w:autoSpaceDE w:val="0"/>
        <w:autoSpaceDN w:val="0"/>
        <w:adjustRightInd w:val="0"/>
        <w:spacing w:line="200" w:lineRule="atLeast"/>
        <w:rPr>
          <w:rFonts w:eastAsia="Arial Unicode MS" w:cs="Tahoma"/>
          <w:kern w:val="22"/>
          <w:szCs w:val="18"/>
        </w:rPr>
      </w:pPr>
      <w:r w:rsidRPr="00A11BA9">
        <w:rPr>
          <w:rFonts w:eastAsia="Arial Unicode MS" w:cs="Tahoma"/>
          <w:kern w:val="22"/>
          <w:szCs w:val="18"/>
          <w:u w:val="single"/>
        </w:rPr>
        <w:t xml:space="preserve">Indicators </w:t>
      </w:r>
      <w:r w:rsidR="009F5B73" w:rsidRPr="00A11BA9">
        <w:rPr>
          <w:rFonts w:eastAsia="Arial Unicode MS" w:cs="Tahoma"/>
          <w:kern w:val="22"/>
          <w:szCs w:val="18"/>
          <w:u w:val="single"/>
        </w:rPr>
        <w:t xml:space="preserve">for confirmed cases </w:t>
      </w:r>
      <w:r w:rsidR="00205026">
        <w:rPr>
          <w:rFonts w:eastAsia="Arial Unicode MS" w:cs="Tahoma"/>
          <w:kern w:val="22"/>
          <w:szCs w:val="18"/>
          <w:u w:val="single"/>
        </w:rPr>
        <w:t>of</w:t>
      </w:r>
      <w:r w:rsidR="009F5B73" w:rsidRPr="00A11BA9">
        <w:rPr>
          <w:rFonts w:eastAsia="Arial Unicode MS" w:cs="Tahoma"/>
          <w:kern w:val="22"/>
          <w:szCs w:val="18"/>
          <w:u w:val="single"/>
        </w:rPr>
        <w:t xml:space="preserve"> </w:t>
      </w:r>
      <w:r w:rsidR="009F5B73" w:rsidRPr="00A11BA9">
        <w:rPr>
          <w:rFonts w:eastAsia="Arial Unicode MS" w:cs="Tahoma"/>
          <w:i/>
          <w:kern w:val="22"/>
          <w:szCs w:val="18"/>
          <w:u w:val="single"/>
        </w:rPr>
        <w:t>Y. enterocolitica</w:t>
      </w:r>
      <w:r w:rsidRPr="00A11BA9">
        <w:rPr>
          <w:rFonts w:eastAsia="Arial Unicode MS" w:cs="Tahoma"/>
          <w:i/>
          <w:kern w:val="22"/>
          <w:szCs w:val="18"/>
          <w:u w:val="single"/>
        </w:rPr>
        <w:t xml:space="preserve"> </w:t>
      </w:r>
      <w:r w:rsidRPr="00A11BA9">
        <w:rPr>
          <w:rFonts w:eastAsia="Arial Unicode MS" w:cs="Tahoma"/>
          <w:iCs/>
          <w:kern w:val="22"/>
          <w:szCs w:val="18"/>
        </w:rPr>
        <w:t>are</w:t>
      </w:r>
      <w:r w:rsidR="009F5B73" w:rsidRPr="00A11BA9">
        <w:rPr>
          <w:rFonts w:eastAsia="Arial Unicode MS" w:cs="Tahoma"/>
          <w:kern w:val="22"/>
          <w:szCs w:val="18"/>
          <w:u w:val="single"/>
        </w:rPr>
        <w:t xml:space="preserve">: </w:t>
      </w:r>
    </w:p>
    <w:p w14:paraId="0097CFA7" w14:textId="77777777" w:rsidR="009F5B73" w:rsidRPr="007B34B1" w:rsidRDefault="009F5B73" w:rsidP="000617B1">
      <w:pPr>
        <w:numPr>
          <w:ilvl w:val="0"/>
          <w:numId w:val="2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5B05E14E" w14:textId="77777777" w:rsidR="009F5B73" w:rsidRDefault="009F5B73" w:rsidP="000617B1">
      <w:pPr>
        <w:numPr>
          <w:ilvl w:val="0"/>
          <w:numId w:val="2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0BA14A8D" w14:textId="77777777" w:rsidR="009F5B73" w:rsidRPr="007B34B1" w:rsidRDefault="009F5B73" w:rsidP="000617B1">
      <w:pPr>
        <w:numPr>
          <w:ilvl w:val="0"/>
          <w:numId w:val="25"/>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45B5C0AA" w14:textId="77777777" w:rsidR="009F5B73" w:rsidRPr="007B34B1" w:rsidRDefault="009F5B73" w:rsidP="000617B1">
      <w:pPr>
        <w:numPr>
          <w:ilvl w:val="0"/>
          <w:numId w:val="25"/>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Case fatality calculated as proportion of deaths among confirmed cases with known disease</w:t>
      </w:r>
      <w:r w:rsidDel="000F26ED">
        <w:rPr>
          <w:rFonts w:eastAsia="Arial Unicode MS" w:cs="Tahoma"/>
          <w:kern w:val="22"/>
          <w:szCs w:val="18"/>
        </w:rPr>
        <w:t xml:space="preserve"> </w:t>
      </w:r>
      <w:r>
        <w:rPr>
          <w:rFonts w:eastAsia="Arial Unicode MS" w:cs="Tahoma"/>
          <w:kern w:val="22"/>
          <w:szCs w:val="18"/>
        </w:rPr>
        <w:t xml:space="preserve">outcome </w:t>
      </w:r>
      <w:r w:rsidRPr="007B34B1">
        <w:rPr>
          <w:rFonts w:eastAsia="Arial Unicode MS" w:cs="Tahoma"/>
          <w:kern w:val="22"/>
          <w:szCs w:val="18"/>
        </w:rPr>
        <w:t>(%</w:t>
      </w:r>
      <w:proofErr w:type="gramStart"/>
      <w:r w:rsidRPr="007B34B1">
        <w:rPr>
          <w:rFonts w:eastAsia="Arial Unicode MS" w:cs="Tahoma"/>
          <w:kern w:val="22"/>
          <w:szCs w:val="18"/>
        </w:rPr>
        <w:t>);</w:t>
      </w:r>
      <w:proofErr w:type="gramEnd"/>
    </w:p>
    <w:p w14:paraId="68AD117F" w14:textId="77777777" w:rsidR="009F5B73" w:rsidRDefault="009F5B73" w:rsidP="009F5B73">
      <w:pPr>
        <w:kinsoku w:val="0"/>
        <w:autoSpaceDE w:val="0"/>
        <w:autoSpaceDN w:val="0"/>
        <w:adjustRightInd w:val="0"/>
        <w:spacing w:line="200" w:lineRule="atLeast"/>
        <w:rPr>
          <w:rFonts w:eastAsia="Arial Unicode MS" w:cs="Tahoma"/>
          <w:kern w:val="22"/>
          <w:szCs w:val="18"/>
        </w:rPr>
      </w:pPr>
    </w:p>
    <w:p w14:paraId="528529E0" w14:textId="2E2A61B7" w:rsidR="009F5B73" w:rsidRPr="00A11BA9" w:rsidRDefault="00A11BA9" w:rsidP="000617B1">
      <w:pPr>
        <w:pStyle w:val="ListParagraph"/>
        <w:numPr>
          <w:ilvl w:val="0"/>
          <w:numId w:val="40"/>
        </w:numPr>
        <w:kinsoku w:val="0"/>
        <w:autoSpaceDE w:val="0"/>
        <w:autoSpaceDN w:val="0"/>
        <w:adjustRightInd w:val="0"/>
        <w:spacing w:line="200" w:lineRule="atLeast"/>
        <w:rPr>
          <w:rFonts w:eastAsia="Arial Unicode MS" w:cs="Tahoma"/>
          <w:kern w:val="22"/>
          <w:szCs w:val="18"/>
        </w:rPr>
      </w:pPr>
      <w:r w:rsidRPr="00A11BA9">
        <w:rPr>
          <w:rFonts w:eastAsia="Arial Unicode MS" w:cs="Tahoma"/>
          <w:kern w:val="22"/>
          <w:szCs w:val="18"/>
          <w:u w:val="single"/>
        </w:rPr>
        <w:t xml:space="preserve">Indicators </w:t>
      </w:r>
      <w:r w:rsidR="009F5B73" w:rsidRPr="00A11BA9">
        <w:rPr>
          <w:rFonts w:eastAsia="Arial Unicode MS" w:cs="Tahoma"/>
          <w:kern w:val="22"/>
          <w:szCs w:val="18"/>
          <w:u w:val="single"/>
        </w:rPr>
        <w:t xml:space="preserve">for confirmed cases </w:t>
      </w:r>
      <w:r w:rsidR="00205026">
        <w:rPr>
          <w:rFonts w:eastAsia="Arial Unicode MS" w:cs="Tahoma"/>
          <w:kern w:val="22"/>
          <w:szCs w:val="18"/>
          <w:u w:val="single"/>
        </w:rPr>
        <w:t>of</w:t>
      </w:r>
      <w:r w:rsidR="009F5B73" w:rsidRPr="00A11BA9">
        <w:rPr>
          <w:rFonts w:eastAsia="Arial Unicode MS" w:cs="Tahoma"/>
          <w:kern w:val="22"/>
          <w:szCs w:val="18"/>
          <w:u w:val="single"/>
        </w:rPr>
        <w:t xml:space="preserve"> </w:t>
      </w:r>
      <w:r w:rsidR="009F5B73" w:rsidRPr="00A11BA9">
        <w:rPr>
          <w:rFonts w:eastAsia="Arial Unicode MS" w:cs="Tahoma"/>
          <w:i/>
          <w:kern w:val="22"/>
          <w:szCs w:val="18"/>
          <w:u w:val="single"/>
        </w:rPr>
        <w:t>Y. pseudotuberculosis</w:t>
      </w:r>
      <w:r w:rsidRPr="00A11BA9">
        <w:rPr>
          <w:rFonts w:eastAsia="Arial Unicode MS" w:cs="Tahoma"/>
          <w:kern w:val="22"/>
          <w:szCs w:val="18"/>
          <w:u w:val="single"/>
        </w:rPr>
        <w:t xml:space="preserve"> are:</w:t>
      </w:r>
    </w:p>
    <w:p w14:paraId="0FA05FEA" w14:textId="77777777" w:rsidR="009F5B73" w:rsidRPr="007B34B1" w:rsidRDefault="009F5B73" w:rsidP="000617B1">
      <w:pPr>
        <w:numPr>
          <w:ilvl w:val="0"/>
          <w:numId w:val="26"/>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reported </w:t>
      </w:r>
      <w:proofErr w:type="gramStart"/>
      <w:r w:rsidRPr="007B34B1">
        <w:rPr>
          <w:rFonts w:eastAsia="Arial Unicode MS" w:cs="Tahoma"/>
          <w:kern w:val="22"/>
          <w:szCs w:val="18"/>
        </w:rPr>
        <w:t>cases;</w:t>
      </w:r>
      <w:proofErr w:type="gramEnd"/>
    </w:p>
    <w:p w14:paraId="168C4F47" w14:textId="77777777" w:rsidR="009F5B73" w:rsidRDefault="009F5B73" w:rsidP="000617B1">
      <w:pPr>
        <w:numPr>
          <w:ilvl w:val="0"/>
          <w:numId w:val="26"/>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Notification rate per 100 000 </w:t>
      </w:r>
      <w:proofErr w:type="gramStart"/>
      <w:r w:rsidRPr="007B34B1">
        <w:rPr>
          <w:rFonts w:eastAsia="Arial Unicode MS" w:cs="Tahoma"/>
          <w:kern w:val="22"/>
          <w:szCs w:val="18"/>
        </w:rPr>
        <w:t>population;</w:t>
      </w:r>
      <w:proofErr w:type="gramEnd"/>
    </w:p>
    <w:p w14:paraId="1FCA2445" w14:textId="77777777" w:rsidR="009F5B73" w:rsidRPr="007B34B1" w:rsidRDefault="009F5B73" w:rsidP="000617B1">
      <w:pPr>
        <w:numPr>
          <w:ilvl w:val="0"/>
          <w:numId w:val="26"/>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 xml:space="preserve">Number of deaths derived from reporting of disease </w:t>
      </w:r>
      <w:proofErr w:type="gramStart"/>
      <w:r w:rsidRPr="007B34B1">
        <w:rPr>
          <w:rFonts w:eastAsia="Arial Unicode MS" w:cs="Tahoma"/>
          <w:kern w:val="22"/>
          <w:szCs w:val="18"/>
        </w:rPr>
        <w:t>outcome;</w:t>
      </w:r>
      <w:proofErr w:type="gramEnd"/>
    </w:p>
    <w:p w14:paraId="28DE3DDD" w14:textId="77777777" w:rsidR="009F5B73" w:rsidRPr="00E76712" w:rsidRDefault="009F5B73" w:rsidP="000617B1">
      <w:pPr>
        <w:numPr>
          <w:ilvl w:val="0"/>
          <w:numId w:val="26"/>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Case fatality calculated as proportion of deaths among confirmed cases with known disease</w:t>
      </w:r>
      <w:r w:rsidDel="000F26ED">
        <w:rPr>
          <w:rFonts w:eastAsia="Arial Unicode MS" w:cs="Tahoma"/>
          <w:kern w:val="22"/>
          <w:szCs w:val="18"/>
        </w:rPr>
        <w:t xml:space="preserve"> </w:t>
      </w:r>
      <w:r>
        <w:rPr>
          <w:rFonts w:eastAsia="Arial Unicode MS" w:cs="Tahoma"/>
          <w:kern w:val="22"/>
          <w:szCs w:val="18"/>
        </w:rPr>
        <w:t>outcome (%</w:t>
      </w:r>
      <w:proofErr w:type="gramStart"/>
      <w:r>
        <w:rPr>
          <w:rFonts w:eastAsia="Arial Unicode MS" w:cs="Tahoma"/>
          <w:kern w:val="22"/>
          <w:szCs w:val="18"/>
        </w:rPr>
        <w:t>);</w:t>
      </w:r>
      <w:proofErr w:type="gramEnd"/>
    </w:p>
    <w:p w14:paraId="70F8161B" w14:textId="77777777" w:rsidR="009F5B73" w:rsidRDefault="009F5B73" w:rsidP="009F5B73">
      <w:pPr>
        <w:kinsoku w:val="0"/>
        <w:autoSpaceDE w:val="0"/>
        <w:autoSpaceDN w:val="0"/>
        <w:adjustRightInd w:val="0"/>
        <w:spacing w:line="200" w:lineRule="atLeast"/>
        <w:rPr>
          <w:rFonts w:eastAsia="Arial Unicode MS" w:cs="Tahoma"/>
          <w:kern w:val="22"/>
          <w:szCs w:val="18"/>
        </w:rPr>
      </w:pPr>
    </w:p>
    <w:p w14:paraId="3D8C6126" w14:textId="77777777" w:rsidR="009F5B73" w:rsidRPr="007B34B1" w:rsidRDefault="009F5B73" w:rsidP="009F5B7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sidRPr="00E8283A">
        <w:rPr>
          <w:rFonts w:eastAsia="Arial Unicode MS" w:cs="Tahoma"/>
          <w:kern w:val="22"/>
          <w:szCs w:val="18"/>
          <w:u w:val="single"/>
        </w:rPr>
        <w:t>notification rate</w:t>
      </w:r>
      <w:r>
        <w:rPr>
          <w:rFonts w:eastAsia="Arial Unicode MS" w:cs="Tahoma"/>
          <w:kern w:val="22"/>
          <w:szCs w:val="18"/>
          <w:u w:val="single"/>
        </w:rPr>
        <w:t xml:space="preserve"> indicators</w:t>
      </w:r>
      <w:r>
        <w:rPr>
          <w:rFonts w:eastAsia="Arial Unicode MS" w:cs="Tahoma"/>
          <w:kern w:val="22"/>
          <w:szCs w:val="18"/>
        </w:rPr>
        <w:t>, the data may be</w:t>
      </w:r>
      <w:r w:rsidRPr="007B34B1">
        <w:rPr>
          <w:rFonts w:eastAsia="Arial Unicode MS" w:cs="Tahoma"/>
          <w:kern w:val="22"/>
          <w:szCs w:val="18"/>
        </w:rPr>
        <w:t xml:space="preserve"> displaye</w:t>
      </w:r>
      <w:r>
        <w:rPr>
          <w:rFonts w:eastAsia="Arial Unicode MS" w:cs="Tahoma"/>
          <w:kern w:val="22"/>
          <w:szCs w:val="18"/>
        </w:rPr>
        <w:t>d in a bar chart as</w:t>
      </w:r>
      <w:r w:rsidRPr="007B34B1">
        <w:rPr>
          <w:rFonts w:eastAsia="Arial Unicode MS" w:cs="Tahoma"/>
          <w:kern w:val="22"/>
          <w:szCs w:val="18"/>
        </w:rPr>
        <w:t xml:space="preserve">:  </w:t>
      </w:r>
    </w:p>
    <w:p w14:paraId="4D77B35D" w14:textId="77777777" w:rsidR="009F5B73" w:rsidRPr="007B34B1" w:rsidRDefault="009F5B73" w:rsidP="00A229CE">
      <w:pPr>
        <w:numPr>
          <w:ilvl w:val="0"/>
          <w:numId w:val="1"/>
        </w:num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Age</w:t>
      </w:r>
      <w:r>
        <w:rPr>
          <w:rFonts w:eastAsia="Arial Unicode MS" w:cs="Tahoma"/>
          <w:kern w:val="22"/>
          <w:szCs w:val="18"/>
        </w:rPr>
        <w:t xml:space="preserve">-specific notification rate </w:t>
      </w:r>
      <w:r w:rsidRPr="007B34B1">
        <w:rPr>
          <w:rFonts w:eastAsia="Arial Unicode MS" w:cs="Tahoma"/>
          <w:kern w:val="22"/>
          <w:szCs w:val="18"/>
        </w:rPr>
        <w:t>(</w:t>
      </w:r>
      <w:r>
        <w:rPr>
          <w:rFonts w:eastAsia="Arial Unicode MS" w:cs="Tahoma"/>
          <w:kern w:val="22"/>
          <w:szCs w:val="18"/>
        </w:rPr>
        <w:t xml:space="preserve">for age groups </w:t>
      </w:r>
      <w:r w:rsidRPr="007B34B1">
        <w:rPr>
          <w:rFonts w:eastAsia="Arial Unicode MS" w:cs="Tahoma"/>
          <w:kern w:val="22"/>
          <w:szCs w:val="18"/>
        </w:rPr>
        <w:t>0-4, 5-14, 15-24, 25-44, 45-64, 65 years and above</w:t>
      </w:r>
      <w:proofErr w:type="gramStart"/>
      <w:r w:rsidRPr="007B34B1">
        <w:rPr>
          <w:rFonts w:eastAsia="Arial Unicode MS" w:cs="Tahoma"/>
          <w:kern w:val="22"/>
          <w:szCs w:val="18"/>
        </w:rPr>
        <w:t>);</w:t>
      </w:r>
      <w:proofErr w:type="gramEnd"/>
    </w:p>
    <w:p w14:paraId="0428D859" w14:textId="77777777" w:rsidR="009F5B73" w:rsidRPr="007B34B1" w:rsidRDefault="009F5B7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G</w:t>
      </w:r>
      <w:r w:rsidRPr="007B34B1">
        <w:rPr>
          <w:rFonts w:eastAsia="Arial Unicode MS" w:cs="Tahoma"/>
          <w:kern w:val="22"/>
          <w:szCs w:val="18"/>
        </w:rPr>
        <w:t>ender</w:t>
      </w:r>
      <w:r>
        <w:rPr>
          <w:rFonts w:eastAsia="Arial Unicode MS" w:cs="Tahoma"/>
          <w:kern w:val="22"/>
          <w:szCs w:val="18"/>
        </w:rPr>
        <w:t xml:space="preserve">-specific notification </w:t>
      </w:r>
      <w:proofErr w:type="gramStart"/>
      <w:r>
        <w:rPr>
          <w:rFonts w:eastAsia="Arial Unicode MS" w:cs="Tahoma"/>
          <w:kern w:val="22"/>
          <w:szCs w:val="18"/>
        </w:rPr>
        <w:t>rate</w:t>
      </w:r>
      <w:r w:rsidRPr="007B34B1">
        <w:rPr>
          <w:rFonts w:eastAsia="Arial Unicode MS" w:cs="Tahoma"/>
          <w:kern w:val="22"/>
          <w:szCs w:val="18"/>
        </w:rPr>
        <w:t>;</w:t>
      </w:r>
      <w:proofErr w:type="gramEnd"/>
    </w:p>
    <w:p w14:paraId="2E006E7A" w14:textId="77777777" w:rsidR="009F5B73" w:rsidRDefault="009F5B73" w:rsidP="009F5B73">
      <w:pPr>
        <w:kinsoku w:val="0"/>
        <w:autoSpaceDE w:val="0"/>
        <w:autoSpaceDN w:val="0"/>
        <w:adjustRightInd w:val="0"/>
        <w:spacing w:line="200" w:lineRule="atLeast"/>
        <w:rPr>
          <w:rFonts w:eastAsia="Arial Unicode MS" w:cs="Tahoma"/>
          <w:kern w:val="22"/>
          <w:szCs w:val="18"/>
        </w:rPr>
      </w:pPr>
    </w:p>
    <w:p w14:paraId="619B153C" w14:textId="77777777" w:rsidR="009F5B73" w:rsidRPr="007B34B1" w:rsidRDefault="009F5B73" w:rsidP="009F5B73">
      <w:pPr>
        <w:kinsoku w:val="0"/>
        <w:autoSpaceDE w:val="0"/>
        <w:autoSpaceDN w:val="0"/>
        <w:adjustRightInd w:val="0"/>
        <w:spacing w:line="200" w:lineRule="atLeast"/>
        <w:rPr>
          <w:rFonts w:eastAsia="Arial Unicode MS" w:cs="Tahoma"/>
          <w:kern w:val="22"/>
          <w:szCs w:val="18"/>
        </w:rPr>
      </w:pPr>
      <w:r w:rsidRPr="007B34B1">
        <w:rPr>
          <w:rFonts w:eastAsia="Arial Unicode MS" w:cs="Tahoma"/>
          <w:kern w:val="22"/>
          <w:szCs w:val="18"/>
        </w:rPr>
        <w:t>F</w:t>
      </w:r>
      <w:r>
        <w:rPr>
          <w:rFonts w:eastAsia="Arial Unicode MS" w:cs="Tahoma"/>
          <w:kern w:val="22"/>
          <w:szCs w:val="18"/>
        </w:rPr>
        <w:t xml:space="preserve">or </w:t>
      </w:r>
      <w:r>
        <w:rPr>
          <w:rFonts w:eastAsia="Arial Unicode MS" w:cs="Tahoma"/>
          <w:kern w:val="22"/>
          <w:szCs w:val="18"/>
          <w:u w:val="single"/>
        </w:rPr>
        <w:t>other indicators</w:t>
      </w:r>
      <w:r>
        <w:rPr>
          <w:rFonts w:eastAsia="Arial Unicode MS" w:cs="Tahoma"/>
          <w:kern w:val="22"/>
          <w:szCs w:val="18"/>
        </w:rPr>
        <w:t>, the data may be</w:t>
      </w:r>
      <w:r w:rsidRPr="007B34B1">
        <w:rPr>
          <w:rFonts w:eastAsia="Arial Unicode MS" w:cs="Tahoma"/>
          <w:kern w:val="22"/>
          <w:szCs w:val="18"/>
        </w:rPr>
        <w:t xml:space="preserve"> displayed in a bar chart or a pie chart by</w:t>
      </w:r>
      <w:r>
        <w:rPr>
          <w:rFonts w:eastAsia="Arial Unicode MS" w:cs="Tahoma"/>
          <w:kern w:val="22"/>
          <w:szCs w:val="18"/>
        </w:rPr>
        <w:t xml:space="preserve"> proportion of</w:t>
      </w:r>
      <w:r w:rsidRPr="007B34B1">
        <w:rPr>
          <w:rFonts w:eastAsia="Arial Unicode MS" w:cs="Tahoma"/>
          <w:kern w:val="22"/>
          <w:szCs w:val="18"/>
        </w:rPr>
        <w:t xml:space="preserve">:  </w:t>
      </w:r>
    </w:p>
    <w:p w14:paraId="158A939D" w14:textId="77777777" w:rsidR="009F5B73" w:rsidRPr="007B34B1" w:rsidRDefault="009F5B7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A</w:t>
      </w:r>
      <w:r w:rsidRPr="007B34B1">
        <w:rPr>
          <w:rFonts w:eastAsia="Arial Unicode MS" w:cs="Tahoma"/>
          <w:kern w:val="22"/>
          <w:szCs w:val="18"/>
        </w:rPr>
        <w:t>ge groups (0-4, 5-14, 15-24, 25-44, 45-64, 65 years and above</w:t>
      </w:r>
      <w:proofErr w:type="gramStart"/>
      <w:r w:rsidRPr="007B34B1">
        <w:rPr>
          <w:rFonts w:eastAsia="Arial Unicode MS" w:cs="Tahoma"/>
          <w:kern w:val="22"/>
          <w:szCs w:val="18"/>
        </w:rPr>
        <w:t>);</w:t>
      </w:r>
      <w:proofErr w:type="gramEnd"/>
    </w:p>
    <w:p w14:paraId="004DA855" w14:textId="77777777" w:rsidR="009F5B73" w:rsidRDefault="009F5B73" w:rsidP="00A229CE">
      <w:pPr>
        <w:numPr>
          <w:ilvl w:val="0"/>
          <w:numId w:val="1"/>
        </w:numPr>
        <w:kinsoku w:val="0"/>
        <w:autoSpaceDE w:val="0"/>
        <w:autoSpaceDN w:val="0"/>
        <w:adjustRightInd w:val="0"/>
        <w:spacing w:line="200" w:lineRule="atLeast"/>
        <w:rPr>
          <w:rFonts w:eastAsia="Arial Unicode MS" w:cs="Tahoma"/>
          <w:kern w:val="22"/>
          <w:szCs w:val="18"/>
        </w:rPr>
      </w:pPr>
      <w:proofErr w:type="gramStart"/>
      <w:r>
        <w:rPr>
          <w:rFonts w:eastAsia="Arial Unicode MS" w:cs="Tahoma"/>
          <w:kern w:val="22"/>
          <w:szCs w:val="18"/>
        </w:rPr>
        <w:t>G</w:t>
      </w:r>
      <w:r w:rsidRPr="007B34B1">
        <w:rPr>
          <w:rFonts w:eastAsia="Arial Unicode MS" w:cs="Tahoma"/>
          <w:kern w:val="22"/>
          <w:szCs w:val="18"/>
        </w:rPr>
        <w:t>ender;</w:t>
      </w:r>
      <w:proofErr w:type="gramEnd"/>
    </w:p>
    <w:p w14:paraId="3E3F847E" w14:textId="77777777" w:rsidR="009F5B73" w:rsidRDefault="009F5B7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 xml:space="preserve">Pathogen </w:t>
      </w:r>
      <w:proofErr w:type="gramStart"/>
      <w:r>
        <w:rPr>
          <w:rFonts w:eastAsia="Arial Unicode MS" w:cs="Tahoma"/>
          <w:kern w:val="22"/>
          <w:szCs w:val="18"/>
        </w:rPr>
        <w:t>species;</w:t>
      </w:r>
      <w:proofErr w:type="gramEnd"/>
    </w:p>
    <w:p w14:paraId="25CAB7C8" w14:textId="77777777" w:rsidR="009F5B73" w:rsidRDefault="009F5B73" w:rsidP="009F5B73">
      <w:pPr>
        <w:kinsoku w:val="0"/>
        <w:autoSpaceDE w:val="0"/>
        <w:autoSpaceDN w:val="0"/>
        <w:adjustRightInd w:val="0"/>
        <w:spacing w:line="200" w:lineRule="atLeast"/>
        <w:ind w:left="720"/>
        <w:rPr>
          <w:rFonts w:eastAsia="Arial Unicode MS" w:cs="Tahoma"/>
          <w:kern w:val="22"/>
          <w:szCs w:val="18"/>
        </w:rPr>
      </w:pPr>
    </w:p>
    <w:p w14:paraId="6CF94BFF" w14:textId="77777777" w:rsidR="009F5B73" w:rsidRDefault="009F5B73" w:rsidP="009F5B73">
      <w:p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In addition, for</w:t>
      </w:r>
      <w:r>
        <w:rPr>
          <w:rFonts w:eastAsia="Arial Unicode MS" w:cs="Tahoma"/>
          <w:kern w:val="22"/>
          <w:szCs w:val="18"/>
          <w:u w:val="single"/>
        </w:rPr>
        <w:t xml:space="preserve"> </w:t>
      </w:r>
      <w:r>
        <w:rPr>
          <w:rFonts w:eastAsia="Arial Unicode MS" w:cs="Tahoma"/>
          <w:i/>
          <w:kern w:val="22"/>
          <w:szCs w:val="18"/>
          <w:u w:val="single"/>
        </w:rPr>
        <w:t>Y</w:t>
      </w:r>
      <w:r w:rsidRPr="00C31313">
        <w:rPr>
          <w:rFonts w:eastAsia="Arial Unicode MS" w:cs="Tahoma"/>
          <w:i/>
          <w:kern w:val="22"/>
          <w:szCs w:val="18"/>
          <w:u w:val="single"/>
        </w:rPr>
        <w:t xml:space="preserve">. </w:t>
      </w:r>
      <w:r>
        <w:rPr>
          <w:rFonts w:eastAsia="Arial Unicode MS" w:cs="Tahoma"/>
          <w:i/>
          <w:kern w:val="22"/>
          <w:szCs w:val="18"/>
          <w:u w:val="single"/>
        </w:rPr>
        <w:t>enterocolitica</w:t>
      </w:r>
      <w:r>
        <w:rPr>
          <w:rFonts w:eastAsia="Arial Unicode MS" w:cs="Tahoma"/>
          <w:kern w:val="22"/>
          <w:szCs w:val="18"/>
          <w:u w:val="single"/>
        </w:rPr>
        <w:t xml:space="preserve"> indicators,</w:t>
      </w:r>
      <w:r>
        <w:rPr>
          <w:rFonts w:eastAsia="Arial Unicode MS" w:cs="Tahoma"/>
          <w:kern w:val="22"/>
          <w:szCs w:val="18"/>
        </w:rPr>
        <w:t xml:space="preserve"> the data may be</w:t>
      </w:r>
      <w:r w:rsidRPr="007B34B1">
        <w:rPr>
          <w:rFonts w:eastAsia="Arial Unicode MS" w:cs="Tahoma"/>
          <w:kern w:val="22"/>
          <w:szCs w:val="18"/>
        </w:rPr>
        <w:t xml:space="preserve"> displaye</w:t>
      </w:r>
      <w:r>
        <w:rPr>
          <w:rFonts w:eastAsia="Arial Unicode MS" w:cs="Tahoma"/>
          <w:kern w:val="22"/>
          <w:szCs w:val="18"/>
        </w:rPr>
        <w:t>d in a bar chart or a pie chart by proportion of</w:t>
      </w:r>
      <w:r w:rsidRPr="007B34B1">
        <w:rPr>
          <w:rFonts w:eastAsia="Arial Unicode MS" w:cs="Tahoma"/>
          <w:kern w:val="22"/>
          <w:szCs w:val="18"/>
        </w:rPr>
        <w:t>:</w:t>
      </w:r>
    </w:p>
    <w:p w14:paraId="32E55565" w14:textId="09220530" w:rsidR="009F5B73" w:rsidRDefault="009F5B73" w:rsidP="00A229CE">
      <w:pPr>
        <w:numPr>
          <w:ilvl w:val="0"/>
          <w:numId w:val="1"/>
        </w:numPr>
        <w:kinsoku w:val="0"/>
        <w:autoSpaceDE w:val="0"/>
        <w:autoSpaceDN w:val="0"/>
        <w:adjustRightInd w:val="0"/>
        <w:spacing w:line="200" w:lineRule="atLeast"/>
        <w:rPr>
          <w:rFonts w:eastAsia="Arial Unicode MS" w:cs="Tahoma"/>
          <w:kern w:val="22"/>
          <w:szCs w:val="18"/>
        </w:rPr>
      </w:pPr>
      <w:r>
        <w:rPr>
          <w:rFonts w:eastAsia="Arial Unicode MS" w:cs="Tahoma"/>
          <w:kern w:val="22"/>
          <w:szCs w:val="18"/>
        </w:rPr>
        <w:t>Bio-serotype</w:t>
      </w:r>
      <w:r w:rsidR="00205026">
        <w:rPr>
          <w:rFonts w:eastAsia="Arial Unicode MS" w:cs="Tahoma"/>
          <w:kern w:val="22"/>
          <w:szCs w:val="18"/>
        </w:rPr>
        <w:t>.</w:t>
      </w:r>
    </w:p>
    <w:p w14:paraId="2309E2ED" w14:textId="77777777" w:rsidR="009F5B73" w:rsidRDefault="009F5B73" w:rsidP="009F5B73">
      <w:pPr>
        <w:kinsoku w:val="0"/>
        <w:autoSpaceDE w:val="0"/>
        <w:autoSpaceDN w:val="0"/>
        <w:adjustRightInd w:val="0"/>
        <w:spacing w:line="200" w:lineRule="atLeast"/>
        <w:ind w:left="720"/>
        <w:rPr>
          <w:rFonts w:eastAsia="Arial Unicode MS" w:cs="Tahoma"/>
          <w:kern w:val="22"/>
          <w:szCs w:val="18"/>
        </w:rPr>
      </w:pPr>
    </w:p>
    <w:p w14:paraId="4D5372C4" w14:textId="77777777" w:rsidR="009F5B73" w:rsidRDefault="009F5B73" w:rsidP="009F5B73">
      <w:pPr>
        <w:pStyle w:val="EC-Title-6"/>
        <w:outlineLvl w:val="9"/>
        <w:rPr>
          <w:rFonts w:eastAsia="Arial Unicode MS"/>
          <w:b w:val="0"/>
          <w:bCs w:val="0"/>
          <w:color w:val="auto"/>
          <w:kern w:val="22"/>
          <w:sz w:val="18"/>
          <w:szCs w:val="18"/>
        </w:rPr>
      </w:pPr>
      <w:r>
        <w:rPr>
          <w:rFonts w:eastAsia="Arial Unicode MS"/>
          <w:b w:val="0"/>
          <w:bCs w:val="0"/>
          <w:color w:val="auto"/>
          <w:kern w:val="22"/>
          <w:sz w:val="18"/>
          <w:szCs w:val="18"/>
        </w:rPr>
        <w:t xml:space="preserve">Symbols used in the Surveillance Atlas table:  </w:t>
      </w:r>
    </w:p>
    <w:tbl>
      <w:tblPr>
        <w:tblStyle w:val="TableGrid"/>
        <w:tblW w:w="0" w:type="auto"/>
        <w:tblLook w:val="04A0" w:firstRow="1" w:lastRow="0" w:firstColumn="1" w:lastColumn="0" w:noHBand="0" w:noVBand="1"/>
      </w:tblPr>
      <w:tblGrid>
        <w:gridCol w:w="1101"/>
        <w:gridCol w:w="5103"/>
      </w:tblGrid>
      <w:tr w:rsidR="009F5B73" w14:paraId="45C0754C" w14:textId="77777777" w:rsidTr="009F5B73">
        <w:tc>
          <w:tcPr>
            <w:tcW w:w="1101" w:type="dxa"/>
            <w:tcBorders>
              <w:top w:val="single" w:sz="4" w:space="0" w:color="000000"/>
              <w:left w:val="single" w:sz="4" w:space="0" w:color="000000"/>
              <w:bottom w:val="single" w:sz="4" w:space="0" w:color="000000"/>
              <w:right w:val="single" w:sz="4" w:space="0" w:color="000000"/>
            </w:tcBorders>
            <w:hideMark/>
          </w:tcPr>
          <w:p w14:paraId="1566ACC9" w14:textId="77777777" w:rsidR="009F5B73" w:rsidRDefault="009F5B73" w:rsidP="009F5B73">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1EFF5DDC" w14:textId="77777777" w:rsidR="009F5B73" w:rsidRDefault="009F5B73" w:rsidP="009F5B73">
            <w:pPr>
              <w:pStyle w:val="EC-Para"/>
              <w:rPr>
                <w:lang w:eastAsia="en-US"/>
              </w:rPr>
            </w:pPr>
            <w:r>
              <w:rPr>
                <w:lang w:eastAsia="en-US"/>
              </w:rPr>
              <w:t>Comment</w:t>
            </w:r>
          </w:p>
        </w:tc>
      </w:tr>
      <w:tr w:rsidR="009F5B73" w14:paraId="6D84F406" w14:textId="77777777" w:rsidTr="009F5B73">
        <w:tc>
          <w:tcPr>
            <w:tcW w:w="1101" w:type="dxa"/>
            <w:tcBorders>
              <w:top w:val="single" w:sz="4" w:space="0" w:color="000000"/>
              <w:left w:val="single" w:sz="4" w:space="0" w:color="000000"/>
              <w:bottom w:val="single" w:sz="4" w:space="0" w:color="000000"/>
              <w:right w:val="single" w:sz="4" w:space="0" w:color="000000"/>
            </w:tcBorders>
            <w:hideMark/>
          </w:tcPr>
          <w:p w14:paraId="0360BD2E" w14:textId="77777777" w:rsidR="009F5B73" w:rsidRDefault="009F5B73" w:rsidP="009F5B73">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314635A6" w14:textId="77777777" w:rsidR="009F5B73" w:rsidRDefault="009F5B73" w:rsidP="009F5B73">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9F5B73" w14:paraId="602B27EE" w14:textId="77777777" w:rsidTr="009F5B73">
        <w:tc>
          <w:tcPr>
            <w:tcW w:w="1101" w:type="dxa"/>
            <w:tcBorders>
              <w:top w:val="single" w:sz="4" w:space="0" w:color="000000"/>
              <w:left w:val="single" w:sz="4" w:space="0" w:color="000000"/>
              <w:bottom w:val="single" w:sz="4" w:space="0" w:color="000000"/>
              <w:right w:val="single" w:sz="4" w:space="0" w:color="000000"/>
            </w:tcBorders>
            <w:hideMark/>
          </w:tcPr>
          <w:p w14:paraId="20927867" w14:textId="77777777" w:rsidR="009F5B73" w:rsidRDefault="009F5B73" w:rsidP="009F5B73">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2E21C263" w14:textId="77777777" w:rsidR="009F5B73" w:rsidRDefault="009F5B73" w:rsidP="009F5B73">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07D98C04" w14:textId="77777777" w:rsidR="005D1339" w:rsidRPr="005D1339" w:rsidRDefault="005D1339" w:rsidP="005D1339">
      <w:pPr>
        <w:pStyle w:val="EC-Para"/>
        <w:rPr>
          <w:lang w:eastAsia="en-US"/>
        </w:rPr>
      </w:pPr>
    </w:p>
    <w:p w14:paraId="27671E5A" w14:textId="771C0A34" w:rsidR="009F5B73" w:rsidRPr="0072746F" w:rsidRDefault="00C842EC" w:rsidP="00A11BA9">
      <w:pPr>
        <w:pStyle w:val="EC-Title-6"/>
      </w:pPr>
      <w:r>
        <w:t xml:space="preserve">Data </w:t>
      </w:r>
      <w:r w:rsidRPr="00A11BA9">
        <w:t>quality</w:t>
      </w:r>
    </w:p>
    <w:p w14:paraId="3DD39A0F" w14:textId="107AF787" w:rsidR="0097253D" w:rsidRDefault="0097253D" w:rsidP="0097253D">
      <w:pPr>
        <w:autoSpaceDE w:val="0"/>
        <w:autoSpaceDN w:val="0"/>
        <w:adjustRightInd w:val="0"/>
        <w:jc w:val="both"/>
        <w:rPr>
          <w:rFonts w:eastAsia="Arial Unicode MS" w:cs="Tahoma"/>
          <w:kern w:val="22"/>
          <w:szCs w:val="18"/>
        </w:rPr>
      </w:pPr>
      <w:bookmarkStart w:id="90" w:name="_Toc437442034"/>
      <w:r w:rsidRPr="009E3B9F">
        <w:rPr>
          <w:rFonts w:eastAsia="Arial Unicode MS" w:cs="Tahoma"/>
          <w:kern w:val="22"/>
          <w:szCs w:val="18"/>
        </w:rPr>
        <w:t>EU/EEA coun</w:t>
      </w:r>
      <w:r w:rsidR="003C3F26">
        <w:rPr>
          <w:rFonts w:eastAsia="Arial Unicode MS" w:cs="Tahoma"/>
          <w:kern w:val="22"/>
          <w:szCs w:val="18"/>
        </w:rPr>
        <w:t>tries reporting data on yersiniosis</w:t>
      </w:r>
      <w:r w:rsidRPr="009E3B9F">
        <w:rPr>
          <w:rFonts w:eastAsia="Arial Unicode MS" w:cs="Tahoma"/>
          <w:kern w:val="22"/>
          <w:szCs w:val="18"/>
        </w:rPr>
        <w:t xml:space="preserve"> as displayed in the Annex 1. </w:t>
      </w:r>
      <w:r>
        <w:rPr>
          <w:rFonts w:eastAsia="Arial Unicode MS" w:cs="Tahoma"/>
          <w:kern w:val="22"/>
          <w:szCs w:val="18"/>
        </w:rPr>
        <w:t>For data quality, r</w:t>
      </w:r>
      <w:r w:rsidRPr="009E3B9F">
        <w:rPr>
          <w:rFonts w:eastAsia="Arial Unicode MS" w:cs="Tahoma"/>
          <w:kern w:val="22"/>
          <w:szCs w:val="18"/>
        </w:rPr>
        <w:t xml:space="preserve">eporting completeness </w:t>
      </w:r>
      <w:r>
        <w:rPr>
          <w:rFonts w:eastAsia="Arial Unicode MS" w:cs="Tahoma"/>
          <w:kern w:val="22"/>
          <w:szCs w:val="18"/>
        </w:rPr>
        <w:t xml:space="preserve">of variables used to calculate Surveillance Atlas indicators </w:t>
      </w:r>
      <w:r w:rsidRPr="009E3B9F">
        <w:rPr>
          <w:rFonts w:eastAsia="Arial Unicode MS" w:cs="Tahoma"/>
          <w:kern w:val="22"/>
          <w:szCs w:val="18"/>
        </w:rPr>
        <w:t xml:space="preserve">was analysed for reported, confirmed cases.  For countries reporting data only in aggregated format, the analysis of data completeness </w:t>
      </w:r>
      <w:r>
        <w:rPr>
          <w:rFonts w:eastAsia="Arial Unicode MS" w:cs="Tahoma"/>
          <w:kern w:val="22"/>
          <w:szCs w:val="18"/>
        </w:rPr>
        <w:t>is allowed</w:t>
      </w:r>
      <w:r w:rsidRPr="009E3B9F">
        <w:rPr>
          <w:rFonts w:eastAsia="Arial Unicode MS" w:cs="Tahoma"/>
          <w:kern w:val="22"/>
          <w:szCs w:val="18"/>
        </w:rPr>
        <w:t xml:space="preserve"> only for data reported such as age and gender. </w:t>
      </w:r>
    </w:p>
    <w:p w14:paraId="581B6C46" w14:textId="5DC95E7B" w:rsidR="0097253D" w:rsidRDefault="0097253D" w:rsidP="0097253D">
      <w:pPr>
        <w:autoSpaceDE w:val="0"/>
        <w:autoSpaceDN w:val="0"/>
        <w:adjustRightInd w:val="0"/>
        <w:jc w:val="both"/>
        <w:rPr>
          <w:rFonts w:eastAsia="Arial Unicode MS" w:cs="Tahoma"/>
          <w:kern w:val="22"/>
          <w:szCs w:val="18"/>
        </w:rPr>
      </w:pPr>
      <w:r>
        <w:rPr>
          <w:rFonts w:eastAsia="Arial Unicode MS" w:cs="Tahoma"/>
          <w:kern w:val="22"/>
          <w:szCs w:val="18"/>
        </w:rPr>
        <w:t xml:space="preserve">The Surveillance Atlas indicators for data quality of </w:t>
      </w:r>
      <w:r w:rsidR="003C3F26">
        <w:rPr>
          <w:rFonts w:eastAsia="Arial Unicode MS" w:cs="Tahoma"/>
          <w:kern w:val="22"/>
          <w:szCs w:val="18"/>
        </w:rPr>
        <w:t>confirmed yersiniosis</w:t>
      </w:r>
      <w:r>
        <w:rPr>
          <w:rFonts w:eastAsia="Arial Unicode MS" w:cs="Tahoma"/>
          <w:kern w:val="22"/>
          <w:szCs w:val="18"/>
        </w:rPr>
        <w:t xml:space="preserve"> are:</w:t>
      </w:r>
    </w:p>
    <w:p w14:paraId="2F15AD58" w14:textId="779791C3" w:rsidR="0097253D" w:rsidRPr="00E95571" w:rsidRDefault="00126364" w:rsidP="000617B1">
      <w:pPr>
        <w:pStyle w:val="ListParagraph"/>
        <w:numPr>
          <w:ilvl w:val="0"/>
          <w:numId w:val="10"/>
        </w:numPr>
        <w:autoSpaceDE w:val="0"/>
        <w:autoSpaceDN w:val="0"/>
        <w:adjustRightInd w:val="0"/>
        <w:jc w:val="both"/>
        <w:rPr>
          <w:rFonts w:eastAsia="Arial Unicode MS" w:cs="Tahoma"/>
          <w:kern w:val="22"/>
          <w:szCs w:val="18"/>
          <w:lang w:eastAsia="ko-KR"/>
        </w:rPr>
      </w:pPr>
      <w:r>
        <w:rPr>
          <w:rFonts w:eastAsia="Arial Unicode MS" w:cs="Tahoma"/>
          <w:kern w:val="22"/>
          <w:szCs w:val="18"/>
          <w:lang w:eastAsia="ko-KR"/>
        </w:rPr>
        <w:t>Completeness age (%</w:t>
      </w:r>
      <w:proofErr w:type="gramStart"/>
      <w:r>
        <w:rPr>
          <w:rFonts w:eastAsia="Arial Unicode MS" w:cs="Tahoma"/>
          <w:kern w:val="22"/>
          <w:szCs w:val="18"/>
          <w:lang w:eastAsia="ko-KR"/>
        </w:rPr>
        <w:t>);</w:t>
      </w:r>
      <w:proofErr w:type="gramEnd"/>
    </w:p>
    <w:p w14:paraId="6DA7E2BB" w14:textId="4BB864B9"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gender (%</w:t>
      </w:r>
      <w:proofErr w:type="gramStart"/>
      <w:r>
        <w:rPr>
          <w:rFonts w:eastAsia="Arial Unicode MS" w:cs="Tahoma"/>
          <w:kern w:val="22"/>
          <w:szCs w:val="18"/>
        </w:rPr>
        <w:t>);</w:t>
      </w:r>
      <w:proofErr w:type="gramEnd"/>
    </w:p>
    <w:p w14:paraId="5CB21100" w14:textId="3934FA83" w:rsidR="0097253D" w:rsidRDefault="00126364"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disease outcome (%</w:t>
      </w:r>
      <w:proofErr w:type="gramStart"/>
      <w:r>
        <w:rPr>
          <w:rFonts w:eastAsia="Arial Unicode MS" w:cs="Tahoma"/>
          <w:kern w:val="22"/>
          <w:szCs w:val="18"/>
        </w:rPr>
        <w:t>);</w:t>
      </w:r>
      <w:proofErr w:type="gramEnd"/>
    </w:p>
    <w:p w14:paraId="36430A96" w14:textId="11CCC862"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 xml:space="preserve">Completeness </w:t>
      </w:r>
      <w:r w:rsidR="00147EA7">
        <w:rPr>
          <w:rFonts w:eastAsia="Arial Unicode MS" w:cs="Tahoma"/>
          <w:kern w:val="22"/>
          <w:szCs w:val="18"/>
        </w:rPr>
        <w:t>travel-associated</w:t>
      </w:r>
      <w:r>
        <w:rPr>
          <w:rFonts w:eastAsia="Arial Unicode MS" w:cs="Tahoma"/>
          <w:kern w:val="22"/>
          <w:szCs w:val="18"/>
        </w:rPr>
        <w:t xml:space="preserve"> (%</w:t>
      </w:r>
      <w:proofErr w:type="gramStart"/>
      <w:r>
        <w:rPr>
          <w:rFonts w:eastAsia="Arial Unicode MS" w:cs="Tahoma"/>
          <w:kern w:val="22"/>
          <w:szCs w:val="18"/>
        </w:rPr>
        <w:t>);</w:t>
      </w:r>
      <w:proofErr w:type="gramEnd"/>
    </w:p>
    <w:p w14:paraId="44F9F150" w14:textId="23E2B408" w:rsidR="0097253D" w:rsidRDefault="00A278F0" w:rsidP="000617B1">
      <w:pPr>
        <w:pStyle w:val="ListParagraph"/>
        <w:numPr>
          <w:ilvl w:val="0"/>
          <w:numId w:val="10"/>
        </w:numPr>
        <w:autoSpaceDE w:val="0"/>
        <w:autoSpaceDN w:val="0"/>
        <w:adjustRightInd w:val="0"/>
        <w:jc w:val="both"/>
        <w:rPr>
          <w:rFonts w:eastAsia="Arial Unicode MS" w:cs="Tahoma"/>
          <w:kern w:val="22"/>
          <w:szCs w:val="18"/>
        </w:rPr>
      </w:pPr>
      <w:r>
        <w:rPr>
          <w:rFonts w:eastAsia="Arial Unicode MS" w:cs="Tahoma"/>
          <w:kern w:val="22"/>
          <w:szCs w:val="18"/>
        </w:rPr>
        <w:t>Completeness hospitalisation (%)</w:t>
      </w:r>
      <w:r w:rsidR="00A11BA9">
        <w:rPr>
          <w:rFonts w:eastAsia="Arial Unicode MS" w:cs="Tahoma"/>
          <w:kern w:val="22"/>
          <w:szCs w:val="18"/>
        </w:rPr>
        <w:t>.</w:t>
      </w:r>
    </w:p>
    <w:p w14:paraId="43F8B3B7" w14:textId="77777777" w:rsidR="00A11BA9" w:rsidRDefault="00A11BA9" w:rsidP="00A11BA9">
      <w:pPr>
        <w:pStyle w:val="ListParagraph"/>
        <w:autoSpaceDE w:val="0"/>
        <w:autoSpaceDN w:val="0"/>
        <w:adjustRightInd w:val="0"/>
        <w:jc w:val="both"/>
        <w:rPr>
          <w:rFonts w:eastAsia="Arial Unicode MS" w:cs="Tahoma"/>
          <w:kern w:val="22"/>
          <w:szCs w:val="18"/>
        </w:rPr>
      </w:pPr>
    </w:p>
    <w:p w14:paraId="7D09736F" w14:textId="77777777" w:rsidR="009F5B73" w:rsidRDefault="009F5B73" w:rsidP="009F5B73">
      <w:pPr>
        <w:pStyle w:val="EC-Title-6"/>
        <w:outlineLvl w:val="1"/>
        <w:rPr>
          <w:rFonts w:cs="Tahoma"/>
        </w:rPr>
      </w:pPr>
      <w:r w:rsidRPr="00C82DDE">
        <w:rPr>
          <w:rFonts w:cs="Tahoma"/>
        </w:rPr>
        <w:t>Interpretation</w:t>
      </w:r>
      <w:bookmarkEnd w:id="90"/>
      <w:r w:rsidRPr="00C82DDE">
        <w:rPr>
          <w:rFonts w:cs="Tahoma"/>
        </w:rPr>
        <w:t xml:space="preserve"> </w:t>
      </w:r>
    </w:p>
    <w:p w14:paraId="6E9E5FDC" w14:textId="77777777" w:rsidR="009F5B73" w:rsidRPr="007F3A65" w:rsidRDefault="009F5B73" w:rsidP="009F5B73">
      <w:pPr>
        <w:pStyle w:val="EC-Para"/>
        <w:jc w:val="both"/>
        <w:rPr>
          <w:rFonts w:eastAsiaTheme="minorHAnsi" w:cs="Tahoma"/>
          <w:lang w:eastAsia="en-US"/>
        </w:rPr>
      </w:pPr>
      <w:r w:rsidRPr="007F3A65">
        <w:rPr>
          <w:rFonts w:eastAsiaTheme="minorHAnsi" w:cs="Tahoma"/>
          <w:lang w:eastAsia="en-US"/>
        </w:rPr>
        <w:t xml:space="preserve">The results shown in the Surveillance Atlas should be interpreted carefully. </w:t>
      </w:r>
      <w:r>
        <w:rPr>
          <w:rFonts w:eastAsiaTheme="minorHAnsi" w:cs="Tahoma"/>
          <w:lang w:eastAsia="en-US"/>
        </w:rPr>
        <w:t>National s</w:t>
      </w:r>
      <w:r w:rsidRPr="007F3A65">
        <w:rPr>
          <w:rFonts w:eastAsiaTheme="minorHAnsi" w:cs="Tahoma"/>
          <w:lang w:eastAsia="en-US"/>
        </w:rPr>
        <w:t xml:space="preserve">urveillance systems </w:t>
      </w:r>
      <w:r>
        <w:rPr>
          <w:rFonts w:eastAsiaTheme="minorHAnsi" w:cs="Tahoma"/>
          <w:lang w:eastAsia="en-US"/>
        </w:rPr>
        <w:t>differ from each other and so does</w:t>
      </w:r>
      <w:r w:rsidRPr="007F3A65">
        <w:rPr>
          <w:rFonts w:eastAsiaTheme="minorHAnsi" w:cs="Tahoma"/>
          <w:lang w:eastAsia="en-US"/>
        </w:rPr>
        <w:t xml:space="preserve"> case under-ascertainment between countries. </w:t>
      </w:r>
    </w:p>
    <w:p w14:paraId="4CD0628C" w14:textId="10A5170E" w:rsidR="009F5B73" w:rsidRDefault="00A10DD4" w:rsidP="009F5B73">
      <w:pPr>
        <w:pStyle w:val="EC-Para"/>
        <w:jc w:val="both"/>
      </w:pPr>
      <w:r w:rsidRPr="0066201E">
        <w:t xml:space="preserve">The notification of </w:t>
      </w:r>
      <w:r>
        <w:t>yersiniosis</w:t>
      </w:r>
      <w:r w:rsidRPr="0066201E">
        <w:t xml:space="preserve"> is mandatory in </w:t>
      </w:r>
      <w:r w:rsidR="00387FF1">
        <w:t>2</w:t>
      </w:r>
      <w:r w:rsidR="0006351B">
        <w:t>4</w:t>
      </w:r>
      <w:r w:rsidR="00387FF1" w:rsidRPr="0066201E">
        <w:t xml:space="preserve"> </w:t>
      </w:r>
      <w:r w:rsidRPr="0066201E">
        <w:t>EU</w:t>
      </w:r>
      <w:r w:rsidR="0006351B">
        <w:t>/EEA</w:t>
      </w:r>
      <w:r w:rsidRPr="0066201E">
        <w:t xml:space="preserve"> </w:t>
      </w:r>
      <w:r w:rsidR="007312FF">
        <w:t>countries</w:t>
      </w:r>
      <w:r w:rsidRPr="0066201E">
        <w:t xml:space="preserve">. </w:t>
      </w:r>
      <w:r w:rsidR="00032A10">
        <w:t>F</w:t>
      </w:r>
      <w:r w:rsidR="00573BA4">
        <w:t>our</w:t>
      </w:r>
      <w:r w:rsidRPr="0066201E">
        <w:t xml:space="preserve"> </w:t>
      </w:r>
      <w:r w:rsidR="007312FF">
        <w:t>countries</w:t>
      </w:r>
      <w:r w:rsidRPr="0066201E">
        <w:t xml:space="preserve"> have voluntary notification (Belgium</w:t>
      </w:r>
      <w:r>
        <w:t>,</w:t>
      </w:r>
      <w:r w:rsidRPr="0066201E">
        <w:t xml:space="preserve"> France</w:t>
      </w:r>
      <w:r>
        <w:t xml:space="preserve">, </w:t>
      </w:r>
      <w:r w:rsidR="00AE37EE">
        <w:t>Greece</w:t>
      </w:r>
      <w:r w:rsidR="00573BA4">
        <w:t xml:space="preserve"> and </w:t>
      </w:r>
      <w:r>
        <w:t>Italy</w:t>
      </w:r>
      <w:r w:rsidRPr="0066201E">
        <w:t xml:space="preserve">). </w:t>
      </w:r>
      <w:r w:rsidR="009F5B73" w:rsidRPr="00CB0956">
        <w:rPr>
          <w:rFonts w:cs="Tahoma"/>
          <w:lang w:eastAsia="en-US"/>
        </w:rPr>
        <w:t>No surveillance system exists in the Netherlands</w:t>
      </w:r>
      <w:r w:rsidR="00951964">
        <w:rPr>
          <w:rFonts w:cs="Tahoma"/>
          <w:lang w:eastAsia="en-US"/>
        </w:rPr>
        <w:t xml:space="preserve"> and Liechtenstein</w:t>
      </w:r>
      <w:r w:rsidR="009F5B73" w:rsidRPr="00CB0956">
        <w:rPr>
          <w:rFonts w:cs="Tahoma"/>
          <w:lang w:eastAsia="en-US"/>
        </w:rPr>
        <w:t>. The s</w:t>
      </w:r>
      <w:r w:rsidR="009F5B73">
        <w:rPr>
          <w:rFonts w:cs="Tahoma"/>
          <w:lang w:eastAsia="en-US"/>
        </w:rPr>
        <w:t>urveillance systems for yersiniosis</w:t>
      </w:r>
      <w:r w:rsidR="009F5B73" w:rsidRPr="00CB0956">
        <w:rPr>
          <w:rFonts w:cs="Tahoma"/>
          <w:lang w:eastAsia="en-US"/>
        </w:rPr>
        <w:t xml:space="preserve"> have </w:t>
      </w:r>
      <w:r w:rsidR="009F5B73">
        <w:rPr>
          <w:rFonts w:cs="Tahoma"/>
          <w:lang w:eastAsia="en-US"/>
        </w:rPr>
        <w:t xml:space="preserve">full national coverage </w:t>
      </w:r>
      <w:r w:rsidR="00E75405">
        <w:rPr>
          <w:rFonts w:cs="Tahoma"/>
          <w:lang w:eastAsia="en-US"/>
        </w:rPr>
        <w:t xml:space="preserve">except </w:t>
      </w:r>
      <w:r>
        <w:rPr>
          <w:rFonts w:cs="Tahoma"/>
          <w:lang w:eastAsia="en-US"/>
        </w:rPr>
        <w:t xml:space="preserve">in </w:t>
      </w:r>
      <w:r w:rsidR="009F5B73" w:rsidRPr="00CB0956">
        <w:rPr>
          <w:rFonts w:cs="Tahoma"/>
          <w:lang w:eastAsia="en-US"/>
        </w:rPr>
        <w:t>France, Italy</w:t>
      </w:r>
      <w:r w:rsidR="00F31003">
        <w:rPr>
          <w:rFonts w:cs="Tahoma"/>
          <w:lang w:eastAsia="en-US"/>
        </w:rPr>
        <w:t xml:space="preserve"> </w:t>
      </w:r>
      <w:r w:rsidR="00F31003" w:rsidRPr="00324B0F">
        <w:rPr>
          <w:rFonts w:cs="Tahoma"/>
          <w:lang w:eastAsia="en-US"/>
        </w:rPr>
        <w:t>and</w:t>
      </w:r>
      <w:r w:rsidR="009F5B73" w:rsidRPr="00324B0F">
        <w:rPr>
          <w:rFonts w:cs="Tahoma"/>
          <w:lang w:eastAsia="en-US"/>
        </w:rPr>
        <w:t xml:space="preserve"> Spain.</w:t>
      </w:r>
      <w:bookmarkStart w:id="91" w:name="_Hlk113025400"/>
      <w:r w:rsidR="00421C41" w:rsidRPr="00324B0F">
        <w:rPr>
          <w:rFonts w:cs="Tahoma"/>
          <w:lang w:eastAsia="en-US"/>
        </w:rPr>
        <w:t xml:space="preserve"> </w:t>
      </w:r>
      <w:r w:rsidR="00387FF1" w:rsidRPr="00324B0F">
        <w:t>No estimate</w:t>
      </w:r>
      <w:r w:rsidR="00387FF1" w:rsidRPr="0051339C">
        <w:t xml:space="preserve"> for population coverage was provided</w:t>
      </w:r>
      <w:r w:rsidR="00BF240D">
        <w:t xml:space="preserve"> for France and Italy</w:t>
      </w:r>
      <w:r w:rsidR="00387FF1" w:rsidRPr="0051339C">
        <w:t xml:space="preserve">, </w:t>
      </w:r>
      <w:r w:rsidR="00387FF1">
        <w:t xml:space="preserve">so </w:t>
      </w:r>
      <w:r w:rsidR="00387FF1" w:rsidRPr="0051339C">
        <w:t>notification rates were not calculated</w:t>
      </w:r>
      <w:r w:rsidR="00387FF1">
        <w:t xml:space="preserve"> for these </w:t>
      </w:r>
      <w:r w:rsidR="00BF240D">
        <w:t xml:space="preserve">two </w:t>
      </w:r>
      <w:r w:rsidR="00387FF1">
        <w:t>countries.</w:t>
      </w:r>
      <w:bookmarkEnd w:id="91"/>
      <w:r w:rsidR="009C40AA">
        <w:t xml:space="preserve"> </w:t>
      </w:r>
      <w:r w:rsidR="009C40AA" w:rsidRPr="00E23A35">
        <w:t xml:space="preserve">The coverage of the surveillance system </w:t>
      </w:r>
      <w:r w:rsidR="009C40AA" w:rsidRPr="000378C4">
        <w:t xml:space="preserve">in </w:t>
      </w:r>
      <w:r w:rsidR="009C40AA">
        <w:t xml:space="preserve">2023 and in </w:t>
      </w:r>
      <w:r w:rsidR="009C40AA" w:rsidRPr="000378C4">
        <w:t>2021-2022 is estimated to be 9</w:t>
      </w:r>
      <w:r w:rsidR="009C40AA">
        <w:t>2</w:t>
      </w:r>
      <w:r w:rsidR="009C40AA" w:rsidRPr="0095399E">
        <w:t xml:space="preserve">% </w:t>
      </w:r>
      <w:r w:rsidR="009C40AA">
        <w:t xml:space="preserve">and 91%, respectively </w:t>
      </w:r>
      <w:r w:rsidR="009C40AA" w:rsidRPr="0095399E">
        <w:t>in in Spain. Th</w:t>
      </w:r>
      <w:r w:rsidR="009C40AA">
        <w:t>ese</w:t>
      </w:r>
      <w:r w:rsidR="009C40AA" w:rsidRPr="00E23A35">
        <w:t xml:space="preserve"> proportion</w:t>
      </w:r>
      <w:r w:rsidR="009C40AA">
        <w:t>s</w:t>
      </w:r>
      <w:r w:rsidR="009C40AA" w:rsidRPr="00E23A35">
        <w:t xml:space="preserve"> w</w:t>
      </w:r>
      <w:r w:rsidR="009C40AA">
        <w:t xml:space="preserve">ere </w:t>
      </w:r>
      <w:r w:rsidR="009C40AA" w:rsidRPr="00E23A35">
        <w:t>used when calculating notification rate</w:t>
      </w:r>
      <w:r w:rsidR="009C40AA">
        <w:t>s for these years</w:t>
      </w:r>
      <w:r w:rsidR="009C40AA" w:rsidRPr="00420717">
        <w:t xml:space="preserve">. </w:t>
      </w:r>
      <w:r w:rsidR="009C40AA">
        <w:rPr>
          <w:rFonts w:cs="Tahoma"/>
        </w:rPr>
        <w:t xml:space="preserve">No estimate of population coverage in Spain was provided prior 2021, so notification rates were not </w:t>
      </w:r>
      <w:r w:rsidR="00D2011C">
        <w:rPr>
          <w:rFonts w:cs="Tahoma"/>
        </w:rPr>
        <w:t xml:space="preserve">calculated. </w:t>
      </w:r>
      <w:r w:rsidR="00CF37A1">
        <w:rPr>
          <w:rFonts w:cs="Tahoma"/>
        </w:rPr>
        <w:t xml:space="preserve">In Belgium, full national coverage was established in 2015 and rates before this date are not displayed. </w:t>
      </w:r>
      <w:r w:rsidR="00AE37EE">
        <w:t xml:space="preserve">Greece reports data on laboratory-confirmed cases collected from </w:t>
      </w:r>
      <w:r w:rsidR="00AE37EE" w:rsidRPr="008216C7">
        <w:t>public hospitals from 2018 onwards.</w:t>
      </w:r>
      <w:r w:rsidR="00AE37EE">
        <w:t xml:space="preserve"> </w:t>
      </w:r>
      <w:r w:rsidR="00DA67B2">
        <w:t>Most</w:t>
      </w:r>
      <w:r w:rsidR="009F5B73" w:rsidRPr="00194CB8">
        <w:t xml:space="preserve"> reporting countries </w:t>
      </w:r>
      <w:r w:rsidR="009F5B73">
        <w:rPr>
          <w:lang w:eastAsia="en-US"/>
        </w:rPr>
        <w:t>provide</w:t>
      </w:r>
      <w:r w:rsidR="009F5B73" w:rsidRPr="00194CB8">
        <w:rPr>
          <w:lang w:eastAsia="en-US"/>
        </w:rPr>
        <w:t xml:space="preserve"> case</w:t>
      </w:r>
      <w:r w:rsidR="009F5B73" w:rsidRPr="00194CB8">
        <w:rPr>
          <w:lang w:eastAsia="en-US"/>
        </w:rPr>
        <w:t xml:space="preserve">-based data </w:t>
      </w:r>
      <w:r w:rsidR="009F5B73">
        <w:rPr>
          <w:rFonts w:cs="Tahoma"/>
          <w:lang w:eastAsia="en-US"/>
        </w:rPr>
        <w:t xml:space="preserve">except </w:t>
      </w:r>
      <w:r w:rsidR="009F5B73" w:rsidRPr="007B34B1">
        <w:rPr>
          <w:rFonts w:eastAsia="Batang"/>
        </w:rPr>
        <w:t>Bulgaria</w:t>
      </w:r>
      <w:r w:rsidR="00AE37EE">
        <w:rPr>
          <w:rFonts w:eastAsia="Batang"/>
        </w:rPr>
        <w:t xml:space="preserve"> and Greece</w:t>
      </w:r>
      <w:r w:rsidR="009F5B73">
        <w:rPr>
          <w:rFonts w:eastAsia="Batang"/>
        </w:rPr>
        <w:t xml:space="preserve"> which report aggregate data. </w:t>
      </w:r>
      <w:r w:rsidR="00C96C10">
        <w:t>Aggregated</w:t>
      </w:r>
      <w:r w:rsidR="00C96C10" w:rsidRPr="004C1587">
        <w:t xml:space="preserve"> reporting format w</w:t>
      </w:r>
      <w:r w:rsidR="00C96C10">
        <w:t>as</w:t>
      </w:r>
      <w:r w:rsidR="00C96C10" w:rsidRPr="004C1587">
        <w:t xml:space="preserve"> included to calculate numbers of cases</w:t>
      </w:r>
      <w:r w:rsidR="00C96C10">
        <w:t xml:space="preserve"> and </w:t>
      </w:r>
      <w:r w:rsidR="00C96C10" w:rsidRPr="004C1587">
        <w:t xml:space="preserve">notification rates, </w:t>
      </w:r>
      <w:r w:rsidR="00C96C10">
        <w:t xml:space="preserve">as well as </w:t>
      </w:r>
      <w:r w:rsidR="00C96C10" w:rsidRPr="004C1587">
        <w:t xml:space="preserve">disease trends, </w:t>
      </w:r>
      <w:r w:rsidR="00C96C10">
        <w:t>a</w:t>
      </w:r>
      <w:r w:rsidR="00C96C10" w:rsidRPr="004C1587">
        <w:t>ge and gender distributions</w:t>
      </w:r>
      <w:r w:rsidR="00C96C10">
        <w:t xml:space="preserve"> when this data was available</w:t>
      </w:r>
      <w:r w:rsidR="00C96C10" w:rsidRPr="004C1587">
        <w:t>.</w:t>
      </w:r>
    </w:p>
    <w:p w14:paraId="29A1C796" w14:textId="3F2AE810" w:rsidR="00CF1452" w:rsidRPr="00D45E3C" w:rsidRDefault="00CF1452" w:rsidP="00CF1452">
      <w:pPr>
        <w:kinsoku w:val="0"/>
        <w:autoSpaceDE w:val="0"/>
        <w:autoSpaceDN w:val="0"/>
        <w:adjustRightInd w:val="0"/>
        <w:spacing w:after="120" w:line="200" w:lineRule="atLeast"/>
        <w:jc w:val="both"/>
        <w:rPr>
          <w:rFonts w:eastAsiaTheme="minorHAnsi" w:cs="Tahoma"/>
          <w:color w:val="000000"/>
          <w:szCs w:val="18"/>
        </w:rPr>
      </w:pPr>
      <w:r w:rsidRPr="002E0B1E">
        <w:rPr>
          <w:rFonts w:eastAsia="Arial Unicode MS" w:cs="Tahoma"/>
          <w:kern w:val="22"/>
          <w:szCs w:val="18"/>
        </w:rPr>
        <w:t xml:space="preserve">The COVID-19 pandemic significantly impacted on the surveillance </w:t>
      </w:r>
      <w:r>
        <w:rPr>
          <w:rFonts w:eastAsia="Arial Unicode MS" w:cs="Tahoma"/>
          <w:kern w:val="22"/>
          <w:szCs w:val="18"/>
        </w:rPr>
        <w:t>data for</w:t>
      </w:r>
      <w:r w:rsidRPr="002E0B1E">
        <w:rPr>
          <w:rFonts w:eastAsia="Arial Unicode MS" w:cs="Tahoma"/>
          <w:kern w:val="22"/>
          <w:szCs w:val="18"/>
        </w:rPr>
        <w:t xml:space="preserve"> </w:t>
      </w:r>
      <w:r w:rsidR="00F52B2B">
        <w:rPr>
          <w:rFonts w:eastAsia="Arial Unicode MS" w:cs="Tahoma"/>
          <w:kern w:val="22"/>
          <w:szCs w:val="18"/>
        </w:rPr>
        <w:t>yer</w:t>
      </w:r>
      <w:r w:rsidR="00352134">
        <w:rPr>
          <w:rFonts w:eastAsia="Arial Unicode MS" w:cs="Tahoma"/>
          <w:kern w:val="22"/>
          <w:szCs w:val="18"/>
        </w:rPr>
        <w:t>s</w:t>
      </w:r>
      <w:r w:rsidR="00F52B2B">
        <w:rPr>
          <w:rFonts w:eastAsia="Arial Unicode MS" w:cs="Tahoma"/>
          <w:kern w:val="22"/>
          <w:szCs w:val="18"/>
        </w:rPr>
        <w:t xml:space="preserve">iniosis </w:t>
      </w:r>
      <w:r w:rsidRPr="002E0B1E">
        <w:rPr>
          <w:rFonts w:eastAsia="Arial Unicode MS" w:cs="Tahoma"/>
          <w:kern w:val="22"/>
          <w:szCs w:val="18"/>
        </w:rPr>
        <w:t xml:space="preserve">in 2020. Factors mentioned by countries resulting in lower case numbers were e.g. people avoiding </w:t>
      </w:r>
      <w:r w:rsidR="00D2011C" w:rsidRPr="002E0B1E">
        <w:rPr>
          <w:rFonts w:eastAsia="Arial Unicode MS" w:cs="Tahoma"/>
          <w:kern w:val="22"/>
          <w:szCs w:val="18"/>
        </w:rPr>
        <w:t>seeking</w:t>
      </w:r>
      <w:r w:rsidRPr="002E0B1E">
        <w:rPr>
          <w:rFonts w:eastAsia="Arial Unicode MS" w:cs="Tahoma"/>
          <w:kern w:val="22"/>
          <w:szCs w:val="18"/>
        </w:rPr>
        <w:t xml:space="preserve"> medical care for mild symptoms </w:t>
      </w:r>
      <w:r w:rsidRPr="001C4E99">
        <w:rPr>
          <w:rFonts w:eastAsia="Arial Unicode MS" w:cs="Tahoma"/>
          <w:kern w:val="22"/>
          <w:szCs w:val="18"/>
        </w:rPr>
        <w:t>due to risk of exposure to COVID-19 in health care facilities</w:t>
      </w:r>
      <w:r w:rsidRPr="002E0B1E">
        <w:rPr>
          <w:rFonts w:eastAsia="Arial Unicode MS" w:cs="Tahoma"/>
          <w:kern w:val="22"/>
          <w:szCs w:val="18"/>
        </w:rPr>
        <w:t xml:space="preserve">, limited </w:t>
      </w:r>
      <w:r>
        <w:rPr>
          <w:rFonts w:eastAsia="Arial Unicode MS" w:cs="Tahoma"/>
          <w:kern w:val="22"/>
          <w:szCs w:val="18"/>
        </w:rPr>
        <w:t>laboratory capacity due to reallocation of resources to SARS-CoV-2, fewer restaurant visits, increased hand washing</w:t>
      </w:r>
      <w:r w:rsidRPr="002E0B1E">
        <w:rPr>
          <w:rFonts w:eastAsia="Arial Unicode MS" w:cs="Tahoma"/>
          <w:kern w:val="22"/>
          <w:szCs w:val="18"/>
        </w:rPr>
        <w:t>, less travel due to travel restriction etc.</w:t>
      </w:r>
    </w:p>
    <w:p w14:paraId="00CA2FAC" w14:textId="77777777" w:rsidR="00CF1452" w:rsidRDefault="00CF1452" w:rsidP="00B3152F">
      <w:pPr>
        <w:pStyle w:val="EC-Para"/>
        <w:jc w:val="both"/>
        <w:rPr>
          <w:rFonts w:eastAsiaTheme="minorHAnsi" w:cs="Tahoma"/>
          <w:lang w:eastAsia="en-US"/>
        </w:rPr>
      </w:pPr>
    </w:p>
    <w:p w14:paraId="43170CBB" w14:textId="4B72739D" w:rsidR="009F5B73" w:rsidRDefault="009F5B73" w:rsidP="00B3152F">
      <w:pPr>
        <w:pStyle w:val="EC-Para"/>
        <w:jc w:val="both"/>
        <w:rPr>
          <w:rFonts w:eastAsiaTheme="minorHAnsi" w:cs="Tahoma"/>
          <w:lang w:eastAsia="en-US"/>
        </w:rPr>
      </w:pPr>
      <w:r w:rsidRPr="007F3A65">
        <w:rPr>
          <w:rFonts w:eastAsiaTheme="minorHAnsi" w:cs="Tahoma"/>
          <w:lang w:eastAsia="en-US"/>
        </w:rPr>
        <w:lastRenderedPageBreak/>
        <w:t xml:space="preserve">The completeness of some variables such as outcome or </w:t>
      </w:r>
      <w:r>
        <w:rPr>
          <w:rFonts w:eastAsiaTheme="minorHAnsi" w:cs="Tahoma"/>
          <w:lang w:eastAsia="en-US"/>
        </w:rPr>
        <w:t>travel history</w:t>
      </w:r>
      <w:r w:rsidRPr="007F3A65">
        <w:rPr>
          <w:rFonts w:eastAsiaTheme="minorHAnsi" w:cs="Tahoma"/>
          <w:lang w:eastAsia="en-US"/>
        </w:rPr>
        <w:t xml:space="preserve"> var</w:t>
      </w:r>
      <w:r>
        <w:rPr>
          <w:rFonts w:eastAsiaTheme="minorHAnsi" w:cs="Tahoma"/>
          <w:lang w:eastAsia="en-US"/>
        </w:rPr>
        <w:t>ies</w:t>
      </w:r>
      <w:r w:rsidRPr="007F3A65">
        <w:rPr>
          <w:rFonts w:eastAsiaTheme="minorHAnsi" w:cs="Tahoma"/>
          <w:lang w:eastAsia="en-US"/>
        </w:rPr>
        <w:t xml:space="preserve"> between countries and years; some countries </w:t>
      </w:r>
      <w:proofErr w:type="gramStart"/>
      <w:r w:rsidRPr="007F3A65">
        <w:rPr>
          <w:rFonts w:eastAsiaTheme="minorHAnsi" w:cs="Tahoma"/>
          <w:lang w:eastAsia="en-US"/>
        </w:rPr>
        <w:t>are able to</w:t>
      </w:r>
      <w:proofErr w:type="gramEnd"/>
      <w:r w:rsidRPr="007F3A65">
        <w:rPr>
          <w:rFonts w:eastAsiaTheme="minorHAnsi" w:cs="Tahoma"/>
          <w:lang w:eastAsia="en-US"/>
        </w:rPr>
        <w:t xml:space="preserve"> collect and integrate this type of information from different sources, other countries are not. Even if </w:t>
      </w:r>
      <w:r>
        <w:rPr>
          <w:rFonts w:eastAsiaTheme="minorHAnsi" w:cs="Tahoma"/>
          <w:lang w:eastAsia="en-US"/>
        </w:rPr>
        <w:t xml:space="preserve">overall </w:t>
      </w:r>
      <w:r w:rsidRPr="007F3A65">
        <w:rPr>
          <w:rFonts w:eastAsiaTheme="minorHAnsi" w:cs="Tahoma"/>
          <w:lang w:eastAsia="en-US"/>
        </w:rPr>
        <w:t>data completeness is high for some variables, the reader should refrain from direct</w:t>
      </w:r>
      <w:r>
        <w:rPr>
          <w:rFonts w:eastAsiaTheme="minorHAnsi" w:cs="Tahoma"/>
          <w:lang w:eastAsia="en-US"/>
        </w:rPr>
        <w:t>ly</w:t>
      </w:r>
      <w:r w:rsidRPr="007F3A65">
        <w:rPr>
          <w:rFonts w:eastAsiaTheme="minorHAnsi" w:cs="Tahoma"/>
          <w:lang w:eastAsia="en-US"/>
        </w:rPr>
        <w:t xml:space="preserve"> compari</w:t>
      </w:r>
      <w:r>
        <w:rPr>
          <w:rFonts w:eastAsiaTheme="minorHAnsi" w:cs="Tahoma"/>
          <w:lang w:eastAsia="en-US"/>
        </w:rPr>
        <w:t>ng</w:t>
      </w:r>
      <w:r w:rsidRPr="007F3A65">
        <w:rPr>
          <w:rFonts w:eastAsiaTheme="minorHAnsi" w:cs="Tahoma"/>
          <w:lang w:eastAsia="en-US"/>
        </w:rPr>
        <w:t xml:space="preserve"> countries without </w:t>
      </w:r>
      <w:proofErr w:type="gramStart"/>
      <w:r w:rsidRPr="007F3A65">
        <w:rPr>
          <w:rFonts w:eastAsiaTheme="minorHAnsi" w:cs="Tahoma"/>
          <w:lang w:eastAsia="en-US"/>
        </w:rPr>
        <w:t>taking into account</w:t>
      </w:r>
      <w:proofErr w:type="gramEnd"/>
      <w:r w:rsidRPr="007F3A65">
        <w:rPr>
          <w:rFonts w:eastAsiaTheme="minorHAnsi" w:cs="Tahoma"/>
          <w:lang w:eastAsia="en-US"/>
        </w:rPr>
        <w:t xml:space="preserve"> limitations.</w:t>
      </w:r>
    </w:p>
    <w:p w14:paraId="58D1564B" w14:textId="77777777" w:rsidR="000617B1" w:rsidRPr="00B3152F" w:rsidRDefault="000617B1" w:rsidP="00B3152F">
      <w:pPr>
        <w:pStyle w:val="EC-Para"/>
        <w:jc w:val="both"/>
        <w:rPr>
          <w:rFonts w:eastAsiaTheme="minorHAnsi" w:cs="Tahoma"/>
          <w:lang w:eastAsia="en-US"/>
        </w:rPr>
      </w:pPr>
    </w:p>
    <w:p w14:paraId="66504AC2" w14:textId="77777777" w:rsidR="009F5B73" w:rsidRDefault="009F5B73" w:rsidP="00B3152F">
      <w:pPr>
        <w:pStyle w:val="EC-Title-6"/>
        <w:outlineLvl w:val="1"/>
        <w:rPr>
          <w:rFonts w:cs="Tahoma"/>
          <w:color w:val="FF0000"/>
          <w:sz w:val="20"/>
          <w:szCs w:val="20"/>
        </w:rPr>
      </w:pPr>
      <w:r>
        <w:t xml:space="preserve">Reports published by ECDC on yersiniosis </w:t>
      </w:r>
    </w:p>
    <w:p w14:paraId="3150D2BD" w14:textId="26B70098" w:rsidR="009F5B73" w:rsidRDefault="009F5B73" w:rsidP="009F5B73">
      <w:pPr>
        <w:pStyle w:val="EC-Para"/>
      </w:pPr>
      <w:r>
        <w:rPr>
          <w:lang w:eastAsia="en-US"/>
        </w:rPr>
        <w:t>More information is available in ECDC reports. Note that l</w:t>
      </w:r>
      <w:r>
        <w:t xml:space="preserve">ater retrievals of data related to the same period may result in slightly different numbers as countries have the possibility to update data in </w:t>
      </w:r>
      <w:proofErr w:type="spellStart"/>
      <w:r>
        <w:t>TESSy</w:t>
      </w:r>
      <w:proofErr w:type="spellEnd"/>
      <w:r>
        <w:t xml:space="preserve"> retrospectively. Therefore, the data presented in the reports might slightly differ from the data presented in the Surveillance Atlas.</w:t>
      </w:r>
    </w:p>
    <w:p w14:paraId="705319D0" w14:textId="77777777" w:rsidR="009F6D0B" w:rsidRDefault="009F6D0B" w:rsidP="00A64264">
      <w:pPr>
        <w:pStyle w:val="EC-Para"/>
        <w:spacing w:after="0"/>
        <w:rPr>
          <w:rFonts w:eastAsiaTheme="minorHAnsi" w:cs="Tahoma"/>
          <w:b/>
          <w:lang w:eastAsia="en-US"/>
        </w:rPr>
      </w:pPr>
    </w:p>
    <w:p w14:paraId="38FE6C29" w14:textId="1E13954B" w:rsidR="00A64264" w:rsidRPr="009D4D86" w:rsidRDefault="00A64264" w:rsidP="00A64264">
      <w:pPr>
        <w:pStyle w:val="EC-Para"/>
        <w:spacing w:after="0"/>
        <w:rPr>
          <w:rFonts w:eastAsiaTheme="minorHAnsi" w:cs="Tahoma"/>
          <w:b/>
          <w:lang w:eastAsia="en-US"/>
        </w:rPr>
      </w:pPr>
      <w:r w:rsidRPr="009D4D86">
        <w:rPr>
          <w:rFonts w:eastAsiaTheme="minorHAnsi" w:cs="Tahoma"/>
          <w:b/>
          <w:lang w:eastAsia="en-US"/>
        </w:rPr>
        <w:t>Annual epidemiological report for 202</w:t>
      </w:r>
      <w:r>
        <w:rPr>
          <w:rFonts w:eastAsiaTheme="minorHAnsi" w:cs="Tahoma"/>
          <w:b/>
          <w:lang w:eastAsia="en-US"/>
        </w:rPr>
        <w:t>2</w:t>
      </w:r>
      <w:r w:rsidRPr="009D4D86">
        <w:rPr>
          <w:rFonts w:eastAsiaTheme="minorHAnsi" w:cs="Tahoma"/>
          <w:b/>
          <w:lang w:eastAsia="en-US"/>
        </w:rPr>
        <w:t xml:space="preserve"> – Yersiniosis:</w:t>
      </w:r>
    </w:p>
    <w:p w14:paraId="67FA4BD8" w14:textId="77777777" w:rsidR="009F6D0B" w:rsidRPr="009F6D0B" w:rsidRDefault="00000000" w:rsidP="00E92928">
      <w:pPr>
        <w:pStyle w:val="EC-Para"/>
        <w:spacing w:after="0"/>
        <w:jc w:val="both"/>
      </w:pPr>
      <w:hyperlink r:id="rId99" w:history="1">
        <w:r w:rsidR="009F6D0B" w:rsidRPr="009F6D0B">
          <w:rPr>
            <w:rStyle w:val="Hyperlink"/>
            <w:sz w:val="18"/>
          </w:rPr>
          <w:t>Annual epidemiological report 2022 - Yersiniosis (europa.eu)</w:t>
        </w:r>
      </w:hyperlink>
    </w:p>
    <w:p w14:paraId="1623BC0F" w14:textId="77777777" w:rsidR="009F6D0B" w:rsidRDefault="009F6D0B" w:rsidP="00E92928">
      <w:pPr>
        <w:pStyle w:val="EC-Para"/>
        <w:spacing w:after="0"/>
        <w:jc w:val="both"/>
      </w:pPr>
    </w:p>
    <w:p w14:paraId="775FD63E" w14:textId="3A44ECCE" w:rsidR="00E92928" w:rsidRPr="009D4D86" w:rsidRDefault="00E92928" w:rsidP="00E92928">
      <w:pPr>
        <w:pStyle w:val="EC-Para"/>
        <w:spacing w:after="0"/>
        <w:jc w:val="both"/>
        <w:rPr>
          <w:b/>
        </w:rPr>
      </w:pPr>
      <w:r w:rsidRPr="009D4D86">
        <w:rPr>
          <w:b/>
        </w:rPr>
        <w:t>EFSA and ECDC (European Food Safety Authority and European Centre for Disease Prevention and Control), 202</w:t>
      </w:r>
      <w:r w:rsidR="00FB0F76">
        <w:rPr>
          <w:b/>
        </w:rPr>
        <w:t>3</w:t>
      </w:r>
      <w:r w:rsidRPr="009D4D86">
        <w:rPr>
          <w:b/>
        </w:rPr>
        <w:t>. The European Union One Health 202</w:t>
      </w:r>
      <w:r w:rsidR="00FB0F76">
        <w:rPr>
          <w:b/>
        </w:rPr>
        <w:t>2</w:t>
      </w:r>
      <w:r w:rsidRPr="009D4D86">
        <w:rPr>
          <w:b/>
        </w:rPr>
        <w:t xml:space="preserve"> Zoonoses Report</w:t>
      </w:r>
      <w:r w:rsidR="00A64264">
        <w:rPr>
          <w:b/>
        </w:rPr>
        <w:t xml:space="preserve"> (December 2023)</w:t>
      </w:r>
      <w:r w:rsidRPr="009D4D86">
        <w:rPr>
          <w:b/>
        </w:rPr>
        <w:t>:</w:t>
      </w:r>
    </w:p>
    <w:p w14:paraId="3A376BEF" w14:textId="77777777" w:rsidR="00FB0F76" w:rsidRDefault="00000000" w:rsidP="00FB0F76">
      <w:pPr>
        <w:pStyle w:val="EC-Para"/>
        <w:spacing w:after="0"/>
        <w:rPr>
          <w:color w:val="69AE23"/>
        </w:rPr>
      </w:pPr>
      <w:hyperlink r:id="rId100" w:history="1">
        <w:r w:rsidR="00FB0F76" w:rsidRPr="008D42C9">
          <w:rPr>
            <w:rStyle w:val="Hyperlink"/>
            <w:sz w:val="18"/>
          </w:rPr>
          <w:t>https://efsa.onlinelibrary.wiley.com/doi/epdf/10.2903/j.efsa.2023.8442</w:t>
        </w:r>
      </w:hyperlink>
    </w:p>
    <w:p w14:paraId="559E8602" w14:textId="647D6924" w:rsidR="004A12A3" w:rsidRPr="009D4D86" w:rsidRDefault="00FC743D" w:rsidP="00E92928">
      <w:pPr>
        <w:pStyle w:val="EC-Para"/>
      </w:pPr>
      <w:r w:rsidRPr="009D4D86">
        <w:rPr>
          <w:rStyle w:val="Hyperlink"/>
          <w:sz w:val="18"/>
        </w:rPr>
        <w:t xml:space="preserve"> </w:t>
      </w:r>
    </w:p>
    <w:p w14:paraId="0B0F5D44" w14:textId="1FBC38A9" w:rsidR="009D4D86" w:rsidRDefault="009D4D86">
      <w:pPr>
        <w:rPr>
          <w:rFonts w:eastAsia="Batang" w:cs="Times New Roman"/>
          <w:b/>
          <w:bCs/>
          <w:color w:val="69AE23"/>
          <w:sz w:val="26"/>
          <w:szCs w:val="26"/>
        </w:rPr>
      </w:pPr>
      <w:r>
        <w:br w:type="page"/>
      </w:r>
    </w:p>
    <w:p w14:paraId="27429A7B" w14:textId="6C157764" w:rsidR="009F5B73" w:rsidRDefault="009F5B73" w:rsidP="00B3152F">
      <w:pPr>
        <w:pStyle w:val="EC-Title-6"/>
        <w:outlineLvl w:val="1"/>
      </w:pPr>
      <w:r>
        <w:lastRenderedPageBreak/>
        <w:t xml:space="preserve">Annex 1. Surveillance systems overview, </w:t>
      </w:r>
      <w:r w:rsidR="0071571E">
        <w:t>202</w:t>
      </w:r>
      <w:r w:rsidR="00520171">
        <w:t>3</w:t>
      </w:r>
    </w:p>
    <w:tbl>
      <w:tblPr>
        <w:tblW w:w="10113" w:type="dxa"/>
        <w:tblLook w:val="04A0" w:firstRow="1" w:lastRow="0" w:firstColumn="1" w:lastColumn="0" w:noHBand="0" w:noVBand="1"/>
      </w:tblPr>
      <w:tblGrid>
        <w:gridCol w:w="1017"/>
        <w:gridCol w:w="2827"/>
        <w:gridCol w:w="570"/>
        <w:gridCol w:w="570"/>
        <w:gridCol w:w="570"/>
        <w:gridCol w:w="570"/>
        <w:gridCol w:w="570"/>
        <w:gridCol w:w="570"/>
        <w:gridCol w:w="570"/>
        <w:gridCol w:w="570"/>
        <w:gridCol w:w="1709"/>
      </w:tblGrid>
      <w:tr w:rsidR="00034328" w:rsidRPr="00B53BA8" w14:paraId="6F75727A" w14:textId="77777777" w:rsidTr="0058098B">
        <w:trPr>
          <w:trHeight w:val="297"/>
        </w:trPr>
        <w:tc>
          <w:tcPr>
            <w:tcW w:w="1017"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0A801B6C" w14:textId="77777777" w:rsidR="00B53BA8" w:rsidRPr="001B661F" w:rsidRDefault="00B53BA8" w:rsidP="00B53BA8">
            <w:pPr>
              <w:rPr>
                <w:rFonts w:eastAsia="Times New Roman" w:cs="Tahoma"/>
                <w:b/>
                <w:bCs/>
                <w:color w:val="FFFFFF"/>
                <w:sz w:val="14"/>
                <w:szCs w:val="14"/>
                <w:lang w:eastAsia="en-GB"/>
              </w:rPr>
            </w:pPr>
            <w:r w:rsidRPr="001B661F">
              <w:rPr>
                <w:rFonts w:eastAsia="Times New Roman" w:cs="Tahoma"/>
                <w:b/>
                <w:bCs/>
                <w:color w:val="FFFFFF"/>
                <w:sz w:val="14"/>
                <w:szCs w:val="14"/>
                <w:lang w:eastAsia="en-GB"/>
              </w:rPr>
              <w:t>Country</w:t>
            </w:r>
          </w:p>
        </w:tc>
        <w:tc>
          <w:tcPr>
            <w:tcW w:w="2827"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6FA8AD96" w14:textId="77777777" w:rsidR="00B53BA8" w:rsidRPr="001B661F" w:rsidRDefault="00B53BA8" w:rsidP="00B53BA8">
            <w:pPr>
              <w:rPr>
                <w:rFonts w:eastAsia="Times New Roman" w:cs="Tahoma"/>
                <w:b/>
                <w:bCs/>
                <w:color w:val="FFFFFF"/>
                <w:sz w:val="14"/>
                <w:szCs w:val="14"/>
                <w:lang w:eastAsia="en-GB"/>
              </w:rPr>
            </w:pPr>
            <w:r w:rsidRPr="001B661F">
              <w:rPr>
                <w:rFonts w:eastAsia="Times New Roman" w:cs="Tahoma"/>
                <w:b/>
                <w:bCs/>
                <w:color w:val="FFFFFF"/>
                <w:sz w:val="14"/>
                <w:szCs w:val="14"/>
                <w:lang w:eastAsia="en-GB"/>
              </w:rPr>
              <w:t>Data source</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35184BE7" w14:textId="77777777" w:rsidR="00B53BA8" w:rsidRPr="001B661F" w:rsidRDefault="00B53BA8" w:rsidP="00B53BA8">
            <w:pPr>
              <w:jc w:val="center"/>
              <w:rPr>
                <w:rFonts w:eastAsia="Times New Roman" w:cs="Tahoma"/>
                <w:b/>
                <w:bCs/>
                <w:color w:val="FFFFFF"/>
                <w:sz w:val="14"/>
                <w:szCs w:val="14"/>
                <w:lang w:eastAsia="en-GB"/>
              </w:rPr>
            </w:pPr>
            <w:r w:rsidRPr="001B661F">
              <w:rPr>
                <w:rFonts w:eastAsia="Times New Roman" w:cs="Tahoma"/>
                <w:b/>
                <w:bCs/>
                <w:color w:val="FFFFFF"/>
                <w:sz w:val="14"/>
                <w:szCs w:val="14"/>
                <w:lang w:eastAsia="en-GB"/>
              </w:rPr>
              <w:t>Compulsory (Cp), voluntary (V),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0024B2DD" w14:textId="77777777" w:rsidR="00B53BA8" w:rsidRPr="001B661F" w:rsidRDefault="00B53BA8" w:rsidP="00B53BA8">
            <w:pPr>
              <w:jc w:val="center"/>
              <w:rPr>
                <w:rFonts w:eastAsia="Times New Roman" w:cs="Tahoma"/>
                <w:b/>
                <w:bCs/>
                <w:color w:val="FFFFFF"/>
                <w:sz w:val="14"/>
                <w:szCs w:val="14"/>
                <w:lang w:eastAsia="en-GB"/>
              </w:rPr>
            </w:pPr>
            <w:r w:rsidRPr="001B661F">
              <w:rPr>
                <w:rFonts w:eastAsia="Times New Roman" w:cs="Tahoma"/>
                <w:b/>
                <w:bCs/>
                <w:color w:val="FFFFFF"/>
                <w:sz w:val="14"/>
                <w:szCs w:val="14"/>
                <w:lang w:eastAsia="en-GB"/>
              </w:rPr>
              <w:t>Comprehensive (Co), sentinel (Se), other(O)</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1AEE88E0" w14:textId="77777777" w:rsidR="00B53BA8" w:rsidRPr="001B661F" w:rsidRDefault="00B53BA8" w:rsidP="00B53BA8">
            <w:pPr>
              <w:jc w:val="center"/>
              <w:rPr>
                <w:rFonts w:eastAsia="Times New Roman" w:cs="Tahoma"/>
                <w:b/>
                <w:bCs/>
                <w:color w:val="FFFFFF"/>
                <w:sz w:val="14"/>
                <w:szCs w:val="14"/>
                <w:lang w:eastAsia="en-GB"/>
              </w:rPr>
            </w:pPr>
            <w:r w:rsidRPr="001B661F">
              <w:rPr>
                <w:rFonts w:eastAsia="Times New Roman" w:cs="Tahoma"/>
                <w:b/>
                <w:bCs/>
                <w:color w:val="FFFFFF"/>
                <w:sz w:val="14"/>
                <w:szCs w:val="14"/>
                <w:lang w:eastAsia="en-GB"/>
              </w:rPr>
              <w:t>Active (A), passive (P)</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69AE23"/>
            <w:noWrap/>
            <w:textDirection w:val="btLr"/>
            <w:vAlign w:val="bottom"/>
            <w:hideMark/>
          </w:tcPr>
          <w:p w14:paraId="4C05C2E1" w14:textId="77777777" w:rsidR="00B53BA8" w:rsidRPr="001B661F" w:rsidRDefault="00B53BA8" w:rsidP="00B53BA8">
            <w:pPr>
              <w:jc w:val="center"/>
              <w:rPr>
                <w:rFonts w:eastAsia="Times New Roman" w:cs="Tahoma"/>
                <w:b/>
                <w:bCs/>
                <w:color w:val="FFFFFF"/>
                <w:sz w:val="14"/>
                <w:szCs w:val="14"/>
                <w:lang w:eastAsia="en-GB"/>
              </w:rPr>
            </w:pPr>
            <w:r w:rsidRPr="001B661F">
              <w:rPr>
                <w:rFonts w:eastAsia="Times New Roman" w:cs="Tahoma"/>
                <w:b/>
                <w:bCs/>
                <w:color w:val="FFFFFF"/>
                <w:sz w:val="14"/>
                <w:szCs w:val="14"/>
                <w:lang w:eastAsia="en-GB"/>
              </w:rPr>
              <w:t>Case-based (C), aggregated (A)</w:t>
            </w:r>
          </w:p>
        </w:tc>
        <w:tc>
          <w:tcPr>
            <w:tcW w:w="2280" w:type="dxa"/>
            <w:gridSpan w:val="4"/>
            <w:tcBorders>
              <w:top w:val="single" w:sz="4" w:space="0" w:color="auto"/>
              <w:left w:val="nil"/>
              <w:bottom w:val="single" w:sz="4" w:space="0" w:color="auto"/>
              <w:right w:val="single" w:sz="4" w:space="0" w:color="auto"/>
            </w:tcBorders>
            <w:shd w:val="clear" w:color="000000" w:fill="69AE23"/>
            <w:noWrap/>
            <w:hideMark/>
          </w:tcPr>
          <w:p w14:paraId="1412213C" w14:textId="77777777" w:rsidR="00B53BA8" w:rsidRPr="001B661F" w:rsidRDefault="00B53BA8" w:rsidP="00B53BA8">
            <w:pPr>
              <w:jc w:val="center"/>
              <w:rPr>
                <w:rFonts w:eastAsia="Times New Roman" w:cs="Tahoma"/>
                <w:b/>
                <w:bCs/>
                <w:color w:val="FFFFFF"/>
                <w:sz w:val="14"/>
                <w:szCs w:val="14"/>
                <w:lang w:eastAsia="en-GB"/>
              </w:rPr>
            </w:pPr>
            <w:r w:rsidRPr="001B661F">
              <w:rPr>
                <w:rFonts w:eastAsia="Times New Roman" w:cs="Tahoma"/>
                <w:b/>
                <w:bCs/>
                <w:color w:val="FFFFFF"/>
                <w:sz w:val="14"/>
                <w:szCs w:val="14"/>
                <w:lang w:eastAsia="en-GB"/>
              </w:rPr>
              <w:t>Data reported by</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69AE23"/>
            <w:noWrap/>
            <w:hideMark/>
          </w:tcPr>
          <w:p w14:paraId="1691B911" w14:textId="77777777" w:rsidR="00B53BA8" w:rsidRPr="001B661F" w:rsidRDefault="00B53BA8" w:rsidP="00B53BA8">
            <w:pPr>
              <w:rPr>
                <w:rFonts w:eastAsia="Times New Roman" w:cs="Tahoma"/>
                <w:b/>
                <w:bCs/>
                <w:color w:val="FFFFFF"/>
                <w:sz w:val="14"/>
                <w:szCs w:val="14"/>
                <w:lang w:eastAsia="en-GB"/>
              </w:rPr>
            </w:pPr>
            <w:r w:rsidRPr="001B661F">
              <w:rPr>
                <w:rFonts w:eastAsia="Times New Roman" w:cs="Tahoma"/>
                <w:b/>
                <w:bCs/>
                <w:color w:val="FFFFFF"/>
                <w:sz w:val="14"/>
                <w:szCs w:val="14"/>
                <w:lang w:eastAsia="en-GB"/>
              </w:rPr>
              <w:t>Case definition used</w:t>
            </w:r>
          </w:p>
        </w:tc>
      </w:tr>
      <w:tr w:rsidR="00034328" w:rsidRPr="00B53BA8" w14:paraId="2D4AE7AD" w14:textId="77777777" w:rsidTr="0058098B">
        <w:trPr>
          <w:trHeight w:val="2844"/>
        </w:trPr>
        <w:tc>
          <w:tcPr>
            <w:tcW w:w="1017" w:type="dxa"/>
            <w:vMerge/>
            <w:tcBorders>
              <w:top w:val="single" w:sz="4" w:space="0" w:color="auto"/>
              <w:left w:val="single" w:sz="4" w:space="0" w:color="auto"/>
              <w:bottom w:val="single" w:sz="4" w:space="0" w:color="auto"/>
              <w:right w:val="single" w:sz="4" w:space="0" w:color="auto"/>
            </w:tcBorders>
            <w:vAlign w:val="center"/>
            <w:hideMark/>
          </w:tcPr>
          <w:p w14:paraId="07B5A018" w14:textId="77777777" w:rsidR="00B53BA8" w:rsidRPr="001B661F" w:rsidRDefault="00B53BA8" w:rsidP="00B53BA8">
            <w:pPr>
              <w:rPr>
                <w:rFonts w:eastAsia="Times New Roman" w:cs="Tahoma"/>
                <w:b/>
                <w:bCs/>
                <w:color w:val="FFFFFF"/>
                <w:sz w:val="14"/>
                <w:szCs w:val="14"/>
                <w:lang w:eastAsia="en-GB"/>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14:paraId="5DCB703D" w14:textId="77777777" w:rsidR="00B53BA8" w:rsidRPr="001B661F" w:rsidRDefault="00B53BA8" w:rsidP="00B53BA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609DC4DA" w14:textId="77777777" w:rsidR="00B53BA8" w:rsidRPr="001B661F" w:rsidRDefault="00B53BA8" w:rsidP="00B53BA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1F95C03B" w14:textId="77777777" w:rsidR="00B53BA8" w:rsidRPr="001B661F" w:rsidRDefault="00B53BA8" w:rsidP="00B53BA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4EFC5387" w14:textId="77777777" w:rsidR="00B53BA8" w:rsidRPr="001B661F" w:rsidRDefault="00B53BA8" w:rsidP="00B53BA8">
            <w:pPr>
              <w:rPr>
                <w:rFonts w:eastAsia="Times New Roman" w:cs="Tahoma"/>
                <w:b/>
                <w:bCs/>
                <w:color w:val="FFFFFF"/>
                <w:sz w:val="14"/>
                <w:szCs w:val="14"/>
                <w:lang w:eastAsia="en-GB"/>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411D2F72" w14:textId="77777777" w:rsidR="00B53BA8" w:rsidRPr="001B661F" w:rsidRDefault="00B53BA8" w:rsidP="00B53BA8">
            <w:pPr>
              <w:rPr>
                <w:rFonts w:eastAsia="Times New Roman" w:cs="Tahoma"/>
                <w:b/>
                <w:bCs/>
                <w:color w:val="FFFFFF"/>
                <w:sz w:val="14"/>
                <w:szCs w:val="14"/>
                <w:lang w:eastAsia="en-GB"/>
              </w:rPr>
            </w:pPr>
          </w:p>
        </w:tc>
        <w:tc>
          <w:tcPr>
            <w:tcW w:w="570" w:type="dxa"/>
            <w:tcBorders>
              <w:top w:val="nil"/>
              <w:left w:val="nil"/>
              <w:bottom w:val="nil"/>
              <w:right w:val="single" w:sz="4" w:space="0" w:color="auto"/>
            </w:tcBorders>
            <w:shd w:val="clear" w:color="000000" w:fill="69AE23"/>
            <w:noWrap/>
            <w:textDirection w:val="btLr"/>
            <w:vAlign w:val="bottom"/>
            <w:hideMark/>
          </w:tcPr>
          <w:p w14:paraId="17B1F43F" w14:textId="77777777" w:rsidR="00B53BA8" w:rsidRPr="001B661F" w:rsidRDefault="00B53BA8" w:rsidP="00B53BA8">
            <w:pPr>
              <w:jc w:val="center"/>
              <w:rPr>
                <w:rFonts w:eastAsia="Times New Roman" w:cs="Tahoma"/>
                <w:b/>
                <w:bCs/>
                <w:color w:val="FFFFFF"/>
                <w:sz w:val="14"/>
                <w:szCs w:val="14"/>
                <w:lang w:eastAsia="en-GB"/>
              </w:rPr>
            </w:pPr>
            <w:r w:rsidRPr="001B661F">
              <w:rPr>
                <w:rFonts w:eastAsia="Times New Roman" w:cs="Tahoma"/>
                <w:b/>
                <w:bCs/>
                <w:color w:val="FFFFFF"/>
                <w:sz w:val="14"/>
                <w:szCs w:val="14"/>
                <w:lang w:eastAsia="en-GB"/>
              </w:rPr>
              <w:t>Laboratories</w:t>
            </w:r>
          </w:p>
        </w:tc>
        <w:tc>
          <w:tcPr>
            <w:tcW w:w="570" w:type="dxa"/>
            <w:tcBorders>
              <w:top w:val="nil"/>
              <w:left w:val="nil"/>
              <w:bottom w:val="nil"/>
              <w:right w:val="single" w:sz="4" w:space="0" w:color="auto"/>
            </w:tcBorders>
            <w:shd w:val="clear" w:color="000000" w:fill="69AE23"/>
            <w:noWrap/>
            <w:textDirection w:val="btLr"/>
            <w:vAlign w:val="bottom"/>
            <w:hideMark/>
          </w:tcPr>
          <w:p w14:paraId="20F3C179" w14:textId="77777777" w:rsidR="00B53BA8" w:rsidRPr="001B661F" w:rsidRDefault="00B53BA8" w:rsidP="00B53BA8">
            <w:pPr>
              <w:jc w:val="center"/>
              <w:rPr>
                <w:rFonts w:eastAsia="Times New Roman" w:cs="Tahoma"/>
                <w:b/>
                <w:bCs/>
                <w:color w:val="FFFFFF"/>
                <w:sz w:val="14"/>
                <w:szCs w:val="14"/>
                <w:lang w:eastAsia="en-GB"/>
              </w:rPr>
            </w:pPr>
            <w:r w:rsidRPr="001B661F">
              <w:rPr>
                <w:rFonts w:eastAsia="Times New Roman" w:cs="Tahoma"/>
                <w:b/>
                <w:bCs/>
                <w:color w:val="FFFFFF"/>
                <w:sz w:val="14"/>
                <w:szCs w:val="14"/>
                <w:lang w:eastAsia="en-GB"/>
              </w:rPr>
              <w:t>Physicians</w:t>
            </w:r>
          </w:p>
        </w:tc>
        <w:tc>
          <w:tcPr>
            <w:tcW w:w="570" w:type="dxa"/>
            <w:tcBorders>
              <w:top w:val="nil"/>
              <w:left w:val="nil"/>
              <w:bottom w:val="nil"/>
              <w:right w:val="single" w:sz="4" w:space="0" w:color="auto"/>
            </w:tcBorders>
            <w:shd w:val="clear" w:color="000000" w:fill="69AE23"/>
            <w:noWrap/>
            <w:textDirection w:val="btLr"/>
            <w:vAlign w:val="bottom"/>
            <w:hideMark/>
          </w:tcPr>
          <w:p w14:paraId="4251F55B" w14:textId="77777777" w:rsidR="00B53BA8" w:rsidRPr="001B661F" w:rsidRDefault="00B53BA8" w:rsidP="00B53BA8">
            <w:pPr>
              <w:jc w:val="center"/>
              <w:rPr>
                <w:rFonts w:eastAsia="Times New Roman" w:cs="Tahoma"/>
                <w:b/>
                <w:bCs/>
                <w:color w:val="FFFFFF"/>
                <w:sz w:val="14"/>
                <w:szCs w:val="14"/>
                <w:lang w:eastAsia="en-GB"/>
              </w:rPr>
            </w:pPr>
            <w:r w:rsidRPr="001B661F">
              <w:rPr>
                <w:rFonts w:eastAsia="Times New Roman" w:cs="Tahoma"/>
                <w:b/>
                <w:bCs/>
                <w:color w:val="FFFFFF"/>
                <w:sz w:val="14"/>
                <w:szCs w:val="14"/>
                <w:lang w:eastAsia="en-GB"/>
              </w:rPr>
              <w:t>Hospitals</w:t>
            </w:r>
          </w:p>
        </w:tc>
        <w:tc>
          <w:tcPr>
            <w:tcW w:w="570" w:type="dxa"/>
            <w:tcBorders>
              <w:top w:val="nil"/>
              <w:left w:val="nil"/>
              <w:bottom w:val="nil"/>
              <w:right w:val="single" w:sz="4" w:space="0" w:color="auto"/>
            </w:tcBorders>
            <w:shd w:val="clear" w:color="000000" w:fill="69AE23"/>
            <w:noWrap/>
            <w:textDirection w:val="btLr"/>
            <w:vAlign w:val="bottom"/>
            <w:hideMark/>
          </w:tcPr>
          <w:p w14:paraId="5D3E78F3" w14:textId="77777777" w:rsidR="00B53BA8" w:rsidRPr="001B661F" w:rsidRDefault="00B53BA8" w:rsidP="00B53BA8">
            <w:pPr>
              <w:jc w:val="center"/>
              <w:rPr>
                <w:rFonts w:eastAsia="Times New Roman" w:cs="Tahoma"/>
                <w:b/>
                <w:bCs/>
                <w:color w:val="FFFFFF"/>
                <w:sz w:val="14"/>
                <w:szCs w:val="14"/>
                <w:lang w:eastAsia="en-GB"/>
              </w:rPr>
            </w:pPr>
            <w:r w:rsidRPr="001B661F">
              <w:rPr>
                <w:rFonts w:eastAsia="Times New Roman" w:cs="Tahoma"/>
                <w:b/>
                <w:bCs/>
                <w:color w:val="FFFFFF"/>
                <w:sz w:val="14"/>
                <w:szCs w:val="14"/>
                <w:lang w:eastAsia="en-GB"/>
              </w:rPr>
              <w:t>Others</w:t>
            </w: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0B2FAC3" w14:textId="77777777" w:rsidR="00B53BA8" w:rsidRPr="001B661F" w:rsidRDefault="00B53BA8" w:rsidP="00B53BA8">
            <w:pPr>
              <w:rPr>
                <w:rFonts w:eastAsia="Times New Roman" w:cs="Tahoma"/>
                <w:b/>
                <w:bCs/>
                <w:color w:val="FFFFFF"/>
                <w:sz w:val="14"/>
                <w:szCs w:val="14"/>
                <w:lang w:eastAsia="en-GB"/>
              </w:rPr>
            </w:pPr>
          </w:p>
        </w:tc>
      </w:tr>
      <w:tr w:rsidR="00034328" w:rsidRPr="00B53BA8" w14:paraId="454E8B86" w14:textId="77777777" w:rsidTr="0058098B">
        <w:trPr>
          <w:trHeight w:val="236"/>
        </w:trPr>
        <w:tc>
          <w:tcPr>
            <w:tcW w:w="1017" w:type="dxa"/>
            <w:tcBorders>
              <w:top w:val="single" w:sz="4" w:space="0" w:color="auto"/>
              <w:left w:val="single" w:sz="4" w:space="0" w:color="auto"/>
              <w:bottom w:val="nil"/>
              <w:right w:val="single" w:sz="4" w:space="0" w:color="auto"/>
            </w:tcBorders>
            <w:shd w:val="clear" w:color="000000" w:fill="D9D9D9"/>
            <w:noWrap/>
            <w:vAlign w:val="bottom"/>
            <w:hideMark/>
          </w:tcPr>
          <w:p w14:paraId="2DA6B3B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Austria</w:t>
            </w:r>
          </w:p>
        </w:tc>
        <w:tc>
          <w:tcPr>
            <w:tcW w:w="2827" w:type="dxa"/>
            <w:tcBorders>
              <w:top w:val="single" w:sz="4" w:space="0" w:color="auto"/>
              <w:left w:val="single" w:sz="4" w:space="0" w:color="auto"/>
              <w:bottom w:val="nil"/>
              <w:right w:val="single" w:sz="4" w:space="0" w:color="auto"/>
            </w:tcBorders>
            <w:shd w:val="clear" w:color="000000" w:fill="D9D9D9"/>
            <w:noWrap/>
            <w:vAlign w:val="bottom"/>
            <w:hideMark/>
          </w:tcPr>
          <w:p w14:paraId="6F491B1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AT-</w:t>
            </w:r>
            <w:proofErr w:type="spellStart"/>
            <w:r w:rsidRPr="001B661F">
              <w:rPr>
                <w:rFonts w:eastAsia="Times New Roman" w:cs="Tahoma"/>
                <w:sz w:val="14"/>
                <w:szCs w:val="14"/>
                <w:lang w:eastAsia="en-GB"/>
              </w:rPr>
              <w:t>Epidemiegesetz</w:t>
            </w:r>
            <w:proofErr w:type="spellEnd"/>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62A22B1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025CA98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37DFE65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2394C36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1D19BD9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7F8BC60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303A3D1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single" w:sz="4" w:space="0" w:color="auto"/>
              <w:left w:val="single" w:sz="4" w:space="0" w:color="auto"/>
              <w:bottom w:val="nil"/>
              <w:right w:val="single" w:sz="4" w:space="0" w:color="auto"/>
            </w:tcBorders>
            <w:shd w:val="clear" w:color="000000" w:fill="D9D9D9"/>
            <w:noWrap/>
            <w:vAlign w:val="bottom"/>
            <w:hideMark/>
          </w:tcPr>
          <w:p w14:paraId="454656C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1709" w:type="dxa"/>
            <w:tcBorders>
              <w:top w:val="single" w:sz="4" w:space="0" w:color="auto"/>
              <w:left w:val="nil"/>
              <w:bottom w:val="nil"/>
              <w:right w:val="single" w:sz="4" w:space="0" w:color="auto"/>
            </w:tcBorders>
            <w:shd w:val="clear" w:color="000000" w:fill="D9D9D9"/>
            <w:noWrap/>
            <w:vAlign w:val="bottom"/>
            <w:hideMark/>
          </w:tcPr>
          <w:p w14:paraId="367BC55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EU-2008</w:t>
            </w:r>
          </w:p>
        </w:tc>
      </w:tr>
      <w:tr w:rsidR="00B53BA8" w:rsidRPr="00B53BA8" w14:paraId="6FCA2461"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714B634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Belgium</w:t>
            </w:r>
          </w:p>
        </w:tc>
        <w:tc>
          <w:tcPr>
            <w:tcW w:w="2827" w:type="dxa"/>
            <w:tcBorders>
              <w:top w:val="nil"/>
              <w:left w:val="nil"/>
              <w:bottom w:val="nil"/>
              <w:right w:val="single" w:sz="4" w:space="0" w:color="auto"/>
            </w:tcBorders>
            <w:shd w:val="clear" w:color="auto" w:fill="auto"/>
            <w:noWrap/>
            <w:vAlign w:val="bottom"/>
            <w:hideMark/>
          </w:tcPr>
          <w:p w14:paraId="742B8AB4" w14:textId="55ED679A"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BE-</w:t>
            </w:r>
            <w:r w:rsidR="00043DBA">
              <w:rPr>
                <w:rFonts w:eastAsia="Times New Roman" w:cs="Tahoma"/>
                <w:sz w:val="14"/>
                <w:szCs w:val="14"/>
                <w:lang w:eastAsia="en-GB"/>
              </w:rPr>
              <w:t>REFLAB</w:t>
            </w:r>
          </w:p>
        </w:tc>
        <w:tc>
          <w:tcPr>
            <w:tcW w:w="570" w:type="dxa"/>
            <w:tcBorders>
              <w:top w:val="nil"/>
              <w:left w:val="nil"/>
              <w:bottom w:val="nil"/>
              <w:right w:val="single" w:sz="4" w:space="0" w:color="auto"/>
            </w:tcBorders>
            <w:shd w:val="clear" w:color="auto" w:fill="auto"/>
            <w:noWrap/>
            <w:vAlign w:val="bottom"/>
            <w:hideMark/>
          </w:tcPr>
          <w:p w14:paraId="4575105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37013B5E" w14:textId="6537AF6A" w:rsidR="00B53BA8" w:rsidRPr="001B661F" w:rsidRDefault="00BA494D" w:rsidP="001B661F">
            <w:pPr>
              <w:spacing w:before="120" w:after="0"/>
              <w:rPr>
                <w:rFonts w:eastAsia="Times New Roman" w:cs="Tahoma"/>
                <w:sz w:val="14"/>
                <w:szCs w:val="14"/>
                <w:lang w:eastAsia="en-GB"/>
              </w:rPr>
            </w:pPr>
            <w:r>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54F437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CDCF10C" w14:textId="5EEAB4AA" w:rsidR="00B53BA8" w:rsidRPr="001B661F" w:rsidRDefault="00BA494D" w:rsidP="001B661F">
            <w:pPr>
              <w:spacing w:before="120" w:after="0"/>
              <w:rPr>
                <w:rFonts w:eastAsia="Times New Roman" w:cs="Tahoma"/>
                <w:sz w:val="14"/>
                <w:szCs w:val="14"/>
                <w:lang w:eastAsia="en-GB"/>
              </w:rPr>
            </w:pPr>
            <w:r>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13181CA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F0FC42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3AE3E5D4" w14:textId="45B7AA46" w:rsidR="00B53BA8" w:rsidRPr="001B661F" w:rsidRDefault="00BA494D" w:rsidP="001B661F">
            <w:pPr>
              <w:spacing w:before="120" w:after="0"/>
              <w:rPr>
                <w:rFonts w:eastAsia="Times New Roman" w:cs="Tahoma"/>
                <w:sz w:val="14"/>
                <w:szCs w:val="14"/>
                <w:lang w:eastAsia="en-GB"/>
              </w:rPr>
            </w:pPr>
            <w:r>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53F4C690" w14:textId="15FB74B0" w:rsidR="00B53BA8" w:rsidRPr="001B661F" w:rsidRDefault="00BA494D" w:rsidP="001B661F">
            <w:pPr>
              <w:spacing w:before="120" w:after="0"/>
              <w:rPr>
                <w:rFonts w:eastAsia="Times New Roman" w:cs="Tahoma"/>
                <w:sz w:val="14"/>
                <w:szCs w:val="14"/>
                <w:lang w:eastAsia="en-GB"/>
              </w:rPr>
            </w:pPr>
            <w:r>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70726644" w14:textId="3AE49024"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w:t>
            </w:r>
            <w:r w:rsidR="00BA494D">
              <w:rPr>
                <w:rFonts w:eastAsia="Times New Roman" w:cs="Tahoma"/>
                <w:sz w:val="14"/>
                <w:szCs w:val="14"/>
                <w:lang w:eastAsia="en-GB"/>
              </w:rPr>
              <w:t>8</w:t>
            </w:r>
          </w:p>
        </w:tc>
      </w:tr>
      <w:tr w:rsidR="00034328" w:rsidRPr="00B53BA8" w14:paraId="01EDC6E9"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38E289C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Bulgaria</w:t>
            </w:r>
          </w:p>
        </w:tc>
        <w:tc>
          <w:tcPr>
            <w:tcW w:w="2827" w:type="dxa"/>
            <w:tcBorders>
              <w:top w:val="nil"/>
              <w:left w:val="single" w:sz="4" w:space="0" w:color="auto"/>
              <w:bottom w:val="nil"/>
              <w:right w:val="single" w:sz="4" w:space="0" w:color="auto"/>
            </w:tcBorders>
            <w:shd w:val="clear" w:color="000000" w:fill="D9D9D9"/>
            <w:noWrap/>
            <w:vAlign w:val="bottom"/>
            <w:hideMark/>
          </w:tcPr>
          <w:p w14:paraId="65CDABA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BG-NATIONAL_SURVEILLANCE</w:t>
            </w:r>
          </w:p>
        </w:tc>
        <w:tc>
          <w:tcPr>
            <w:tcW w:w="570" w:type="dxa"/>
            <w:tcBorders>
              <w:top w:val="nil"/>
              <w:left w:val="single" w:sz="4" w:space="0" w:color="auto"/>
              <w:bottom w:val="nil"/>
              <w:right w:val="single" w:sz="4" w:space="0" w:color="auto"/>
            </w:tcBorders>
            <w:shd w:val="clear" w:color="000000" w:fill="D9D9D9"/>
            <w:noWrap/>
            <w:vAlign w:val="bottom"/>
            <w:hideMark/>
          </w:tcPr>
          <w:p w14:paraId="1E40181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1BE9EB9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7FF347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148D108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A</w:t>
            </w:r>
          </w:p>
        </w:tc>
        <w:tc>
          <w:tcPr>
            <w:tcW w:w="570" w:type="dxa"/>
            <w:tcBorders>
              <w:top w:val="nil"/>
              <w:left w:val="single" w:sz="4" w:space="0" w:color="auto"/>
              <w:bottom w:val="nil"/>
              <w:right w:val="single" w:sz="4" w:space="0" w:color="auto"/>
            </w:tcBorders>
            <w:shd w:val="clear" w:color="000000" w:fill="D9D9D9"/>
            <w:noWrap/>
            <w:vAlign w:val="bottom"/>
            <w:hideMark/>
          </w:tcPr>
          <w:p w14:paraId="02BED2C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DA99CD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EF3084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C91554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1709" w:type="dxa"/>
            <w:tcBorders>
              <w:top w:val="nil"/>
              <w:left w:val="nil"/>
              <w:bottom w:val="nil"/>
              <w:right w:val="single" w:sz="4" w:space="0" w:color="auto"/>
            </w:tcBorders>
            <w:shd w:val="clear" w:color="000000" w:fill="D9D9D9"/>
            <w:noWrap/>
            <w:vAlign w:val="bottom"/>
            <w:hideMark/>
          </w:tcPr>
          <w:p w14:paraId="1E8225B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EU-2018</w:t>
            </w:r>
          </w:p>
        </w:tc>
      </w:tr>
      <w:tr w:rsidR="0058098B" w:rsidRPr="00B53BA8" w14:paraId="012C6C81"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tcPr>
          <w:p w14:paraId="19F47B90" w14:textId="2BBD9DCF" w:rsidR="0058098B" w:rsidRPr="001B661F" w:rsidRDefault="0058098B" w:rsidP="0058098B">
            <w:pPr>
              <w:spacing w:before="120" w:after="0"/>
              <w:rPr>
                <w:rFonts w:eastAsia="Times New Roman" w:cs="Tahoma"/>
                <w:sz w:val="14"/>
                <w:szCs w:val="14"/>
                <w:lang w:eastAsia="en-GB"/>
              </w:rPr>
            </w:pPr>
            <w:r>
              <w:rPr>
                <w:rFonts w:eastAsia="Times New Roman" w:cs="Tahoma"/>
                <w:sz w:val="14"/>
                <w:szCs w:val="14"/>
                <w:lang w:eastAsia="en-GB"/>
              </w:rPr>
              <w:t>Croatia</w:t>
            </w:r>
          </w:p>
        </w:tc>
        <w:tc>
          <w:tcPr>
            <w:tcW w:w="2827" w:type="dxa"/>
            <w:tcBorders>
              <w:top w:val="nil"/>
              <w:left w:val="nil"/>
              <w:bottom w:val="nil"/>
              <w:right w:val="single" w:sz="4" w:space="0" w:color="auto"/>
            </w:tcBorders>
            <w:shd w:val="clear" w:color="auto" w:fill="auto"/>
            <w:noWrap/>
          </w:tcPr>
          <w:p w14:paraId="53350F84" w14:textId="7B8F8740"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HR-CNIPH</w:t>
            </w:r>
          </w:p>
        </w:tc>
        <w:tc>
          <w:tcPr>
            <w:tcW w:w="570" w:type="dxa"/>
            <w:tcBorders>
              <w:top w:val="nil"/>
              <w:left w:val="nil"/>
              <w:bottom w:val="nil"/>
              <w:right w:val="single" w:sz="4" w:space="0" w:color="auto"/>
            </w:tcBorders>
            <w:shd w:val="clear" w:color="auto" w:fill="auto"/>
            <w:noWrap/>
          </w:tcPr>
          <w:p w14:paraId="35A12162" w14:textId="4C449F88"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Cp</w:t>
            </w:r>
          </w:p>
        </w:tc>
        <w:tc>
          <w:tcPr>
            <w:tcW w:w="570" w:type="dxa"/>
            <w:tcBorders>
              <w:top w:val="nil"/>
              <w:left w:val="nil"/>
              <w:bottom w:val="nil"/>
              <w:right w:val="single" w:sz="4" w:space="0" w:color="auto"/>
            </w:tcBorders>
            <w:shd w:val="clear" w:color="auto" w:fill="auto"/>
            <w:noWrap/>
          </w:tcPr>
          <w:p w14:paraId="018A6BB2" w14:textId="7FA8F2DA"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Co</w:t>
            </w:r>
          </w:p>
        </w:tc>
        <w:tc>
          <w:tcPr>
            <w:tcW w:w="570" w:type="dxa"/>
            <w:tcBorders>
              <w:top w:val="nil"/>
              <w:left w:val="nil"/>
              <w:bottom w:val="nil"/>
              <w:right w:val="single" w:sz="4" w:space="0" w:color="auto"/>
            </w:tcBorders>
            <w:shd w:val="clear" w:color="auto" w:fill="auto"/>
            <w:noWrap/>
          </w:tcPr>
          <w:p w14:paraId="36523CE5" w14:textId="0F799C38"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P</w:t>
            </w:r>
          </w:p>
        </w:tc>
        <w:tc>
          <w:tcPr>
            <w:tcW w:w="570" w:type="dxa"/>
            <w:tcBorders>
              <w:top w:val="nil"/>
              <w:left w:val="nil"/>
              <w:bottom w:val="nil"/>
              <w:right w:val="single" w:sz="4" w:space="0" w:color="auto"/>
            </w:tcBorders>
            <w:shd w:val="clear" w:color="auto" w:fill="auto"/>
            <w:noWrap/>
          </w:tcPr>
          <w:p w14:paraId="0BF6DDA2" w14:textId="476AD01C"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C</w:t>
            </w:r>
          </w:p>
        </w:tc>
        <w:tc>
          <w:tcPr>
            <w:tcW w:w="570" w:type="dxa"/>
            <w:tcBorders>
              <w:top w:val="nil"/>
              <w:left w:val="nil"/>
              <w:bottom w:val="nil"/>
              <w:right w:val="single" w:sz="4" w:space="0" w:color="auto"/>
            </w:tcBorders>
            <w:shd w:val="clear" w:color="auto" w:fill="auto"/>
            <w:noWrap/>
          </w:tcPr>
          <w:p w14:paraId="18A156E3" w14:textId="67BE8BC0"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Y</w:t>
            </w:r>
          </w:p>
        </w:tc>
        <w:tc>
          <w:tcPr>
            <w:tcW w:w="570" w:type="dxa"/>
            <w:tcBorders>
              <w:top w:val="nil"/>
              <w:left w:val="nil"/>
              <w:bottom w:val="nil"/>
              <w:right w:val="single" w:sz="4" w:space="0" w:color="auto"/>
            </w:tcBorders>
            <w:shd w:val="clear" w:color="auto" w:fill="auto"/>
            <w:noWrap/>
          </w:tcPr>
          <w:p w14:paraId="008EFD70" w14:textId="14042CD4"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Y</w:t>
            </w:r>
          </w:p>
        </w:tc>
        <w:tc>
          <w:tcPr>
            <w:tcW w:w="570" w:type="dxa"/>
            <w:tcBorders>
              <w:top w:val="nil"/>
              <w:left w:val="nil"/>
              <w:bottom w:val="nil"/>
              <w:right w:val="single" w:sz="4" w:space="0" w:color="auto"/>
            </w:tcBorders>
            <w:shd w:val="clear" w:color="auto" w:fill="auto"/>
            <w:noWrap/>
          </w:tcPr>
          <w:p w14:paraId="089D634B" w14:textId="7F387FF4"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Y</w:t>
            </w:r>
          </w:p>
        </w:tc>
        <w:tc>
          <w:tcPr>
            <w:tcW w:w="570" w:type="dxa"/>
            <w:tcBorders>
              <w:top w:val="nil"/>
              <w:left w:val="nil"/>
              <w:bottom w:val="nil"/>
              <w:right w:val="single" w:sz="4" w:space="0" w:color="auto"/>
            </w:tcBorders>
            <w:shd w:val="clear" w:color="auto" w:fill="auto"/>
            <w:noWrap/>
          </w:tcPr>
          <w:p w14:paraId="18F6F12B" w14:textId="3591A3A9"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Y</w:t>
            </w:r>
          </w:p>
        </w:tc>
        <w:tc>
          <w:tcPr>
            <w:tcW w:w="1709" w:type="dxa"/>
            <w:tcBorders>
              <w:top w:val="nil"/>
              <w:left w:val="nil"/>
              <w:bottom w:val="nil"/>
              <w:right w:val="single" w:sz="4" w:space="0" w:color="auto"/>
            </w:tcBorders>
            <w:shd w:val="clear" w:color="auto" w:fill="auto"/>
            <w:noWrap/>
          </w:tcPr>
          <w:p w14:paraId="548EB116" w14:textId="2F405327" w:rsidR="0058098B" w:rsidRPr="0058098B" w:rsidRDefault="0058098B" w:rsidP="0058098B">
            <w:pPr>
              <w:spacing w:before="120" w:after="0"/>
              <w:rPr>
                <w:rFonts w:eastAsia="Times New Roman" w:cs="Tahoma"/>
                <w:sz w:val="14"/>
                <w:szCs w:val="14"/>
                <w:lang w:eastAsia="en-GB"/>
              </w:rPr>
            </w:pPr>
            <w:r w:rsidRPr="0058098B">
              <w:rPr>
                <w:rFonts w:cs="Tahoma"/>
                <w:color w:val="000000"/>
                <w:sz w:val="14"/>
                <w:szCs w:val="14"/>
              </w:rPr>
              <w:t>EUCD2012</w:t>
            </w:r>
          </w:p>
        </w:tc>
      </w:tr>
      <w:tr w:rsidR="00034328" w:rsidRPr="00B53BA8" w14:paraId="0E40806D"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204B4205"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Cyprus</w:t>
            </w:r>
          </w:p>
        </w:tc>
        <w:tc>
          <w:tcPr>
            <w:tcW w:w="2827" w:type="dxa"/>
            <w:tcBorders>
              <w:top w:val="nil"/>
              <w:left w:val="single" w:sz="4" w:space="0" w:color="auto"/>
              <w:bottom w:val="nil"/>
              <w:right w:val="single" w:sz="4" w:space="0" w:color="auto"/>
            </w:tcBorders>
            <w:shd w:val="clear" w:color="000000" w:fill="D9D9D9"/>
            <w:noWrap/>
            <w:vAlign w:val="bottom"/>
            <w:hideMark/>
          </w:tcPr>
          <w:p w14:paraId="0230734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CY-NOTIFIED_DISEASES</w:t>
            </w:r>
          </w:p>
        </w:tc>
        <w:tc>
          <w:tcPr>
            <w:tcW w:w="570" w:type="dxa"/>
            <w:tcBorders>
              <w:top w:val="nil"/>
              <w:left w:val="single" w:sz="4" w:space="0" w:color="auto"/>
              <w:bottom w:val="nil"/>
              <w:right w:val="single" w:sz="4" w:space="0" w:color="auto"/>
            </w:tcBorders>
            <w:shd w:val="clear" w:color="000000" w:fill="D9D9D9"/>
            <w:noWrap/>
            <w:vAlign w:val="bottom"/>
            <w:hideMark/>
          </w:tcPr>
          <w:p w14:paraId="17C3A91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483A0F2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6649B8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0CAE92E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046AF9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52CBF20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50FCD4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A43107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79DC29E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EU-2008</w:t>
            </w:r>
          </w:p>
        </w:tc>
      </w:tr>
      <w:tr w:rsidR="00B53BA8" w:rsidRPr="00B53BA8" w14:paraId="4721F420"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5B8B92A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Czechia</w:t>
            </w:r>
          </w:p>
        </w:tc>
        <w:tc>
          <w:tcPr>
            <w:tcW w:w="2827" w:type="dxa"/>
            <w:tcBorders>
              <w:top w:val="nil"/>
              <w:left w:val="nil"/>
              <w:bottom w:val="nil"/>
              <w:right w:val="single" w:sz="4" w:space="0" w:color="auto"/>
            </w:tcBorders>
            <w:shd w:val="clear" w:color="auto" w:fill="auto"/>
            <w:noWrap/>
            <w:vAlign w:val="bottom"/>
            <w:hideMark/>
          </w:tcPr>
          <w:p w14:paraId="14865F0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CZ-ISIN</w:t>
            </w:r>
          </w:p>
        </w:tc>
        <w:tc>
          <w:tcPr>
            <w:tcW w:w="570" w:type="dxa"/>
            <w:tcBorders>
              <w:top w:val="nil"/>
              <w:left w:val="nil"/>
              <w:bottom w:val="nil"/>
              <w:right w:val="single" w:sz="4" w:space="0" w:color="auto"/>
            </w:tcBorders>
            <w:shd w:val="clear" w:color="auto" w:fill="auto"/>
            <w:noWrap/>
            <w:vAlign w:val="bottom"/>
            <w:hideMark/>
          </w:tcPr>
          <w:p w14:paraId="01F825C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27CEDAE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5B18B7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473F5A9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484672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676BB8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40615B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87D0E1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409249B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EU-2008</w:t>
            </w:r>
          </w:p>
        </w:tc>
      </w:tr>
      <w:tr w:rsidR="00034328" w:rsidRPr="00B53BA8" w14:paraId="7AD3A6A1"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7C9F4DE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Denmark</w:t>
            </w:r>
          </w:p>
        </w:tc>
        <w:tc>
          <w:tcPr>
            <w:tcW w:w="2827" w:type="dxa"/>
            <w:tcBorders>
              <w:top w:val="nil"/>
              <w:left w:val="single" w:sz="4" w:space="0" w:color="auto"/>
              <w:bottom w:val="nil"/>
              <w:right w:val="single" w:sz="4" w:space="0" w:color="auto"/>
            </w:tcBorders>
            <w:shd w:val="clear" w:color="000000" w:fill="D9D9D9"/>
            <w:noWrap/>
            <w:vAlign w:val="bottom"/>
            <w:hideMark/>
          </w:tcPr>
          <w:p w14:paraId="067BC44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DK-LAB</w:t>
            </w:r>
          </w:p>
        </w:tc>
        <w:tc>
          <w:tcPr>
            <w:tcW w:w="570" w:type="dxa"/>
            <w:tcBorders>
              <w:top w:val="nil"/>
              <w:left w:val="single" w:sz="4" w:space="0" w:color="auto"/>
              <w:bottom w:val="nil"/>
              <w:right w:val="single" w:sz="4" w:space="0" w:color="auto"/>
            </w:tcBorders>
            <w:shd w:val="clear" w:color="000000" w:fill="D9D9D9"/>
            <w:noWrap/>
            <w:vAlign w:val="bottom"/>
            <w:hideMark/>
          </w:tcPr>
          <w:p w14:paraId="55257DE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1A5CFEC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CA6368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0F8617D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264E058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A35CA4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1C9DEA4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131492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0AD0798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Other</w:t>
            </w:r>
          </w:p>
        </w:tc>
      </w:tr>
      <w:tr w:rsidR="00B53BA8" w:rsidRPr="00B53BA8" w14:paraId="1F5E7319"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24AC663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Estonia</w:t>
            </w:r>
          </w:p>
        </w:tc>
        <w:tc>
          <w:tcPr>
            <w:tcW w:w="2827" w:type="dxa"/>
            <w:tcBorders>
              <w:top w:val="nil"/>
              <w:left w:val="nil"/>
              <w:bottom w:val="nil"/>
              <w:right w:val="single" w:sz="4" w:space="0" w:color="auto"/>
            </w:tcBorders>
            <w:shd w:val="clear" w:color="auto" w:fill="auto"/>
            <w:noWrap/>
            <w:vAlign w:val="bottom"/>
            <w:hideMark/>
          </w:tcPr>
          <w:p w14:paraId="04DA7CB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EE-NAKIS</w:t>
            </w:r>
          </w:p>
        </w:tc>
        <w:tc>
          <w:tcPr>
            <w:tcW w:w="570" w:type="dxa"/>
            <w:tcBorders>
              <w:top w:val="nil"/>
              <w:left w:val="nil"/>
              <w:bottom w:val="nil"/>
              <w:right w:val="single" w:sz="4" w:space="0" w:color="auto"/>
            </w:tcBorders>
            <w:shd w:val="clear" w:color="auto" w:fill="auto"/>
            <w:noWrap/>
            <w:vAlign w:val="bottom"/>
            <w:hideMark/>
          </w:tcPr>
          <w:p w14:paraId="4CF024F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33C619E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1DD73E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37B4912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25325BE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7FC0CE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B88A46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41902F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4E9403B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EU-2018</w:t>
            </w:r>
          </w:p>
        </w:tc>
      </w:tr>
      <w:tr w:rsidR="00034328" w:rsidRPr="00B53BA8" w14:paraId="1D4A6FA9"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057238B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Finland</w:t>
            </w:r>
          </w:p>
        </w:tc>
        <w:tc>
          <w:tcPr>
            <w:tcW w:w="2827" w:type="dxa"/>
            <w:tcBorders>
              <w:top w:val="nil"/>
              <w:left w:val="single" w:sz="4" w:space="0" w:color="auto"/>
              <w:bottom w:val="nil"/>
              <w:right w:val="single" w:sz="4" w:space="0" w:color="auto"/>
            </w:tcBorders>
            <w:shd w:val="clear" w:color="000000" w:fill="D9D9D9"/>
            <w:noWrap/>
            <w:vAlign w:val="bottom"/>
            <w:hideMark/>
          </w:tcPr>
          <w:p w14:paraId="09F7560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FI-NIDR</w:t>
            </w:r>
          </w:p>
        </w:tc>
        <w:tc>
          <w:tcPr>
            <w:tcW w:w="570" w:type="dxa"/>
            <w:tcBorders>
              <w:top w:val="nil"/>
              <w:left w:val="single" w:sz="4" w:space="0" w:color="auto"/>
              <w:bottom w:val="nil"/>
              <w:right w:val="single" w:sz="4" w:space="0" w:color="auto"/>
            </w:tcBorders>
            <w:shd w:val="clear" w:color="000000" w:fill="D9D9D9"/>
            <w:noWrap/>
            <w:vAlign w:val="bottom"/>
            <w:hideMark/>
          </w:tcPr>
          <w:p w14:paraId="70ACC45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2EF5A12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2034947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1C30424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026BFF6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431E93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09CB96F5"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626AE82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3A59ACE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EU-2012</w:t>
            </w:r>
          </w:p>
        </w:tc>
      </w:tr>
      <w:tr w:rsidR="00B53BA8" w:rsidRPr="00B53BA8" w14:paraId="4B02A3C3"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4BAA6F2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France</w:t>
            </w:r>
          </w:p>
        </w:tc>
        <w:tc>
          <w:tcPr>
            <w:tcW w:w="2827" w:type="dxa"/>
            <w:tcBorders>
              <w:top w:val="nil"/>
              <w:left w:val="nil"/>
              <w:bottom w:val="nil"/>
              <w:right w:val="single" w:sz="4" w:space="0" w:color="auto"/>
            </w:tcBorders>
            <w:shd w:val="clear" w:color="auto" w:fill="auto"/>
            <w:noWrap/>
            <w:vAlign w:val="bottom"/>
            <w:hideMark/>
          </w:tcPr>
          <w:p w14:paraId="6476ECF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FR-NATIONAL_REFERENCE_CENTRES</w:t>
            </w:r>
          </w:p>
        </w:tc>
        <w:tc>
          <w:tcPr>
            <w:tcW w:w="570" w:type="dxa"/>
            <w:tcBorders>
              <w:top w:val="nil"/>
              <w:left w:val="nil"/>
              <w:bottom w:val="nil"/>
              <w:right w:val="single" w:sz="4" w:space="0" w:color="auto"/>
            </w:tcBorders>
            <w:shd w:val="clear" w:color="auto" w:fill="auto"/>
            <w:noWrap/>
            <w:vAlign w:val="bottom"/>
            <w:hideMark/>
          </w:tcPr>
          <w:p w14:paraId="416D38E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162D2E8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5E5F538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0A1525E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85B2AE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0C8933D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0697604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854759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5B2F920B" w14:textId="2025EC51" w:rsidR="00B53BA8" w:rsidRPr="001B661F" w:rsidRDefault="0029701B" w:rsidP="001B661F">
            <w:pPr>
              <w:spacing w:before="120" w:after="0"/>
              <w:rPr>
                <w:rFonts w:eastAsia="Times New Roman" w:cs="Tahoma"/>
                <w:sz w:val="14"/>
                <w:szCs w:val="14"/>
                <w:lang w:eastAsia="en-GB"/>
              </w:rPr>
            </w:pPr>
            <w:r>
              <w:rPr>
                <w:rFonts w:eastAsia="Times New Roman" w:cs="Tahoma"/>
                <w:sz w:val="14"/>
                <w:szCs w:val="14"/>
                <w:lang w:eastAsia="en-GB"/>
              </w:rPr>
              <w:t>Other</w:t>
            </w:r>
          </w:p>
        </w:tc>
      </w:tr>
      <w:tr w:rsidR="00034328" w:rsidRPr="00B53BA8" w14:paraId="59F925AB"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3F513BA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Germany</w:t>
            </w:r>
          </w:p>
        </w:tc>
        <w:tc>
          <w:tcPr>
            <w:tcW w:w="2827" w:type="dxa"/>
            <w:tcBorders>
              <w:top w:val="nil"/>
              <w:left w:val="single" w:sz="4" w:space="0" w:color="auto"/>
              <w:bottom w:val="nil"/>
              <w:right w:val="single" w:sz="4" w:space="0" w:color="auto"/>
            </w:tcBorders>
            <w:shd w:val="clear" w:color="000000" w:fill="D9D9D9"/>
            <w:noWrap/>
            <w:vAlign w:val="bottom"/>
            <w:hideMark/>
          </w:tcPr>
          <w:p w14:paraId="2A6AE21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DE-SURVNET@RKI-7.1</w:t>
            </w:r>
          </w:p>
        </w:tc>
        <w:tc>
          <w:tcPr>
            <w:tcW w:w="570" w:type="dxa"/>
            <w:tcBorders>
              <w:top w:val="nil"/>
              <w:left w:val="single" w:sz="4" w:space="0" w:color="auto"/>
              <w:bottom w:val="nil"/>
              <w:right w:val="single" w:sz="4" w:space="0" w:color="auto"/>
            </w:tcBorders>
            <w:shd w:val="clear" w:color="000000" w:fill="D9D9D9"/>
            <w:noWrap/>
            <w:vAlign w:val="bottom"/>
            <w:hideMark/>
          </w:tcPr>
          <w:p w14:paraId="616F82E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DFF061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0B9925C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0D4A139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6DDE3D5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1E49A1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39F70EB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55FD219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6AFF29F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Other</w:t>
            </w:r>
          </w:p>
        </w:tc>
      </w:tr>
      <w:tr w:rsidR="00B53BA8" w:rsidRPr="00B53BA8" w14:paraId="09AA0F7D"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4626FB9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Greece</w:t>
            </w:r>
          </w:p>
        </w:tc>
        <w:tc>
          <w:tcPr>
            <w:tcW w:w="2827" w:type="dxa"/>
            <w:tcBorders>
              <w:top w:val="nil"/>
              <w:left w:val="nil"/>
              <w:bottom w:val="nil"/>
              <w:right w:val="single" w:sz="4" w:space="0" w:color="auto"/>
            </w:tcBorders>
            <w:shd w:val="clear" w:color="auto" w:fill="auto"/>
            <w:noWrap/>
            <w:vAlign w:val="bottom"/>
            <w:hideMark/>
          </w:tcPr>
          <w:p w14:paraId="608ED45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EL-</w:t>
            </w:r>
            <w:proofErr w:type="spellStart"/>
            <w:r w:rsidRPr="001B661F">
              <w:rPr>
                <w:rFonts w:eastAsia="Times New Roman" w:cs="Tahoma"/>
                <w:sz w:val="14"/>
                <w:szCs w:val="14"/>
                <w:lang w:eastAsia="en-GB"/>
              </w:rPr>
              <w:t>Lab_Hospital</w:t>
            </w:r>
            <w:proofErr w:type="spellEnd"/>
          </w:p>
        </w:tc>
        <w:tc>
          <w:tcPr>
            <w:tcW w:w="570" w:type="dxa"/>
            <w:tcBorders>
              <w:top w:val="nil"/>
              <w:left w:val="nil"/>
              <w:bottom w:val="nil"/>
              <w:right w:val="single" w:sz="4" w:space="0" w:color="auto"/>
            </w:tcBorders>
            <w:shd w:val="clear" w:color="auto" w:fill="auto"/>
            <w:noWrap/>
            <w:vAlign w:val="bottom"/>
            <w:hideMark/>
          </w:tcPr>
          <w:p w14:paraId="627479B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296F8F6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O</w:t>
            </w:r>
          </w:p>
        </w:tc>
        <w:tc>
          <w:tcPr>
            <w:tcW w:w="570" w:type="dxa"/>
            <w:tcBorders>
              <w:top w:val="nil"/>
              <w:left w:val="nil"/>
              <w:bottom w:val="nil"/>
              <w:right w:val="single" w:sz="4" w:space="0" w:color="auto"/>
            </w:tcBorders>
            <w:shd w:val="clear" w:color="auto" w:fill="auto"/>
            <w:noWrap/>
            <w:vAlign w:val="bottom"/>
            <w:hideMark/>
          </w:tcPr>
          <w:p w14:paraId="37DDDF7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55D227F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A</w:t>
            </w:r>
          </w:p>
        </w:tc>
        <w:tc>
          <w:tcPr>
            <w:tcW w:w="570" w:type="dxa"/>
            <w:tcBorders>
              <w:top w:val="nil"/>
              <w:left w:val="nil"/>
              <w:bottom w:val="nil"/>
              <w:right w:val="single" w:sz="4" w:space="0" w:color="auto"/>
            </w:tcBorders>
            <w:shd w:val="clear" w:color="auto" w:fill="auto"/>
            <w:noWrap/>
            <w:vAlign w:val="bottom"/>
            <w:hideMark/>
          </w:tcPr>
          <w:p w14:paraId="7A547C8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63B528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7CD9606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A54301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4AC52F07" w14:textId="35F4D7D9" w:rsidR="00B53BA8" w:rsidRPr="001B661F" w:rsidRDefault="006F4DAB" w:rsidP="001B661F">
            <w:pPr>
              <w:spacing w:before="120" w:after="0"/>
              <w:rPr>
                <w:rFonts w:eastAsia="Times New Roman" w:cs="Tahoma"/>
                <w:sz w:val="14"/>
                <w:szCs w:val="14"/>
                <w:lang w:eastAsia="en-GB"/>
              </w:rPr>
            </w:pPr>
            <w:r>
              <w:rPr>
                <w:rFonts w:eastAsia="Times New Roman" w:cs="Tahoma"/>
                <w:sz w:val="14"/>
                <w:szCs w:val="14"/>
                <w:lang w:eastAsia="en-GB"/>
              </w:rPr>
              <w:t>Other</w:t>
            </w:r>
          </w:p>
        </w:tc>
      </w:tr>
      <w:tr w:rsidR="00034328" w:rsidRPr="00B53BA8" w14:paraId="01F1E4F7"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5C20F01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Hungary</w:t>
            </w:r>
          </w:p>
        </w:tc>
        <w:tc>
          <w:tcPr>
            <w:tcW w:w="2827" w:type="dxa"/>
            <w:tcBorders>
              <w:top w:val="nil"/>
              <w:left w:val="single" w:sz="4" w:space="0" w:color="auto"/>
              <w:bottom w:val="nil"/>
              <w:right w:val="single" w:sz="4" w:space="0" w:color="auto"/>
            </w:tcBorders>
            <w:shd w:val="clear" w:color="000000" w:fill="D9D9D9"/>
            <w:noWrap/>
            <w:vAlign w:val="bottom"/>
            <w:hideMark/>
          </w:tcPr>
          <w:p w14:paraId="76A8BA9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HU-Zoonoses</w:t>
            </w:r>
          </w:p>
        </w:tc>
        <w:tc>
          <w:tcPr>
            <w:tcW w:w="570" w:type="dxa"/>
            <w:tcBorders>
              <w:top w:val="nil"/>
              <w:left w:val="single" w:sz="4" w:space="0" w:color="auto"/>
              <w:bottom w:val="nil"/>
              <w:right w:val="single" w:sz="4" w:space="0" w:color="auto"/>
            </w:tcBorders>
            <w:shd w:val="clear" w:color="000000" w:fill="D9D9D9"/>
            <w:noWrap/>
            <w:vAlign w:val="bottom"/>
            <w:hideMark/>
          </w:tcPr>
          <w:p w14:paraId="420A1655"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180783A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351C60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2325DA4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7E33750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71DD0A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DDA969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5CF3B3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2A1EFD8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EU-2012</w:t>
            </w:r>
          </w:p>
        </w:tc>
      </w:tr>
      <w:tr w:rsidR="00B53BA8" w:rsidRPr="00B53BA8" w14:paraId="7DE06A67"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37E989E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Iceland</w:t>
            </w:r>
          </w:p>
        </w:tc>
        <w:tc>
          <w:tcPr>
            <w:tcW w:w="2827" w:type="dxa"/>
            <w:tcBorders>
              <w:top w:val="nil"/>
              <w:left w:val="nil"/>
              <w:bottom w:val="nil"/>
              <w:right w:val="single" w:sz="4" w:space="0" w:color="auto"/>
            </w:tcBorders>
            <w:shd w:val="clear" w:color="auto" w:fill="auto"/>
            <w:noWrap/>
            <w:vAlign w:val="bottom"/>
            <w:hideMark/>
          </w:tcPr>
          <w:p w14:paraId="155D642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IS-SUBJECT_TO_REGISTRATION</w:t>
            </w:r>
          </w:p>
        </w:tc>
        <w:tc>
          <w:tcPr>
            <w:tcW w:w="570" w:type="dxa"/>
            <w:tcBorders>
              <w:top w:val="nil"/>
              <w:left w:val="nil"/>
              <w:bottom w:val="nil"/>
              <w:right w:val="single" w:sz="4" w:space="0" w:color="auto"/>
            </w:tcBorders>
            <w:shd w:val="clear" w:color="auto" w:fill="auto"/>
            <w:noWrap/>
            <w:vAlign w:val="bottom"/>
            <w:hideMark/>
          </w:tcPr>
          <w:p w14:paraId="3AD7095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68E807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3E3F72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5B8C7DE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7C7341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025B45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184359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w:t>
            </w:r>
          </w:p>
        </w:tc>
        <w:tc>
          <w:tcPr>
            <w:tcW w:w="570" w:type="dxa"/>
            <w:tcBorders>
              <w:top w:val="nil"/>
              <w:left w:val="nil"/>
              <w:bottom w:val="nil"/>
              <w:right w:val="single" w:sz="4" w:space="0" w:color="auto"/>
            </w:tcBorders>
            <w:shd w:val="clear" w:color="auto" w:fill="auto"/>
            <w:noWrap/>
            <w:vAlign w:val="bottom"/>
            <w:hideMark/>
          </w:tcPr>
          <w:p w14:paraId="780990F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w:t>
            </w:r>
          </w:p>
        </w:tc>
        <w:tc>
          <w:tcPr>
            <w:tcW w:w="1709" w:type="dxa"/>
            <w:tcBorders>
              <w:top w:val="nil"/>
              <w:left w:val="nil"/>
              <w:bottom w:val="nil"/>
              <w:right w:val="single" w:sz="4" w:space="0" w:color="auto"/>
            </w:tcBorders>
            <w:shd w:val="clear" w:color="auto" w:fill="auto"/>
            <w:noWrap/>
            <w:vAlign w:val="bottom"/>
            <w:hideMark/>
          </w:tcPr>
          <w:p w14:paraId="220A3D5A" w14:textId="63513CA4"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w:t>
            </w:r>
            <w:r w:rsidR="003A12EB" w:rsidRPr="001B661F">
              <w:rPr>
                <w:rFonts w:eastAsia="Times New Roman" w:cs="Tahoma"/>
                <w:sz w:val="14"/>
                <w:szCs w:val="14"/>
                <w:lang w:eastAsia="en-GB"/>
              </w:rPr>
              <w:t>8</w:t>
            </w:r>
          </w:p>
        </w:tc>
      </w:tr>
      <w:tr w:rsidR="00034328" w:rsidRPr="00B53BA8" w14:paraId="4793F565"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255EE0E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Ireland</w:t>
            </w:r>
          </w:p>
        </w:tc>
        <w:tc>
          <w:tcPr>
            <w:tcW w:w="2827" w:type="dxa"/>
            <w:tcBorders>
              <w:top w:val="nil"/>
              <w:left w:val="single" w:sz="4" w:space="0" w:color="auto"/>
              <w:bottom w:val="nil"/>
              <w:right w:val="single" w:sz="4" w:space="0" w:color="auto"/>
            </w:tcBorders>
            <w:shd w:val="clear" w:color="000000" w:fill="D9D9D9"/>
            <w:noWrap/>
            <w:vAlign w:val="bottom"/>
            <w:hideMark/>
          </w:tcPr>
          <w:p w14:paraId="43E72F4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IE-CIDR</w:t>
            </w:r>
          </w:p>
        </w:tc>
        <w:tc>
          <w:tcPr>
            <w:tcW w:w="570" w:type="dxa"/>
            <w:tcBorders>
              <w:top w:val="nil"/>
              <w:left w:val="single" w:sz="4" w:space="0" w:color="auto"/>
              <w:bottom w:val="nil"/>
              <w:right w:val="single" w:sz="4" w:space="0" w:color="auto"/>
            </w:tcBorders>
            <w:shd w:val="clear" w:color="000000" w:fill="D9D9D9"/>
            <w:noWrap/>
            <w:vAlign w:val="bottom"/>
            <w:hideMark/>
          </w:tcPr>
          <w:p w14:paraId="170D681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785F4E7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7B52EF3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37B0211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7AF16E6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B254E7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01401E8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3E0A93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2CC974D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EU-2008</w:t>
            </w:r>
          </w:p>
        </w:tc>
      </w:tr>
      <w:tr w:rsidR="00B53BA8" w:rsidRPr="00B53BA8" w14:paraId="0FC4C640"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1239F60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Italy</w:t>
            </w:r>
          </w:p>
        </w:tc>
        <w:tc>
          <w:tcPr>
            <w:tcW w:w="2827" w:type="dxa"/>
            <w:tcBorders>
              <w:top w:val="nil"/>
              <w:left w:val="nil"/>
              <w:bottom w:val="nil"/>
              <w:right w:val="single" w:sz="4" w:space="0" w:color="auto"/>
            </w:tcBorders>
            <w:shd w:val="clear" w:color="auto" w:fill="auto"/>
            <w:noWrap/>
            <w:vAlign w:val="bottom"/>
            <w:hideMark/>
          </w:tcPr>
          <w:p w14:paraId="549F391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IT-ENTERNET</w:t>
            </w:r>
          </w:p>
        </w:tc>
        <w:tc>
          <w:tcPr>
            <w:tcW w:w="570" w:type="dxa"/>
            <w:tcBorders>
              <w:top w:val="nil"/>
              <w:left w:val="nil"/>
              <w:bottom w:val="nil"/>
              <w:right w:val="single" w:sz="4" w:space="0" w:color="auto"/>
            </w:tcBorders>
            <w:shd w:val="clear" w:color="auto" w:fill="auto"/>
            <w:noWrap/>
            <w:vAlign w:val="bottom"/>
            <w:hideMark/>
          </w:tcPr>
          <w:p w14:paraId="7B5EE29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V</w:t>
            </w:r>
          </w:p>
        </w:tc>
        <w:tc>
          <w:tcPr>
            <w:tcW w:w="570" w:type="dxa"/>
            <w:tcBorders>
              <w:top w:val="nil"/>
              <w:left w:val="nil"/>
              <w:bottom w:val="nil"/>
              <w:right w:val="single" w:sz="4" w:space="0" w:color="auto"/>
            </w:tcBorders>
            <w:shd w:val="clear" w:color="auto" w:fill="auto"/>
            <w:noWrap/>
            <w:vAlign w:val="bottom"/>
            <w:hideMark/>
          </w:tcPr>
          <w:p w14:paraId="022727D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Se</w:t>
            </w:r>
          </w:p>
        </w:tc>
        <w:tc>
          <w:tcPr>
            <w:tcW w:w="570" w:type="dxa"/>
            <w:tcBorders>
              <w:top w:val="nil"/>
              <w:left w:val="nil"/>
              <w:bottom w:val="nil"/>
              <w:right w:val="single" w:sz="4" w:space="0" w:color="auto"/>
            </w:tcBorders>
            <w:shd w:val="clear" w:color="auto" w:fill="auto"/>
            <w:noWrap/>
            <w:vAlign w:val="bottom"/>
            <w:hideMark/>
          </w:tcPr>
          <w:p w14:paraId="332F9E6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4DC733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583DE73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9DD079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0F7841E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1385414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7A259B5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Other</w:t>
            </w:r>
          </w:p>
        </w:tc>
      </w:tr>
      <w:tr w:rsidR="00034328" w:rsidRPr="00B53BA8" w14:paraId="50E6EF7E"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0AF64BE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Latvia</w:t>
            </w:r>
          </w:p>
        </w:tc>
        <w:tc>
          <w:tcPr>
            <w:tcW w:w="2827" w:type="dxa"/>
            <w:tcBorders>
              <w:top w:val="nil"/>
              <w:left w:val="single" w:sz="4" w:space="0" w:color="auto"/>
              <w:bottom w:val="nil"/>
              <w:right w:val="single" w:sz="4" w:space="0" w:color="auto"/>
            </w:tcBorders>
            <w:shd w:val="clear" w:color="000000" w:fill="D9D9D9"/>
            <w:noWrap/>
            <w:vAlign w:val="bottom"/>
            <w:hideMark/>
          </w:tcPr>
          <w:p w14:paraId="25CAE82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LV-BSN</w:t>
            </w:r>
          </w:p>
        </w:tc>
        <w:tc>
          <w:tcPr>
            <w:tcW w:w="570" w:type="dxa"/>
            <w:tcBorders>
              <w:top w:val="nil"/>
              <w:left w:val="single" w:sz="4" w:space="0" w:color="auto"/>
              <w:bottom w:val="nil"/>
              <w:right w:val="single" w:sz="4" w:space="0" w:color="auto"/>
            </w:tcBorders>
            <w:shd w:val="clear" w:color="000000" w:fill="D9D9D9"/>
            <w:noWrap/>
            <w:vAlign w:val="bottom"/>
            <w:hideMark/>
          </w:tcPr>
          <w:p w14:paraId="74384CE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2EEBDB2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2942D30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03A5F94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1157D9F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25126F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E512DA5"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B50F14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6B44FE91" w14:textId="74889FD6"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w:t>
            </w:r>
            <w:r w:rsidR="008A64BC">
              <w:rPr>
                <w:rFonts w:eastAsia="Times New Roman" w:cs="Tahoma"/>
                <w:sz w:val="14"/>
                <w:szCs w:val="14"/>
                <w:lang w:eastAsia="en-GB"/>
              </w:rPr>
              <w:t>8</w:t>
            </w:r>
          </w:p>
        </w:tc>
      </w:tr>
      <w:tr w:rsidR="00B53BA8" w:rsidRPr="00B53BA8" w14:paraId="403A2644"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467EA77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Lithuania</w:t>
            </w:r>
          </w:p>
        </w:tc>
        <w:tc>
          <w:tcPr>
            <w:tcW w:w="2827" w:type="dxa"/>
            <w:tcBorders>
              <w:top w:val="nil"/>
              <w:left w:val="nil"/>
              <w:bottom w:val="nil"/>
              <w:right w:val="single" w:sz="4" w:space="0" w:color="auto"/>
            </w:tcBorders>
            <w:shd w:val="clear" w:color="auto" w:fill="auto"/>
            <w:noWrap/>
            <w:vAlign w:val="bottom"/>
            <w:hideMark/>
          </w:tcPr>
          <w:p w14:paraId="03EC43C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LT-COMMUNICABLE_DISEASES</w:t>
            </w:r>
          </w:p>
        </w:tc>
        <w:tc>
          <w:tcPr>
            <w:tcW w:w="570" w:type="dxa"/>
            <w:tcBorders>
              <w:top w:val="nil"/>
              <w:left w:val="nil"/>
              <w:bottom w:val="nil"/>
              <w:right w:val="single" w:sz="4" w:space="0" w:color="auto"/>
            </w:tcBorders>
            <w:shd w:val="clear" w:color="auto" w:fill="auto"/>
            <w:noWrap/>
            <w:vAlign w:val="bottom"/>
            <w:hideMark/>
          </w:tcPr>
          <w:p w14:paraId="19F0C2D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446FAFF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BBF366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41960D4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488B8D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C2895C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C05F20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4B235D3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26BD1E25"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EU-2018</w:t>
            </w:r>
          </w:p>
        </w:tc>
      </w:tr>
      <w:tr w:rsidR="00034328" w:rsidRPr="00B53BA8" w14:paraId="1FB186D9"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11DADAB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Luxembourg</w:t>
            </w:r>
          </w:p>
        </w:tc>
        <w:tc>
          <w:tcPr>
            <w:tcW w:w="2827" w:type="dxa"/>
            <w:tcBorders>
              <w:top w:val="nil"/>
              <w:left w:val="single" w:sz="4" w:space="0" w:color="auto"/>
              <w:bottom w:val="nil"/>
              <w:right w:val="single" w:sz="4" w:space="0" w:color="auto"/>
            </w:tcBorders>
            <w:shd w:val="clear" w:color="000000" w:fill="D9D9D9"/>
            <w:noWrap/>
            <w:vAlign w:val="bottom"/>
            <w:hideMark/>
          </w:tcPr>
          <w:p w14:paraId="14057A6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LU-SYSTEM1</w:t>
            </w:r>
          </w:p>
        </w:tc>
        <w:tc>
          <w:tcPr>
            <w:tcW w:w="570" w:type="dxa"/>
            <w:tcBorders>
              <w:top w:val="nil"/>
              <w:left w:val="single" w:sz="4" w:space="0" w:color="auto"/>
              <w:bottom w:val="nil"/>
              <w:right w:val="single" w:sz="4" w:space="0" w:color="auto"/>
            </w:tcBorders>
            <w:shd w:val="clear" w:color="000000" w:fill="D9D9D9"/>
            <w:noWrap/>
            <w:vAlign w:val="bottom"/>
            <w:hideMark/>
          </w:tcPr>
          <w:p w14:paraId="31362FD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6D6243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60376AE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490C15F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6FB3E24C" w14:textId="28D77EBE" w:rsidR="00B53BA8" w:rsidRPr="001B661F" w:rsidRDefault="005B5ABF"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2FD6C94" w14:textId="41DD5E46" w:rsidR="00B53BA8" w:rsidRPr="001B661F" w:rsidRDefault="005B5ABF"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2F3B440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0FAEA235"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39918BEB" w14:textId="26146F9D"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w:t>
            </w:r>
            <w:r w:rsidR="005B5ABF" w:rsidRPr="001B661F">
              <w:rPr>
                <w:rFonts w:eastAsia="Times New Roman" w:cs="Tahoma"/>
                <w:sz w:val="14"/>
                <w:szCs w:val="14"/>
                <w:lang w:eastAsia="en-GB"/>
              </w:rPr>
              <w:t>18</w:t>
            </w:r>
          </w:p>
        </w:tc>
      </w:tr>
      <w:tr w:rsidR="00B53BA8" w:rsidRPr="00B53BA8" w14:paraId="074F2AA6"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788EE97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Malta</w:t>
            </w:r>
          </w:p>
        </w:tc>
        <w:tc>
          <w:tcPr>
            <w:tcW w:w="2827" w:type="dxa"/>
            <w:tcBorders>
              <w:top w:val="nil"/>
              <w:left w:val="nil"/>
              <w:bottom w:val="nil"/>
              <w:right w:val="single" w:sz="4" w:space="0" w:color="auto"/>
            </w:tcBorders>
            <w:shd w:val="clear" w:color="auto" w:fill="auto"/>
            <w:noWrap/>
            <w:vAlign w:val="bottom"/>
            <w:hideMark/>
          </w:tcPr>
          <w:p w14:paraId="1D9EF0F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MT-DISEASE_SURVEILLANCE</w:t>
            </w:r>
          </w:p>
        </w:tc>
        <w:tc>
          <w:tcPr>
            <w:tcW w:w="570" w:type="dxa"/>
            <w:tcBorders>
              <w:top w:val="nil"/>
              <w:left w:val="nil"/>
              <w:bottom w:val="nil"/>
              <w:right w:val="single" w:sz="4" w:space="0" w:color="auto"/>
            </w:tcBorders>
            <w:shd w:val="clear" w:color="auto" w:fill="auto"/>
            <w:noWrap/>
            <w:vAlign w:val="bottom"/>
            <w:hideMark/>
          </w:tcPr>
          <w:p w14:paraId="758E134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66879BA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7B6B73D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447E9F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5E7106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C6C31C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5DBF7A2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5BD638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1709" w:type="dxa"/>
            <w:tcBorders>
              <w:top w:val="nil"/>
              <w:left w:val="nil"/>
              <w:bottom w:val="nil"/>
              <w:right w:val="single" w:sz="4" w:space="0" w:color="auto"/>
            </w:tcBorders>
            <w:shd w:val="clear" w:color="auto" w:fill="auto"/>
            <w:noWrap/>
            <w:vAlign w:val="bottom"/>
            <w:hideMark/>
          </w:tcPr>
          <w:p w14:paraId="1D9F676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EU-2018</w:t>
            </w:r>
          </w:p>
        </w:tc>
      </w:tr>
      <w:tr w:rsidR="00034328" w:rsidRPr="00B53BA8" w14:paraId="0A94B18F"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0323CD5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Norway</w:t>
            </w:r>
          </w:p>
        </w:tc>
        <w:tc>
          <w:tcPr>
            <w:tcW w:w="2827" w:type="dxa"/>
            <w:tcBorders>
              <w:top w:val="nil"/>
              <w:left w:val="single" w:sz="4" w:space="0" w:color="auto"/>
              <w:bottom w:val="nil"/>
              <w:right w:val="single" w:sz="4" w:space="0" w:color="auto"/>
            </w:tcBorders>
            <w:shd w:val="clear" w:color="000000" w:fill="D9D9D9"/>
            <w:noWrap/>
            <w:vAlign w:val="bottom"/>
            <w:hideMark/>
          </w:tcPr>
          <w:p w14:paraId="0F8859F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NO-MSIS_A</w:t>
            </w:r>
          </w:p>
        </w:tc>
        <w:tc>
          <w:tcPr>
            <w:tcW w:w="570" w:type="dxa"/>
            <w:tcBorders>
              <w:top w:val="nil"/>
              <w:left w:val="single" w:sz="4" w:space="0" w:color="auto"/>
              <w:bottom w:val="nil"/>
              <w:right w:val="single" w:sz="4" w:space="0" w:color="auto"/>
            </w:tcBorders>
            <w:shd w:val="clear" w:color="000000" w:fill="D9D9D9"/>
            <w:noWrap/>
            <w:vAlign w:val="bottom"/>
            <w:hideMark/>
          </w:tcPr>
          <w:p w14:paraId="7CEF514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40D589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0F0CB6B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75CAF2E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05D5995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E69014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D6252F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501494B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409AB81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EU-2018</w:t>
            </w:r>
          </w:p>
        </w:tc>
      </w:tr>
      <w:tr w:rsidR="00B53BA8" w:rsidRPr="00B53BA8" w14:paraId="5286AF82"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056C69B5"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Poland</w:t>
            </w:r>
          </w:p>
        </w:tc>
        <w:tc>
          <w:tcPr>
            <w:tcW w:w="2827" w:type="dxa"/>
            <w:tcBorders>
              <w:top w:val="nil"/>
              <w:left w:val="nil"/>
              <w:bottom w:val="nil"/>
              <w:right w:val="single" w:sz="4" w:space="0" w:color="auto"/>
            </w:tcBorders>
            <w:shd w:val="clear" w:color="auto" w:fill="auto"/>
            <w:noWrap/>
            <w:vAlign w:val="bottom"/>
            <w:hideMark/>
          </w:tcPr>
          <w:p w14:paraId="2B20056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PL-NATIONAL_SURVEILLANCE</w:t>
            </w:r>
          </w:p>
        </w:tc>
        <w:tc>
          <w:tcPr>
            <w:tcW w:w="570" w:type="dxa"/>
            <w:tcBorders>
              <w:top w:val="nil"/>
              <w:left w:val="nil"/>
              <w:bottom w:val="nil"/>
              <w:right w:val="single" w:sz="4" w:space="0" w:color="auto"/>
            </w:tcBorders>
            <w:shd w:val="clear" w:color="auto" w:fill="auto"/>
            <w:noWrap/>
            <w:vAlign w:val="bottom"/>
            <w:hideMark/>
          </w:tcPr>
          <w:p w14:paraId="067CAA5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779FCEF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8D3507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6DC1C4C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3DA8172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48D515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6C76617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48579E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5FA1856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EU-2018</w:t>
            </w:r>
          </w:p>
        </w:tc>
      </w:tr>
      <w:tr w:rsidR="00034328" w:rsidRPr="00B53BA8" w14:paraId="34566B4B"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1407DCD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Portugal</w:t>
            </w:r>
          </w:p>
        </w:tc>
        <w:tc>
          <w:tcPr>
            <w:tcW w:w="2827" w:type="dxa"/>
            <w:tcBorders>
              <w:top w:val="nil"/>
              <w:left w:val="single" w:sz="4" w:space="0" w:color="auto"/>
              <w:bottom w:val="nil"/>
              <w:right w:val="single" w:sz="4" w:space="0" w:color="auto"/>
            </w:tcBorders>
            <w:shd w:val="clear" w:color="000000" w:fill="D9D9D9"/>
            <w:noWrap/>
            <w:vAlign w:val="bottom"/>
            <w:hideMark/>
          </w:tcPr>
          <w:p w14:paraId="0CAF794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PT-YERS</w:t>
            </w:r>
          </w:p>
        </w:tc>
        <w:tc>
          <w:tcPr>
            <w:tcW w:w="570" w:type="dxa"/>
            <w:tcBorders>
              <w:top w:val="nil"/>
              <w:left w:val="single" w:sz="4" w:space="0" w:color="auto"/>
              <w:bottom w:val="nil"/>
              <w:right w:val="single" w:sz="4" w:space="0" w:color="auto"/>
            </w:tcBorders>
            <w:shd w:val="clear" w:color="000000" w:fill="D9D9D9"/>
            <w:noWrap/>
            <w:vAlign w:val="bottom"/>
            <w:hideMark/>
          </w:tcPr>
          <w:p w14:paraId="42CB439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AEE0D85"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69896A3A" w14:textId="6671286A" w:rsidR="00B53BA8" w:rsidRPr="001B661F" w:rsidRDefault="004749DC" w:rsidP="001B661F">
            <w:pPr>
              <w:spacing w:before="120" w:after="0"/>
              <w:rPr>
                <w:rFonts w:eastAsia="Times New Roman" w:cs="Tahoma"/>
                <w:sz w:val="14"/>
                <w:szCs w:val="14"/>
                <w:lang w:eastAsia="en-GB"/>
              </w:rPr>
            </w:pPr>
            <w:r>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57BD14C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0BD2EAB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3584235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294C697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nil"/>
              <w:right w:val="single" w:sz="4" w:space="0" w:color="auto"/>
            </w:tcBorders>
            <w:shd w:val="clear" w:color="000000" w:fill="D9D9D9"/>
            <w:noWrap/>
            <w:vAlign w:val="bottom"/>
            <w:hideMark/>
          </w:tcPr>
          <w:p w14:paraId="7375EDA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0E2B75E4" w14:textId="4FB966D4"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w:t>
            </w:r>
            <w:r w:rsidR="00E93ABA" w:rsidRPr="001B661F">
              <w:rPr>
                <w:rFonts w:eastAsia="Times New Roman" w:cs="Tahoma"/>
                <w:sz w:val="14"/>
                <w:szCs w:val="14"/>
                <w:lang w:eastAsia="en-GB"/>
              </w:rPr>
              <w:t>8</w:t>
            </w:r>
          </w:p>
        </w:tc>
      </w:tr>
      <w:tr w:rsidR="00B53BA8" w:rsidRPr="00B53BA8" w14:paraId="2B7C03DC"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725EF05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Romania</w:t>
            </w:r>
          </w:p>
        </w:tc>
        <w:tc>
          <w:tcPr>
            <w:tcW w:w="2827" w:type="dxa"/>
            <w:tcBorders>
              <w:top w:val="nil"/>
              <w:left w:val="nil"/>
              <w:bottom w:val="nil"/>
              <w:right w:val="single" w:sz="4" w:space="0" w:color="auto"/>
            </w:tcBorders>
            <w:shd w:val="clear" w:color="auto" w:fill="auto"/>
            <w:noWrap/>
            <w:vAlign w:val="bottom"/>
            <w:hideMark/>
          </w:tcPr>
          <w:p w14:paraId="3F36259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RO-</w:t>
            </w:r>
            <w:proofErr w:type="spellStart"/>
            <w:r w:rsidRPr="001B661F">
              <w:rPr>
                <w:rFonts w:eastAsia="Times New Roman" w:cs="Tahoma"/>
                <w:sz w:val="14"/>
                <w:szCs w:val="14"/>
                <w:lang w:eastAsia="en-GB"/>
              </w:rPr>
              <w:t>RNSSy</w:t>
            </w:r>
            <w:proofErr w:type="spellEnd"/>
          </w:p>
        </w:tc>
        <w:tc>
          <w:tcPr>
            <w:tcW w:w="570" w:type="dxa"/>
            <w:tcBorders>
              <w:top w:val="nil"/>
              <w:left w:val="nil"/>
              <w:bottom w:val="nil"/>
              <w:right w:val="single" w:sz="4" w:space="0" w:color="auto"/>
            </w:tcBorders>
            <w:shd w:val="clear" w:color="auto" w:fill="auto"/>
            <w:noWrap/>
            <w:vAlign w:val="bottom"/>
            <w:hideMark/>
          </w:tcPr>
          <w:p w14:paraId="1B4E28A5"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2079FA4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0283B32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117C1FC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1DBFBD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4F5A7E0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nil"/>
              <w:bottom w:val="nil"/>
              <w:right w:val="single" w:sz="4" w:space="0" w:color="auto"/>
            </w:tcBorders>
            <w:shd w:val="clear" w:color="auto" w:fill="auto"/>
            <w:noWrap/>
            <w:vAlign w:val="bottom"/>
            <w:hideMark/>
          </w:tcPr>
          <w:p w14:paraId="5DA2324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26FB62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02AC6A7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EU-2018</w:t>
            </w:r>
          </w:p>
        </w:tc>
      </w:tr>
      <w:tr w:rsidR="00034328" w:rsidRPr="00B53BA8" w14:paraId="00EA3FC9"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4FACD91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Slovakia</w:t>
            </w:r>
          </w:p>
        </w:tc>
        <w:tc>
          <w:tcPr>
            <w:tcW w:w="2827" w:type="dxa"/>
            <w:tcBorders>
              <w:top w:val="nil"/>
              <w:left w:val="single" w:sz="4" w:space="0" w:color="auto"/>
              <w:bottom w:val="nil"/>
              <w:right w:val="single" w:sz="4" w:space="0" w:color="auto"/>
            </w:tcBorders>
            <w:shd w:val="clear" w:color="000000" w:fill="D9D9D9"/>
            <w:noWrap/>
            <w:vAlign w:val="bottom"/>
            <w:hideMark/>
          </w:tcPr>
          <w:p w14:paraId="3511A48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SK-EPIS</w:t>
            </w:r>
          </w:p>
        </w:tc>
        <w:tc>
          <w:tcPr>
            <w:tcW w:w="570" w:type="dxa"/>
            <w:tcBorders>
              <w:top w:val="nil"/>
              <w:left w:val="single" w:sz="4" w:space="0" w:color="auto"/>
              <w:bottom w:val="nil"/>
              <w:right w:val="single" w:sz="4" w:space="0" w:color="auto"/>
            </w:tcBorders>
            <w:shd w:val="clear" w:color="000000" w:fill="D9D9D9"/>
            <w:noWrap/>
            <w:vAlign w:val="bottom"/>
            <w:hideMark/>
          </w:tcPr>
          <w:p w14:paraId="00E24A2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0442A17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0B39250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A</w:t>
            </w:r>
          </w:p>
        </w:tc>
        <w:tc>
          <w:tcPr>
            <w:tcW w:w="570" w:type="dxa"/>
            <w:tcBorders>
              <w:top w:val="nil"/>
              <w:left w:val="single" w:sz="4" w:space="0" w:color="auto"/>
              <w:bottom w:val="nil"/>
              <w:right w:val="single" w:sz="4" w:space="0" w:color="auto"/>
            </w:tcBorders>
            <w:shd w:val="clear" w:color="000000" w:fill="D9D9D9"/>
            <w:noWrap/>
            <w:vAlign w:val="bottom"/>
            <w:hideMark/>
          </w:tcPr>
          <w:p w14:paraId="2A4E57D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1A8D9D7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45DDFA8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FDFE36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B23DDA0"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29FA4307" w14:textId="71C40D96"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w:t>
            </w:r>
            <w:r w:rsidR="003E622E" w:rsidRPr="001B661F">
              <w:rPr>
                <w:rFonts w:eastAsia="Times New Roman" w:cs="Tahoma"/>
                <w:sz w:val="14"/>
                <w:szCs w:val="14"/>
                <w:lang w:eastAsia="en-GB"/>
              </w:rPr>
              <w:t>201</w:t>
            </w:r>
            <w:r w:rsidR="003E622E">
              <w:rPr>
                <w:rFonts w:eastAsia="Times New Roman" w:cs="Tahoma"/>
                <w:sz w:val="14"/>
                <w:szCs w:val="14"/>
                <w:lang w:eastAsia="en-GB"/>
              </w:rPr>
              <w:t>8</w:t>
            </w:r>
          </w:p>
        </w:tc>
      </w:tr>
      <w:tr w:rsidR="00B53BA8" w:rsidRPr="00B53BA8" w14:paraId="1E31D1AF" w14:textId="77777777" w:rsidTr="0058098B">
        <w:trPr>
          <w:trHeight w:val="236"/>
        </w:trPr>
        <w:tc>
          <w:tcPr>
            <w:tcW w:w="1017" w:type="dxa"/>
            <w:tcBorders>
              <w:top w:val="nil"/>
              <w:left w:val="single" w:sz="4" w:space="0" w:color="auto"/>
              <w:bottom w:val="nil"/>
              <w:right w:val="single" w:sz="4" w:space="0" w:color="auto"/>
            </w:tcBorders>
            <w:shd w:val="clear" w:color="auto" w:fill="auto"/>
            <w:noWrap/>
            <w:vAlign w:val="bottom"/>
            <w:hideMark/>
          </w:tcPr>
          <w:p w14:paraId="359DA62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Slovenia</w:t>
            </w:r>
          </w:p>
        </w:tc>
        <w:tc>
          <w:tcPr>
            <w:tcW w:w="2827" w:type="dxa"/>
            <w:tcBorders>
              <w:top w:val="nil"/>
              <w:left w:val="nil"/>
              <w:bottom w:val="nil"/>
              <w:right w:val="single" w:sz="4" w:space="0" w:color="auto"/>
            </w:tcBorders>
            <w:shd w:val="clear" w:color="auto" w:fill="auto"/>
            <w:noWrap/>
            <w:vAlign w:val="bottom"/>
            <w:hideMark/>
          </w:tcPr>
          <w:p w14:paraId="7BFB555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SI-SURVIVAL</w:t>
            </w:r>
          </w:p>
        </w:tc>
        <w:tc>
          <w:tcPr>
            <w:tcW w:w="570" w:type="dxa"/>
            <w:tcBorders>
              <w:top w:val="nil"/>
              <w:left w:val="nil"/>
              <w:bottom w:val="nil"/>
              <w:right w:val="single" w:sz="4" w:space="0" w:color="auto"/>
            </w:tcBorders>
            <w:shd w:val="clear" w:color="auto" w:fill="auto"/>
            <w:noWrap/>
            <w:vAlign w:val="bottom"/>
            <w:hideMark/>
          </w:tcPr>
          <w:p w14:paraId="74051077"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nil"/>
              <w:bottom w:val="nil"/>
              <w:right w:val="single" w:sz="4" w:space="0" w:color="auto"/>
            </w:tcBorders>
            <w:shd w:val="clear" w:color="auto" w:fill="auto"/>
            <w:noWrap/>
            <w:vAlign w:val="bottom"/>
            <w:hideMark/>
          </w:tcPr>
          <w:p w14:paraId="015591CE"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nil"/>
              <w:bottom w:val="nil"/>
              <w:right w:val="single" w:sz="4" w:space="0" w:color="auto"/>
            </w:tcBorders>
            <w:shd w:val="clear" w:color="auto" w:fill="auto"/>
            <w:noWrap/>
            <w:vAlign w:val="bottom"/>
            <w:hideMark/>
          </w:tcPr>
          <w:p w14:paraId="4AC746F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nil"/>
              <w:bottom w:val="nil"/>
              <w:right w:val="single" w:sz="4" w:space="0" w:color="auto"/>
            </w:tcBorders>
            <w:shd w:val="clear" w:color="auto" w:fill="auto"/>
            <w:noWrap/>
            <w:vAlign w:val="bottom"/>
            <w:hideMark/>
          </w:tcPr>
          <w:p w14:paraId="59F9E48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nil"/>
              <w:bottom w:val="nil"/>
              <w:right w:val="single" w:sz="4" w:space="0" w:color="auto"/>
            </w:tcBorders>
            <w:shd w:val="clear" w:color="auto" w:fill="auto"/>
            <w:noWrap/>
            <w:vAlign w:val="bottom"/>
            <w:hideMark/>
          </w:tcPr>
          <w:p w14:paraId="62C18EF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3697B90F"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75A347E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nil"/>
              <w:bottom w:val="nil"/>
              <w:right w:val="single" w:sz="4" w:space="0" w:color="auto"/>
            </w:tcBorders>
            <w:shd w:val="clear" w:color="auto" w:fill="auto"/>
            <w:noWrap/>
            <w:vAlign w:val="bottom"/>
            <w:hideMark/>
          </w:tcPr>
          <w:p w14:paraId="140AE98D"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auto" w:fill="auto"/>
            <w:noWrap/>
            <w:vAlign w:val="bottom"/>
            <w:hideMark/>
          </w:tcPr>
          <w:p w14:paraId="01AE7E5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EU-2008</w:t>
            </w:r>
          </w:p>
        </w:tc>
      </w:tr>
      <w:tr w:rsidR="00034328" w:rsidRPr="00B53BA8" w14:paraId="0FEB8DE1" w14:textId="77777777" w:rsidTr="0058098B">
        <w:trPr>
          <w:trHeight w:val="236"/>
        </w:trPr>
        <w:tc>
          <w:tcPr>
            <w:tcW w:w="1017" w:type="dxa"/>
            <w:tcBorders>
              <w:top w:val="nil"/>
              <w:left w:val="single" w:sz="4" w:space="0" w:color="auto"/>
              <w:bottom w:val="nil"/>
              <w:right w:val="single" w:sz="4" w:space="0" w:color="auto"/>
            </w:tcBorders>
            <w:shd w:val="clear" w:color="000000" w:fill="D9D9D9"/>
            <w:noWrap/>
            <w:vAlign w:val="bottom"/>
            <w:hideMark/>
          </w:tcPr>
          <w:p w14:paraId="7845E6A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Spain</w:t>
            </w:r>
          </w:p>
        </w:tc>
        <w:tc>
          <w:tcPr>
            <w:tcW w:w="2827" w:type="dxa"/>
            <w:tcBorders>
              <w:top w:val="nil"/>
              <w:left w:val="single" w:sz="4" w:space="0" w:color="auto"/>
              <w:bottom w:val="nil"/>
              <w:right w:val="single" w:sz="4" w:space="0" w:color="auto"/>
            </w:tcBorders>
            <w:shd w:val="clear" w:color="000000" w:fill="D9D9D9"/>
            <w:noWrap/>
            <w:vAlign w:val="bottom"/>
            <w:hideMark/>
          </w:tcPr>
          <w:p w14:paraId="2CADF7A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ES-STATUTORY_DISEASES</w:t>
            </w:r>
          </w:p>
        </w:tc>
        <w:tc>
          <w:tcPr>
            <w:tcW w:w="570" w:type="dxa"/>
            <w:tcBorders>
              <w:top w:val="nil"/>
              <w:left w:val="single" w:sz="4" w:space="0" w:color="auto"/>
              <w:bottom w:val="nil"/>
              <w:right w:val="single" w:sz="4" w:space="0" w:color="auto"/>
            </w:tcBorders>
            <w:shd w:val="clear" w:color="000000" w:fill="D9D9D9"/>
            <w:noWrap/>
            <w:vAlign w:val="bottom"/>
            <w:hideMark/>
          </w:tcPr>
          <w:p w14:paraId="2903501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nil"/>
              <w:right w:val="single" w:sz="4" w:space="0" w:color="auto"/>
            </w:tcBorders>
            <w:shd w:val="clear" w:color="000000" w:fill="D9D9D9"/>
            <w:noWrap/>
            <w:vAlign w:val="bottom"/>
            <w:hideMark/>
          </w:tcPr>
          <w:p w14:paraId="7F242438"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nil"/>
              <w:right w:val="single" w:sz="4" w:space="0" w:color="auto"/>
            </w:tcBorders>
            <w:shd w:val="clear" w:color="000000" w:fill="D9D9D9"/>
            <w:noWrap/>
            <w:vAlign w:val="bottom"/>
            <w:hideMark/>
          </w:tcPr>
          <w:p w14:paraId="288E7C7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nil"/>
              <w:right w:val="single" w:sz="4" w:space="0" w:color="auto"/>
            </w:tcBorders>
            <w:shd w:val="clear" w:color="000000" w:fill="D9D9D9"/>
            <w:noWrap/>
            <w:vAlign w:val="bottom"/>
            <w:hideMark/>
          </w:tcPr>
          <w:p w14:paraId="7D48DDE1"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nil"/>
              <w:right w:val="single" w:sz="4" w:space="0" w:color="auto"/>
            </w:tcBorders>
            <w:shd w:val="clear" w:color="000000" w:fill="D9D9D9"/>
            <w:noWrap/>
            <w:vAlign w:val="bottom"/>
            <w:hideMark/>
          </w:tcPr>
          <w:p w14:paraId="6F74F0F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744DAAE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62A2DC3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nil"/>
              <w:right w:val="single" w:sz="4" w:space="0" w:color="auto"/>
            </w:tcBorders>
            <w:shd w:val="clear" w:color="000000" w:fill="D9D9D9"/>
            <w:noWrap/>
            <w:vAlign w:val="bottom"/>
            <w:hideMark/>
          </w:tcPr>
          <w:p w14:paraId="1CE680D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nil"/>
              <w:right w:val="single" w:sz="4" w:space="0" w:color="auto"/>
            </w:tcBorders>
            <w:shd w:val="clear" w:color="000000" w:fill="D9D9D9"/>
            <w:noWrap/>
            <w:vAlign w:val="bottom"/>
            <w:hideMark/>
          </w:tcPr>
          <w:p w14:paraId="51E9C30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EU-2018</w:t>
            </w:r>
          </w:p>
        </w:tc>
      </w:tr>
      <w:tr w:rsidR="00B53BA8" w:rsidRPr="00B53BA8" w14:paraId="64BC86F1" w14:textId="77777777" w:rsidTr="0058098B">
        <w:trPr>
          <w:trHeight w:val="236"/>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AAEBC44"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Sweden</w:t>
            </w:r>
          </w:p>
        </w:tc>
        <w:tc>
          <w:tcPr>
            <w:tcW w:w="2827" w:type="dxa"/>
            <w:tcBorders>
              <w:top w:val="nil"/>
              <w:left w:val="single" w:sz="4" w:space="0" w:color="auto"/>
              <w:bottom w:val="single" w:sz="4" w:space="0" w:color="auto"/>
              <w:right w:val="single" w:sz="4" w:space="0" w:color="auto"/>
            </w:tcBorders>
            <w:shd w:val="clear" w:color="auto" w:fill="auto"/>
            <w:noWrap/>
            <w:vAlign w:val="bottom"/>
            <w:hideMark/>
          </w:tcPr>
          <w:p w14:paraId="7C795A23"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SE-SMINET</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5683DDF6"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Cp</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1BE6F9E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Co</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070E4DCB"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P</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4ACB18AC"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C</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6C7E539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455A21F9"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Y</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2DD61E0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0A49F052"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N</w:t>
            </w:r>
          </w:p>
        </w:tc>
        <w:tc>
          <w:tcPr>
            <w:tcW w:w="1709" w:type="dxa"/>
            <w:tcBorders>
              <w:top w:val="nil"/>
              <w:left w:val="nil"/>
              <w:bottom w:val="single" w:sz="4" w:space="0" w:color="auto"/>
              <w:right w:val="single" w:sz="4" w:space="0" w:color="auto"/>
            </w:tcBorders>
            <w:shd w:val="clear" w:color="auto" w:fill="auto"/>
            <w:noWrap/>
            <w:vAlign w:val="bottom"/>
            <w:hideMark/>
          </w:tcPr>
          <w:p w14:paraId="5195391A" w14:textId="77777777" w:rsidR="00B53BA8" w:rsidRPr="001B661F" w:rsidRDefault="00B53BA8" w:rsidP="001B661F">
            <w:pPr>
              <w:spacing w:before="120" w:after="0"/>
              <w:rPr>
                <w:rFonts w:eastAsia="Times New Roman" w:cs="Tahoma"/>
                <w:sz w:val="14"/>
                <w:szCs w:val="14"/>
                <w:lang w:eastAsia="en-GB"/>
              </w:rPr>
            </w:pPr>
            <w:r w:rsidRPr="001B661F">
              <w:rPr>
                <w:rFonts w:eastAsia="Times New Roman" w:cs="Tahoma"/>
                <w:sz w:val="14"/>
                <w:szCs w:val="14"/>
                <w:lang w:eastAsia="en-GB"/>
              </w:rPr>
              <w:t>EU-2018</w:t>
            </w:r>
          </w:p>
        </w:tc>
      </w:tr>
    </w:tbl>
    <w:p w14:paraId="3D9EF896" w14:textId="0E921F68" w:rsidR="00336121" w:rsidRPr="00B426A1" w:rsidRDefault="00336121" w:rsidP="00DD0337">
      <w:pPr>
        <w:pStyle w:val="EC-Para"/>
        <w:rPr>
          <w:sz w:val="14"/>
          <w:szCs w:val="14"/>
        </w:rPr>
      </w:pPr>
    </w:p>
    <w:sectPr w:rsidR="00336121" w:rsidRPr="00B426A1" w:rsidSect="00452CE3">
      <w:footerReference w:type="default" r:id="rId101"/>
      <w:pgSz w:w="11906" w:h="16838"/>
      <w:pgMar w:top="1276"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8BA96" w14:textId="77777777" w:rsidR="00B53C04" w:rsidRDefault="00B53C04" w:rsidP="004B523C">
      <w:r>
        <w:separator/>
      </w:r>
    </w:p>
  </w:endnote>
  <w:endnote w:type="continuationSeparator" w:id="0">
    <w:p w14:paraId="020F28F8" w14:textId="77777777" w:rsidR="00B53C04" w:rsidRDefault="00B53C04" w:rsidP="004B523C">
      <w:r>
        <w:continuationSeparator/>
      </w:r>
    </w:p>
  </w:endnote>
  <w:endnote w:type="continuationNotice" w:id="1">
    <w:p w14:paraId="0B370FCD" w14:textId="77777777" w:rsidR="00B53C04" w:rsidRDefault="00B5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MetaPro-Bold">
    <w:panose1 w:val="00000000000000000000"/>
    <w:charset w:val="00"/>
    <w:family w:val="auto"/>
    <w:notTrueType/>
    <w:pitch w:val="default"/>
    <w:sig w:usb0="00000003" w:usb1="00000000" w:usb2="00000000" w:usb3="00000000" w:csb0="00000001" w:csb1="00000000"/>
  </w:font>
  <w:font w:name="MetaPro-Book">
    <w:altName w:val="Arial"/>
    <w:charset w:val="80"/>
    <w:family w:val="swiss"/>
    <w:pitch w:val="default"/>
    <w:sig w:usb0="00000001" w:usb1="08070000" w:usb2="00000010" w:usb3="00000000" w:csb0="00020000" w:csb1="00000000"/>
  </w:font>
  <w:font w:name="MetaPro-Normal">
    <w:altName w:val="Arial"/>
    <w:panose1 w:val="00000000000000000000"/>
    <w:charset w:val="00"/>
    <w:family w:val="modern"/>
    <w:notTrueType/>
    <w:pitch w:val="variable"/>
    <w:sig w:usb0="00000001" w:usb1="4000206B"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148458"/>
      <w:docPartObj>
        <w:docPartGallery w:val="Page Numbers (Bottom of Page)"/>
        <w:docPartUnique/>
      </w:docPartObj>
    </w:sdtPr>
    <w:sdtContent>
      <w:p w14:paraId="70090D32" w14:textId="21BB9A59" w:rsidR="00753B98" w:rsidRDefault="00753B98">
        <w:pPr>
          <w:pStyle w:val="Footer"/>
          <w:jc w:val="center"/>
        </w:pPr>
        <w:r>
          <w:fldChar w:fldCharType="begin"/>
        </w:r>
        <w:r>
          <w:instrText>PAGE   \* MERGEFORMAT</w:instrText>
        </w:r>
        <w:r>
          <w:fldChar w:fldCharType="separate"/>
        </w:r>
        <w:r>
          <w:t>2</w:t>
        </w:r>
        <w:r>
          <w:fldChar w:fldCharType="end"/>
        </w:r>
      </w:p>
    </w:sdtContent>
  </w:sdt>
  <w:p w14:paraId="415296B7" w14:textId="77777777" w:rsidR="00916377" w:rsidRDefault="00916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4BB17" w14:textId="77777777" w:rsidR="00B53C04" w:rsidRDefault="00B53C04" w:rsidP="004B523C">
      <w:r>
        <w:separator/>
      </w:r>
    </w:p>
  </w:footnote>
  <w:footnote w:type="continuationSeparator" w:id="0">
    <w:p w14:paraId="05118D11" w14:textId="77777777" w:rsidR="00B53C04" w:rsidRDefault="00B53C04" w:rsidP="004B523C">
      <w:r>
        <w:continuationSeparator/>
      </w:r>
    </w:p>
  </w:footnote>
  <w:footnote w:type="continuationNotice" w:id="1">
    <w:p w14:paraId="54CAFD45" w14:textId="77777777" w:rsidR="00B53C04" w:rsidRDefault="00B53C04"/>
  </w:footnote>
  <w:footnote w:id="2">
    <w:p w14:paraId="5FA93FD7" w14:textId="11C0137F" w:rsidR="004A7B98" w:rsidRPr="005E139C" w:rsidRDefault="004A7B98" w:rsidP="00805F81">
      <w:pPr>
        <w:pStyle w:val="EC-Footnote"/>
      </w:pPr>
      <w:r>
        <w:rPr>
          <w:rStyle w:val="FootnoteReference"/>
        </w:rPr>
        <w:footnoteRef/>
      </w:r>
      <w:r>
        <w:t xml:space="preserve"> </w:t>
      </w:r>
      <w:hyperlink r:id="rId1" w:history="1">
        <w:r w:rsidRPr="00B51F6B">
          <w:rPr>
            <w:rStyle w:val="Hyperlink"/>
            <w:rFonts w:cs="Tahoma"/>
          </w:rPr>
          <w:t>Commission Implementing Decision 2018/945-EU of 22 June 2018</w:t>
        </w:r>
      </w:hyperlink>
      <w:r w:rsidRPr="00B51F6B">
        <w:rPr>
          <w:rFonts w:cs="Tahoma"/>
        </w:rPr>
        <w:t xml:space="preserve"> on the communicable diseases and related special health issues to be covered by epidemiological surveillance as well as relevant case definitions</w:t>
      </w:r>
    </w:p>
  </w:footnote>
  <w:footnote w:id="3">
    <w:p w14:paraId="634ECF47" w14:textId="6F53BF70" w:rsidR="004A7B98" w:rsidRPr="005E139C" w:rsidRDefault="004A7B98" w:rsidP="00805F81">
      <w:pPr>
        <w:pStyle w:val="EC-Footnote"/>
      </w:pPr>
      <w:r>
        <w:rPr>
          <w:rStyle w:val="FootnoteReference"/>
        </w:rPr>
        <w:footnoteRef/>
      </w:r>
      <w:r>
        <w:t xml:space="preserve"> </w:t>
      </w:r>
      <w:hyperlink r:id="rId2" w:history="1">
        <w:r w:rsidRPr="00B51F6B">
          <w:rPr>
            <w:rStyle w:val="Hyperlink"/>
            <w:rFonts w:cs="Tahoma"/>
          </w:rPr>
          <w:t>Commission Implementing Decision 2018/945-EU of 22 June 2018</w:t>
        </w:r>
      </w:hyperlink>
      <w:r w:rsidRPr="00B51F6B">
        <w:rPr>
          <w:rFonts w:cs="Tahoma"/>
        </w:rPr>
        <w:t xml:space="preserve"> on the communicable diseases and related special health issues to be covered by epidemiological surveillance as well as relevant case definitions</w:t>
      </w:r>
      <w:r w:rsidR="004B056A">
        <w:rPr>
          <w:rFonts w:cs="Tahoma"/>
        </w:rPr>
        <w:t>.</w:t>
      </w:r>
    </w:p>
  </w:footnote>
  <w:footnote w:id="4">
    <w:p w14:paraId="6D1CB728" w14:textId="1560D2FB" w:rsidR="004A7B98" w:rsidRPr="00EF3DFC" w:rsidRDefault="004A7B98" w:rsidP="0034321A">
      <w:pPr>
        <w:pStyle w:val="ECFootnote"/>
        <w:rPr>
          <w:rFonts w:cs="Tahoma"/>
        </w:rPr>
      </w:pPr>
      <w:r w:rsidRPr="00EF3DFC">
        <w:rPr>
          <w:rStyle w:val="FootnoteReference"/>
          <w:rFonts w:cs="Tahoma"/>
          <w:szCs w:val="16"/>
        </w:rPr>
        <w:footnoteRef/>
      </w:r>
      <w:r w:rsidRPr="00EF3DFC">
        <w:rPr>
          <w:rFonts w:cs="Tahoma"/>
        </w:rPr>
        <w:t xml:space="preserve"> </w:t>
      </w:r>
      <w:r w:rsidRPr="00EF3DFC">
        <w:rPr>
          <w:rFonts w:cs="Tahoma"/>
          <w:lang w:val="en-US" w:bidi="en-US"/>
        </w:rPr>
        <w:t>Available from</w:t>
      </w:r>
      <w:r w:rsidRPr="00EF3DFC">
        <w:rPr>
          <w:rStyle w:val="Hyperlink"/>
          <w:szCs w:val="16"/>
          <w:lang w:bidi="en-US"/>
        </w:rPr>
        <w:t>:</w:t>
      </w:r>
      <w:r w:rsidR="00721670" w:rsidRPr="00EF3DFC">
        <w:t xml:space="preserve"> </w:t>
      </w:r>
      <w:hyperlink r:id="rId3" w:history="1">
        <w:r w:rsidR="00721670" w:rsidRPr="00EF3DFC">
          <w:rPr>
            <w:rStyle w:val="Hyperlink"/>
            <w:szCs w:val="16"/>
          </w:rPr>
          <w:t>Home - Eurostat (europa.eu)</w:t>
        </w:r>
      </w:hyperlink>
      <w:r w:rsidR="0034321A" w:rsidRPr="00EF3DFC">
        <w:rPr>
          <w:rFonts w:cs="Tahoma"/>
        </w:rPr>
        <w:t xml:space="preserve"> </w:t>
      </w:r>
    </w:p>
  </w:footnote>
  <w:footnote w:id="5">
    <w:p w14:paraId="72D090FA" w14:textId="015B68A0" w:rsidR="004A7B98" w:rsidRPr="0072746F" w:rsidRDefault="004A7B98" w:rsidP="00805F81">
      <w:pPr>
        <w:pStyle w:val="ECFootnote"/>
      </w:pPr>
      <w:r>
        <w:rPr>
          <w:rStyle w:val="FootnoteReference"/>
        </w:rPr>
        <w:footnoteRef/>
      </w:r>
      <w:r>
        <w:t xml:space="preserve"> </w:t>
      </w:r>
      <w:hyperlink r:id="rId4" w:history="1">
        <w:r w:rsidRPr="00B51F6B">
          <w:rPr>
            <w:rStyle w:val="Hyperlink"/>
            <w:rFonts w:cs="Tahoma"/>
          </w:rPr>
          <w:t>Commission Implementing Decision 2018/945-EU of 22 June 2018</w:t>
        </w:r>
      </w:hyperlink>
      <w:r w:rsidRPr="00B51F6B">
        <w:rPr>
          <w:rFonts w:cs="Tahoma"/>
        </w:rPr>
        <w:t xml:space="preserve"> on the communicable diseases and related special health issues to be covered by epidemiological surveillance as well as relevant case definitions</w:t>
      </w:r>
      <w:r w:rsidR="008D6924">
        <w:rPr>
          <w:rFonts w:cs="Tahoma"/>
        </w:rPr>
        <w:t>.</w:t>
      </w:r>
    </w:p>
  </w:footnote>
  <w:footnote w:id="6">
    <w:p w14:paraId="4656B736" w14:textId="7B88ECE4" w:rsidR="004A7B98" w:rsidRPr="0034321A" w:rsidRDefault="004A7B98" w:rsidP="0034321A">
      <w:pPr>
        <w:pStyle w:val="EC-Footnote"/>
        <w:rPr>
          <w:rFonts w:cs="Tahoma"/>
          <w:szCs w:val="16"/>
        </w:rPr>
      </w:pPr>
      <w:r w:rsidRPr="0034321A">
        <w:rPr>
          <w:rStyle w:val="FootnoteReference"/>
          <w:rFonts w:cs="Tahoma"/>
          <w:szCs w:val="16"/>
        </w:rPr>
        <w:footnoteRef/>
      </w:r>
      <w:r w:rsidRPr="0034321A">
        <w:rPr>
          <w:rFonts w:cs="Tahoma"/>
          <w:szCs w:val="16"/>
        </w:rPr>
        <w:t xml:space="preserve"> </w:t>
      </w:r>
      <w:r w:rsidR="008F31F2" w:rsidRPr="00EF3DFC">
        <w:rPr>
          <w:lang w:val="en-US" w:bidi="en-US"/>
        </w:rPr>
        <w:t>Available from</w:t>
      </w:r>
      <w:r w:rsidR="008F31F2" w:rsidRPr="00EF3DFC">
        <w:rPr>
          <w:rStyle w:val="Hyperlink"/>
          <w:szCs w:val="16"/>
          <w:lang w:bidi="en-US"/>
        </w:rPr>
        <w:t xml:space="preserve">: </w:t>
      </w:r>
      <w:hyperlink r:id="rId5" w:history="1">
        <w:r w:rsidR="008F31F2" w:rsidRPr="00EF3DFC">
          <w:rPr>
            <w:rStyle w:val="Hyperlink"/>
            <w:szCs w:val="16"/>
          </w:rPr>
          <w:t>Home - Eurostat (europa.eu)</w:t>
        </w:r>
      </w:hyperlink>
    </w:p>
  </w:footnote>
  <w:footnote w:id="7">
    <w:p w14:paraId="4022B8F8" w14:textId="36E99B80" w:rsidR="004A7B98" w:rsidRPr="00E36904" w:rsidRDefault="004A7B98" w:rsidP="009846E5">
      <w:pPr>
        <w:pStyle w:val="ECFootnote"/>
      </w:pPr>
      <w:r w:rsidRPr="00E36904">
        <w:rPr>
          <w:rStyle w:val="FootnoteReference"/>
          <w:rFonts w:cs="Tahoma"/>
          <w:szCs w:val="16"/>
        </w:rPr>
        <w:footnoteRef/>
      </w:r>
      <w:r w:rsidRPr="00E36904">
        <w:t xml:space="preserve"> </w:t>
      </w:r>
      <w:hyperlink r:id="rId6" w:history="1">
        <w:r w:rsidRPr="00E36904">
          <w:rPr>
            <w:rStyle w:val="Hyperlink"/>
            <w:rFonts w:cs="Tahoma"/>
            <w:szCs w:val="16"/>
          </w:rPr>
          <w:t>Commission Implementing Decision 2018/945-EU of 22 June 2018</w:t>
        </w:r>
      </w:hyperlink>
      <w:r w:rsidRPr="00E36904">
        <w:t xml:space="preserve"> on the communicable diseases and related special health issues to be covered by epidemiological surveillance as well as relevant case definitions</w:t>
      </w:r>
      <w:r w:rsidR="0034321A">
        <w:t>.</w:t>
      </w:r>
    </w:p>
  </w:footnote>
  <w:footnote w:id="8">
    <w:p w14:paraId="3D10BBDB" w14:textId="6B86D73E" w:rsidR="004A7B98" w:rsidRPr="003B4E4E" w:rsidRDefault="004A7B98" w:rsidP="009846E5">
      <w:pPr>
        <w:pStyle w:val="ECFootnote"/>
      </w:pPr>
      <w:r w:rsidRPr="00E36904">
        <w:rPr>
          <w:rStyle w:val="FootnoteReference"/>
          <w:rFonts w:cs="Tahoma"/>
          <w:szCs w:val="16"/>
        </w:rPr>
        <w:footnoteRef/>
      </w:r>
      <w:r w:rsidRPr="00E36904">
        <w:t xml:space="preserve"> The EU protocols, including future updates, can be found at the following ECDC webpage: </w:t>
      </w:r>
      <w:hyperlink r:id="rId7" w:history="1">
        <w:r w:rsidRPr="00E36904">
          <w:rPr>
            <w:rStyle w:val="Hyperlink"/>
            <w:rFonts w:cs="Tahoma"/>
            <w:szCs w:val="16"/>
          </w:rPr>
          <w:t>https://ecdc.europa.eu/en/publications- data/eu-protocol-harmonised-monitoring-antimicrobial-resistance-human-salmonella-and-0</w:t>
        </w:r>
      </w:hyperlink>
      <w:r>
        <w:rPr>
          <w:sz w:val="17"/>
          <w:szCs w:val="17"/>
        </w:rPr>
        <w:t xml:space="preserve"> </w:t>
      </w:r>
    </w:p>
  </w:footnote>
  <w:footnote w:id="9">
    <w:p w14:paraId="0F1ED305" w14:textId="094A1DD2" w:rsidR="004A7B98" w:rsidRPr="00EF3DFC" w:rsidRDefault="004A7B98" w:rsidP="008F31F2">
      <w:pPr>
        <w:pStyle w:val="ECFootnote"/>
      </w:pPr>
      <w:r w:rsidRPr="00EF3DFC">
        <w:rPr>
          <w:rStyle w:val="FootnoteReference"/>
          <w:rFonts w:cs="Tahoma"/>
          <w:szCs w:val="16"/>
        </w:rPr>
        <w:footnoteRef/>
      </w:r>
      <w:r w:rsidRPr="00EF3DFC">
        <w:t xml:space="preserve"> </w:t>
      </w:r>
      <w:r w:rsidRPr="00EF3DFC">
        <w:rPr>
          <w:lang w:val="en-US" w:bidi="en-US"/>
        </w:rPr>
        <w:t>Available from</w:t>
      </w:r>
      <w:r w:rsidRPr="00EF3DFC">
        <w:rPr>
          <w:rStyle w:val="Hyperlink"/>
          <w:szCs w:val="16"/>
          <w:lang w:bidi="en-US"/>
        </w:rPr>
        <w:t xml:space="preserve">: </w:t>
      </w:r>
      <w:hyperlink r:id="rId8" w:history="1">
        <w:r w:rsidR="008664B1" w:rsidRPr="00EF3DFC">
          <w:rPr>
            <w:rStyle w:val="Hyperlink"/>
            <w:szCs w:val="16"/>
          </w:rPr>
          <w:t>Home - Eurostat (europa.eu)</w:t>
        </w:r>
      </w:hyperlink>
    </w:p>
  </w:footnote>
  <w:footnote w:id="10">
    <w:p w14:paraId="3F5A7402" w14:textId="77777777" w:rsidR="000C1690" w:rsidRPr="002D4698" w:rsidRDefault="000C1690" w:rsidP="000C1690">
      <w:pPr>
        <w:pStyle w:val="ECFootnote"/>
        <w:rPr>
          <w:rFonts w:cs="Tahoma"/>
          <w:szCs w:val="16"/>
        </w:rPr>
      </w:pPr>
      <w:r w:rsidRPr="00E36904">
        <w:rPr>
          <w:rStyle w:val="FootnoteReference"/>
          <w:rFonts w:cs="Tahoma"/>
          <w:szCs w:val="16"/>
        </w:rPr>
        <w:footnoteRef/>
      </w:r>
      <w:r w:rsidRPr="00E36904">
        <w:rPr>
          <w:rFonts w:cs="Tahoma"/>
          <w:szCs w:val="16"/>
        </w:rPr>
        <w:t xml:space="preserve"> </w:t>
      </w:r>
      <w:hyperlink r:id="rId9" w:history="1">
        <w:r w:rsidRPr="00E36904">
          <w:rPr>
            <w:rStyle w:val="Hyperlink"/>
            <w:szCs w:val="16"/>
          </w:rPr>
          <w:t>Commission Implementing Decision 2018/945-EU of 22 June 2018</w:t>
        </w:r>
      </w:hyperlink>
      <w:r w:rsidRPr="00E36904">
        <w:rPr>
          <w:rFonts w:cs="Tahoma"/>
          <w:szCs w:val="16"/>
        </w:rPr>
        <w:t xml:space="preserve"> on the communicable diseases and related special health </w:t>
      </w:r>
      <w:r w:rsidRPr="002D4698">
        <w:rPr>
          <w:rFonts w:cs="Tahoma"/>
          <w:szCs w:val="16"/>
        </w:rPr>
        <w:t>issues to be covered by epidemiological surveillance as well as relevant case definitions</w:t>
      </w:r>
    </w:p>
  </w:footnote>
  <w:footnote w:id="11">
    <w:p w14:paraId="0C2136CA" w14:textId="77777777" w:rsidR="000C1690" w:rsidRPr="003B4E4E" w:rsidRDefault="000C1690" w:rsidP="000C1690">
      <w:pPr>
        <w:pStyle w:val="FootnoteText"/>
      </w:pPr>
      <w:r w:rsidRPr="002D4698">
        <w:rPr>
          <w:rStyle w:val="FootnoteReference"/>
          <w:rFonts w:ascii="Tahoma" w:hAnsi="Tahoma" w:cs="Tahoma"/>
          <w:sz w:val="16"/>
          <w:szCs w:val="16"/>
        </w:rPr>
        <w:footnoteRef/>
      </w:r>
      <w:r w:rsidRPr="002D4698">
        <w:rPr>
          <w:rFonts w:ascii="Tahoma" w:hAnsi="Tahoma" w:cs="Tahoma"/>
          <w:sz w:val="16"/>
          <w:szCs w:val="16"/>
        </w:rPr>
        <w:t xml:space="preserve"> The EU protocols, including future updates, can be found at the following ECDC webpage: </w:t>
      </w:r>
      <w:hyperlink r:id="rId10" w:history="1">
        <w:r w:rsidRPr="002D4698">
          <w:rPr>
            <w:rStyle w:val="Hyperlink"/>
            <w:rFonts w:cs="Tahoma"/>
            <w:szCs w:val="16"/>
          </w:rPr>
          <w:t>https://ecdc.europa.eu/en/publications- data/eu-protocol-harmonised-monitoring-antimicrobial-resistance-human-salmonella-and-0</w:t>
        </w:r>
      </w:hyperlink>
      <w:r>
        <w:rPr>
          <w:sz w:val="17"/>
          <w:szCs w:val="17"/>
        </w:rPr>
        <w:t xml:space="preserve"> </w:t>
      </w:r>
    </w:p>
  </w:footnote>
  <w:footnote w:id="12">
    <w:p w14:paraId="26418165" w14:textId="26846110" w:rsidR="004A7B98" w:rsidRPr="00EF3DFC" w:rsidRDefault="004A7B98" w:rsidP="0001197D">
      <w:pPr>
        <w:pStyle w:val="ECFootnote"/>
      </w:pPr>
      <w:r w:rsidRPr="00EF3DFC">
        <w:rPr>
          <w:rStyle w:val="FootnoteReference"/>
          <w:rFonts w:cs="Tahoma"/>
          <w:szCs w:val="16"/>
        </w:rPr>
        <w:footnoteRef/>
      </w:r>
      <w:r w:rsidRPr="00EF3DFC">
        <w:t xml:space="preserve"> </w:t>
      </w:r>
      <w:hyperlink r:id="rId11" w:history="1">
        <w:r w:rsidRPr="00EF3DFC">
          <w:rPr>
            <w:rStyle w:val="Hyperlink"/>
            <w:rFonts w:cs="Tahoma"/>
            <w:szCs w:val="16"/>
          </w:rPr>
          <w:t>Commission Implementing Decision 2018/945-EU of 22 June 2018</w:t>
        </w:r>
      </w:hyperlink>
      <w:r w:rsidRPr="00EF3DFC">
        <w:t xml:space="preserve"> on the communicable diseases and related special health issues to be covered by epidemiological surveillance as well as relevant case definitions.</w:t>
      </w:r>
    </w:p>
  </w:footnote>
  <w:footnote w:id="13">
    <w:p w14:paraId="3A0DD8A2" w14:textId="559014CC" w:rsidR="004A7B98" w:rsidRPr="00E36904" w:rsidRDefault="004A7B98" w:rsidP="0001197D">
      <w:pPr>
        <w:pStyle w:val="ECFootnote"/>
        <w:rPr>
          <w:sz w:val="20"/>
        </w:rPr>
      </w:pPr>
      <w:r w:rsidRPr="00EF3DFC">
        <w:rPr>
          <w:rStyle w:val="FootnoteReference"/>
          <w:rFonts w:cs="Tahoma"/>
          <w:szCs w:val="16"/>
        </w:rPr>
        <w:footnoteRef/>
      </w:r>
      <w:r w:rsidRPr="00EF3DFC">
        <w:t xml:space="preserve"> </w:t>
      </w:r>
      <w:r w:rsidRPr="00EF3DFC">
        <w:rPr>
          <w:lang w:val="en-US" w:bidi="en-US"/>
        </w:rPr>
        <w:t>Available from</w:t>
      </w:r>
      <w:r w:rsidRPr="00EF3DFC">
        <w:rPr>
          <w:rStyle w:val="Hyperlink"/>
          <w:rFonts w:cs="Tahoma"/>
          <w:color w:val="auto"/>
          <w:szCs w:val="16"/>
          <w:lang w:bidi="en-US"/>
        </w:rPr>
        <w:t>:</w:t>
      </w:r>
      <w:r w:rsidRPr="00EF3DFC">
        <w:rPr>
          <w:rStyle w:val="Hyperlink"/>
          <w:rFonts w:cs="Tahoma"/>
          <w:szCs w:val="16"/>
          <w:lang w:bidi="en-US"/>
        </w:rPr>
        <w:t xml:space="preserve"> </w:t>
      </w:r>
      <w:hyperlink r:id="rId12" w:history="1">
        <w:r w:rsidR="008664B1" w:rsidRPr="00EF3DFC">
          <w:rPr>
            <w:rStyle w:val="Hyperlink"/>
            <w:rFonts w:cs="Tahoma"/>
            <w:szCs w:val="16"/>
          </w:rPr>
          <w:t>Home - Eurostat (europa.eu)</w:t>
        </w:r>
      </w:hyperlink>
    </w:p>
  </w:footnote>
  <w:footnote w:id="14">
    <w:p w14:paraId="5FBE435B" w14:textId="1A5C66AD" w:rsidR="004A7B98" w:rsidRPr="00EF3DFC" w:rsidRDefault="004A7B98" w:rsidP="002E7007">
      <w:pPr>
        <w:pStyle w:val="FootnoteText"/>
        <w:spacing w:after="60" w:line="200" w:lineRule="atLeast"/>
        <w:jc w:val="both"/>
        <w:rPr>
          <w:rFonts w:ascii="Tahoma" w:hAnsi="Tahoma" w:cs="Tahoma"/>
          <w:sz w:val="16"/>
          <w:szCs w:val="16"/>
          <w:lang w:val="en-GB"/>
        </w:rPr>
      </w:pPr>
      <w:r w:rsidRPr="00EF3DFC">
        <w:rPr>
          <w:rStyle w:val="FootnoteReference"/>
          <w:rFonts w:ascii="Tahoma" w:hAnsi="Tahoma" w:cs="Tahoma"/>
          <w:sz w:val="16"/>
          <w:szCs w:val="16"/>
        </w:rPr>
        <w:footnoteRef/>
      </w:r>
      <w:r w:rsidRPr="00EF3DFC">
        <w:rPr>
          <w:rFonts w:ascii="Tahoma" w:hAnsi="Tahoma" w:cs="Tahoma"/>
          <w:sz w:val="16"/>
          <w:szCs w:val="16"/>
        </w:rPr>
        <w:t xml:space="preserve"> </w:t>
      </w:r>
      <w:hyperlink r:id="rId13" w:history="1">
        <w:r w:rsidRPr="00EF3DFC">
          <w:rPr>
            <w:rStyle w:val="Hyperlink"/>
            <w:rFonts w:cs="Tahoma"/>
            <w:szCs w:val="16"/>
          </w:rPr>
          <w:t>Commission Implementing Decision 2018/945-EU of 22 June 2018</w:t>
        </w:r>
      </w:hyperlink>
      <w:r w:rsidRPr="00EF3DFC">
        <w:rPr>
          <w:rFonts w:ascii="Tahoma" w:hAnsi="Tahoma" w:cs="Tahoma"/>
          <w:sz w:val="16"/>
          <w:szCs w:val="16"/>
        </w:rPr>
        <w:t xml:space="preserve"> on the communicable diseases and related special health issues to be covered by epidemiological surveillance as well as relevant case definitions.</w:t>
      </w:r>
    </w:p>
  </w:footnote>
  <w:footnote w:id="15">
    <w:p w14:paraId="212AD673" w14:textId="61710BA1" w:rsidR="004A7B98" w:rsidRDefault="004A7B98" w:rsidP="002E7007">
      <w:pPr>
        <w:autoSpaceDE w:val="0"/>
        <w:autoSpaceDN w:val="0"/>
        <w:adjustRightInd w:val="0"/>
        <w:spacing w:after="60" w:line="200" w:lineRule="atLeast"/>
        <w:jc w:val="both"/>
        <w:rPr>
          <w:rFonts w:cs="Tahoma"/>
          <w:sz w:val="16"/>
          <w:szCs w:val="16"/>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rFonts w:cs="Tahoma"/>
          <w:szCs w:val="16"/>
          <w:lang w:bidi="en-US"/>
        </w:rPr>
        <w:t xml:space="preserve">: </w:t>
      </w:r>
      <w:hyperlink r:id="rId14" w:history="1">
        <w:r w:rsidR="008664B1" w:rsidRPr="00EF3DFC">
          <w:rPr>
            <w:rStyle w:val="Hyperlink"/>
            <w:rFonts w:cs="Tahoma"/>
            <w:szCs w:val="16"/>
          </w:rPr>
          <w:t>Home - Eurostat (europa.eu)</w:t>
        </w:r>
      </w:hyperlink>
    </w:p>
  </w:footnote>
  <w:footnote w:id="16">
    <w:p w14:paraId="13316F7A" w14:textId="7B0DA8F0" w:rsidR="004A7B98" w:rsidRPr="00EF3DFC" w:rsidRDefault="004A7B98" w:rsidP="004C23E6">
      <w:pPr>
        <w:pStyle w:val="FootnoteText"/>
        <w:spacing w:after="0"/>
        <w:jc w:val="both"/>
        <w:rPr>
          <w:rFonts w:ascii="Tahoma" w:hAnsi="Tahoma" w:cs="Tahoma"/>
          <w:sz w:val="16"/>
          <w:szCs w:val="16"/>
          <w:lang w:val="en-GB"/>
        </w:rPr>
      </w:pPr>
      <w:r w:rsidRPr="00EF3DFC">
        <w:rPr>
          <w:rStyle w:val="FootnoteReference"/>
          <w:rFonts w:ascii="Tahoma" w:hAnsi="Tahoma" w:cs="Tahoma"/>
          <w:sz w:val="16"/>
          <w:szCs w:val="16"/>
        </w:rPr>
        <w:footnoteRef/>
      </w:r>
      <w:r w:rsidRPr="00EF3DFC">
        <w:rPr>
          <w:rFonts w:ascii="Tahoma" w:hAnsi="Tahoma" w:cs="Tahoma"/>
          <w:sz w:val="16"/>
          <w:szCs w:val="16"/>
        </w:rPr>
        <w:t xml:space="preserve"> </w:t>
      </w:r>
      <w:hyperlink r:id="rId15" w:history="1">
        <w:r w:rsidR="00EF3DFC" w:rsidRPr="00EF3DFC">
          <w:rPr>
            <w:rStyle w:val="Hyperlink"/>
            <w:rFonts w:cs="Tahoma"/>
            <w:szCs w:val="16"/>
          </w:rPr>
          <w:t>Commission Implementing Decision 2018/945-EU of 22 June 2018</w:t>
        </w:r>
      </w:hyperlink>
      <w:r w:rsidR="00EF3DFC" w:rsidRPr="00EF3DFC">
        <w:rPr>
          <w:rFonts w:ascii="Tahoma" w:hAnsi="Tahoma" w:cs="Tahoma"/>
          <w:sz w:val="16"/>
          <w:szCs w:val="16"/>
        </w:rPr>
        <w:t xml:space="preserve"> on the communicable diseases and related special health issues to be covered by epidemiological surveillance as well as relevant case definitions.</w:t>
      </w:r>
    </w:p>
  </w:footnote>
  <w:footnote w:id="17">
    <w:p w14:paraId="6A8E67BF" w14:textId="128D90CA" w:rsidR="004A7B98" w:rsidRPr="00E36904" w:rsidRDefault="004A7B98" w:rsidP="004C23E6">
      <w:pPr>
        <w:autoSpaceDE w:val="0"/>
        <w:autoSpaceDN w:val="0"/>
        <w:adjustRightInd w:val="0"/>
        <w:spacing w:after="0"/>
        <w:jc w:val="both"/>
        <w:rPr>
          <w:rFonts w:cs="Tahoma"/>
          <w:szCs w:val="18"/>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rFonts w:cs="Tahoma"/>
          <w:szCs w:val="16"/>
          <w:lang w:bidi="en-US"/>
        </w:rPr>
        <w:t xml:space="preserve">: </w:t>
      </w:r>
      <w:hyperlink r:id="rId16" w:history="1">
        <w:r w:rsidR="008664B1" w:rsidRPr="00EF3DFC">
          <w:rPr>
            <w:rStyle w:val="Hyperlink"/>
            <w:szCs w:val="16"/>
          </w:rPr>
          <w:t>Home - Eurostat (europa.eu)</w:t>
        </w:r>
      </w:hyperlink>
      <w:r w:rsidR="00EF3DFC">
        <w:rPr>
          <w:sz w:val="16"/>
          <w:szCs w:val="16"/>
        </w:rPr>
        <w:t xml:space="preserve"> </w:t>
      </w:r>
      <w:hyperlink w:history="1"/>
    </w:p>
  </w:footnote>
  <w:footnote w:id="18">
    <w:p w14:paraId="1D853D4A" w14:textId="3B5BA67D" w:rsidR="004A7B98" w:rsidRPr="00EF3DFC" w:rsidRDefault="004A7B98" w:rsidP="002E7007">
      <w:pPr>
        <w:pStyle w:val="FootnoteText"/>
        <w:spacing w:after="60" w:line="200" w:lineRule="atLeast"/>
        <w:jc w:val="both"/>
        <w:rPr>
          <w:rFonts w:ascii="Tahoma" w:hAnsi="Tahoma" w:cs="Tahoma"/>
          <w:sz w:val="16"/>
          <w:szCs w:val="16"/>
          <w:lang w:val="en-GB"/>
        </w:rPr>
      </w:pPr>
      <w:r w:rsidRPr="00EF3DFC">
        <w:rPr>
          <w:rStyle w:val="FootnoteReference"/>
          <w:rFonts w:ascii="Tahoma" w:hAnsi="Tahoma" w:cs="Tahoma"/>
          <w:sz w:val="16"/>
          <w:szCs w:val="16"/>
        </w:rPr>
        <w:footnoteRef/>
      </w:r>
      <w:r w:rsidRPr="00EF3DFC">
        <w:rPr>
          <w:rFonts w:ascii="Tahoma" w:hAnsi="Tahoma" w:cs="Tahoma"/>
          <w:sz w:val="16"/>
          <w:szCs w:val="16"/>
        </w:rPr>
        <w:t xml:space="preserve"> </w:t>
      </w:r>
      <w:hyperlink r:id="rId17" w:history="1">
        <w:r w:rsidRPr="00EF3DFC">
          <w:rPr>
            <w:rStyle w:val="Hyperlink"/>
            <w:rFonts w:cs="Tahoma"/>
            <w:szCs w:val="16"/>
          </w:rPr>
          <w:t>Commission Implementing Decision 2018/945-EU of 22 June 2018</w:t>
        </w:r>
      </w:hyperlink>
      <w:r w:rsidRPr="00EF3DFC">
        <w:rPr>
          <w:rFonts w:ascii="Tahoma" w:hAnsi="Tahoma" w:cs="Tahoma"/>
          <w:sz w:val="16"/>
          <w:szCs w:val="16"/>
        </w:rPr>
        <w:t xml:space="preserve"> on the communicable diseases and related special health issues to be covered by epidemiological surveillance as well as relevant case definitions</w:t>
      </w:r>
      <w:r w:rsidRPr="00EF3DFC">
        <w:rPr>
          <w:rFonts w:ascii="Tahoma" w:eastAsia="Arial Unicode MS" w:hAnsi="Tahoma" w:cs="Tahoma"/>
          <w:kern w:val="22"/>
          <w:sz w:val="16"/>
          <w:szCs w:val="16"/>
          <w:lang w:val="en-GB" w:eastAsia="ko-KR" w:bidi="ar-SA"/>
        </w:rPr>
        <w:t>.</w:t>
      </w:r>
    </w:p>
  </w:footnote>
  <w:footnote w:id="19">
    <w:p w14:paraId="1B8D0F4F" w14:textId="1BF43CE9" w:rsidR="004A7B98" w:rsidRDefault="004A7B98" w:rsidP="00AC0043">
      <w:pPr>
        <w:autoSpaceDE w:val="0"/>
        <w:autoSpaceDN w:val="0"/>
        <w:adjustRightInd w:val="0"/>
        <w:spacing w:after="80"/>
        <w:jc w:val="both"/>
        <w:rPr>
          <w:rFonts w:cs="Tahoma"/>
          <w:sz w:val="16"/>
          <w:szCs w:val="16"/>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rFonts w:cs="Tahoma"/>
          <w:szCs w:val="16"/>
          <w:lang w:bidi="en-US"/>
        </w:rPr>
        <w:t xml:space="preserve">: </w:t>
      </w:r>
      <w:hyperlink r:id="rId18" w:history="1">
        <w:r w:rsidR="00EF3DFC" w:rsidRPr="00EF3DFC">
          <w:rPr>
            <w:rStyle w:val="Hyperlink"/>
            <w:rFonts w:cs="Tahoma"/>
            <w:szCs w:val="16"/>
          </w:rPr>
          <w:t>Home - Eurostat (europa.eu)</w:t>
        </w:r>
      </w:hyperlink>
      <w:r w:rsidR="00EF3DFC">
        <w:rPr>
          <w:rFonts w:cs="Tahoma"/>
          <w:sz w:val="16"/>
          <w:szCs w:val="16"/>
        </w:rPr>
        <w:t xml:space="preserve"> </w:t>
      </w:r>
      <w:hyperlink w:history="1"/>
    </w:p>
  </w:footnote>
  <w:footnote w:id="20">
    <w:p w14:paraId="58E16647" w14:textId="6BCEA5BE" w:rsidR="004A7B98" w:rsidRPr="00EF3DFC" w:rsidRDefault="004A7B98" w:rsidP="002E7007">
      <w:pPr>
        <w:pStyle w:val="FootnoteText"/>
        <w:spacing w:after="60" w:line="200" w:lineRule="atLeast"/>
        <w:jc w:val="both"/>
        <w:rPr>
          <w:rFonts w:ascii="Tahoma" w:hAnsi="Tahoma" w:cs="Tahoma"/>
          <w:sz w:val="16"/>
          <w:szCs w:val="16"/>
          <w:lang w:val="en-GB"/>
        </w:rPr>
      </w:pPr>
      <w:r w:rsidRPr="00EF3DFC">
        <w:rPr>
          <w:rStyle w:val="FootnoteReference"/>
          <w:rFonts w:ascii="Tahoma" w:hAnsi="Tahoma" w:cs="Tahoma"/>
          <w:sz w:val="16"/>
          <w:szCs w:val="16"/>
        </w:rPr>
        <w:footnoteRef/>
      </w:r>
      <w:r w:rsidRPr="00EF3DFC">
        <w:rPr>
          <w:rFonts w:ascii="Tahoma" w:hAnsi="Tahoma" w:cs="Tahoma"/>
          <w:sz w:val="16"/>
          <w:szCs w:val="16"/>
        </w:rPr>
        <w:t xml:space="preserve"> </w:t>
      </w:r>
      <w:hyperlink r:id="rId19" w:history="1">
        <w:r w:rsidRPr="00EF3DFC">
          <w:rPr>
            <w:rStyle w:val="Hyperlink"/>
            <w:rFonts w:cs="Tahoma"/>
            <w:szCs w:val="16"/>
          </w:rPr>
          <w:t>Commission Implementing Decision 2018/945-EU of 22 June 2018</w:t>
        </w:r>
      </w:hyperlink>
      <w:r w:rsidRPr="00EF3DFC">
        <w:rPr>
          <w:rFonts w:ascii="Tahoma" w:hAnsi="Tahoma" w:cs="Tahoma"/>
          <w:sz w:val="16"/>
          <w:szCs w:val="16"/>
        </w:rPr>
        <w:t xml:space="preserve"> on the communicable diseases and related special health issues to be covered by epidemiological surveillance as well as relevant case definitions</w:t>
      </w:r>
      <w:r w:rsidRPr="00EF3DFC">
        <w:rPr>
          <w:rFonts w:ascii="Tahoma" w:eastAsia="Arial Unicode MS" w:hAnsi="Tahoma" w:cs="Tahoma"/>
          <w:kern w:val="22"/>
          <w:sz w:val="16"/>
          <w:szCs w:val="16"/>
          <w:lang w:val="en-GB" w:eastAsia="ko-KR" w:bidi="ar-SA"/>
        </w:rPr>
        <w:t>.</w:t>
      </w:r>
    </w:p>
  </w:footnote>
  <w:footnote w:id="21">
    <w:p w14:paraId="5A1D899C" w14:textId="24E6FFEF" w:rsidR="004A7B98" w:rsidRDefault="004A7B98" w:rsidP="002E7007">
      <w:pPr>
        <w:autoSpaceDE w:val="0"/>
        <w:autoSpaceDN w:val="0"/>
        <w:adjustRightInd w:val="0"/>
        <w:spacing w:after="60" w:line="200" w:lineRule="atLeast"/>
        <w:jc w:val="both"/>
        <w:rPr>
          <w:rFonts w:cs="Tahoma"/>
          <w:sz w:val="16"/>
          <w:szCs w:val="16"/>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rFonts w:cs="Tahoma"/>
          <w:szCs w:val="16"/>
          <w:lang w:bidi="en-US"/>
        </w:rPr>
        <w:t xml:space="preserve">: </w:t>
      </w:r>
      <w:hyperlink r:id="rId20" w:history="1">
        <w:r w:rsidR="00EF3DFC" w:rsidRPr="00EF3DFC">
          <w:rPr>
            <w:rStyle w:val="Hyperlink"/>
            <w:rFonts w:cs="Tahoma"/>
            <w:szCs w:val="16"/>
          </w:rPr>
          <w:t>Home - Eurostat (europa.eu)</w:t>
        </w:r>
      </w:hyperlink>
    </w:p>
  </w:footnote>
  <w:footnote w:id="22">
    <w:p w14:paraId="046E166C" w14:textId="37D1D27F" w:rsidR="004A7B98" w:rsidRPr="00E36904" w:rsidRDefault="004A7B98" w:rsidP="00AC0043">
      <w:pPr>
        <w:pStyle w:val="FootnoteText"/>
        <w:rPr>
          <w:rFonts w:ascii="Tahoma" w:hAnsi="Tahoma" w:cs="Tahoma"/>
          <w:sz w:val="16"/>
          <w:szCs w:val="16"/>
          <w:lang w:val="en-GB"/>
        </w:rPr>
      </w:pPr>
      <w:r w:rsidRPr="00E36904">
        <w:rPr>
          <w:rStyle w:val="FootnoteReference"/>
          <w:rFonts w:ascii="Tahoma" w:hAnsi="Tahoma" w:cs="Tahoma"/>
          <w:sz w:val="16"/>
          <w:szCs w:val="16"/>
        </w:rPr>
        <w:footnoteRef/>
      </w:r>
      <w:r w:rsidRPr="00E36904">
        <w:rPr>
          <w:rFonts w:ascii="Tahoma" w:hAnsi="Tahoma" w:cs="Tahoma"/>
          <w:sz w:val="16"/>
          <w:szCs w:val="16"/>
        </w:rPr>
        <w:t xml:space="preserve"> </w:t>
      </w:r>
      <w:hyperlink r:id="rId21" w:history="1">
        <w:r w:rsidRPr="00E36904">
          <w:rPr>
            <w:rStyle w:val="Hyperlink"/>
            <w:rFonts w:cs="Tahoma"/>
            <w:szCs w:val="16"/>
          </w:rPr>
          <w:t>Commission Implementing Decision 2018/945-EU of 22 June 2018</w:t>
        </w:r>
      </w:hyperlink>
      <w:r w:rsidRPr="00E36904">
        <w:rPr>
          <w:rFonts w:ascii="Tahoma" w:hAnsi="Tahoma" w:cs="Tahoma"/>
          <w:sz w:val="16"/>
          <w:szCs w:val="16"/>
        </w:rPr>
        <w:t xml:space="preserve"> on the communicable diseases and related special health issues to be covered by epidemiological surveillance as well as relevant case definitions</w:t>
      </w:r>
      <w:r w:rsidRPr="00E36904">
        <w:rPr>
          <w:rFonts w:ascii="Tahoma" w:eastAsia="Arial Unicode MS" w:hAnsi="Tahoma" w:cs="Tahoma"/>
          <w:kern w:val="22"/>
          <w:sz w:val="16"/>
          <w:szCs w:val="16"/>
          <w:lang w:val="en-GB" w:eastAsia="ko-KR" w:bidi="ar-SA"/>
        </w:rPr>
        <w:t>.</w:t>
      </w:r>
    </w:p>
  </w:footnote>
  <w:footnote w:id="23">
    <w:p w14:paraId="0E5EDE51" w14:textId="16A49911" w:rsidR="004A7B98" w:rsidRPr="00EF3DFC" w:rsidRDefault="004A7B98" w:rsidP="00AC0043">
      <w:pPr>
        <w:autoSpaceDE w:val="0"/>
        <w:autoSpaceDN w:val="0"/>
        <w:adjustRightInd w:val="0"/>
        <w:spacing w:after="80"/>
        <w:jc w:val="both"/>
        <w:rPr>
          <w:rFonts w:cs="Tahoma"/>
          <w:sz w:val="16"/>
          <w:szCs w:val="16"/>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szCs w:val="16"/>
          <w:lang w:bidi="en-US"/>
        </w:rPr>
        <w:t xml:space="preserve">: </w:t>
      </w:r>
      <w:hyperlink r:id="rId22" w:history="1">
        <w:r w:rsidR="00EF3DFC" w:rsidRPr="00EF3DFC">
          <w:rPr>
            <w:rStyle w:val="Hyperlink"/>
            <w:rFonts w:cs="Tahoma"/>
            <w:szCs w:val="16"/>
          </w:rPr>
          <w:t>Home - Eurostat (europa.eu)</w:t>
        </w:r>
      </w:hyperlink>
    </w:p>
  </w:footnote>
  <w:footnote w:id="24">
    <w:p w14:paraId="4F17A629" w14:textId="47738934" w:rsidR="004A7B98" w:rsidRPr="00E36904" w:rsidRDefault="004A7B98" w:rsidP="007704F9">
      <w:pPr>
        <w:pStyle w:val="FootnoteText"/>
        <w:spacing w:after="60" w:line="200" w:lineRule="atLeast"/>
        <w:jc w:val="both"/>
        <w:rPr>
          <w:rFonts w:ascii="Tahoma" w:hAnsi="Tahoma" w:cs="Tahoma"/>
          <w:sz w:val="16"/>
          <w:szCs w:val="16"/>
          <w:lang w:val="en-GB"/>
        </w:rPr>
      </w:pPr>
      <w:r w:rsidRPr="00E36904">
        <w:rPr>
          <w:rStyle w:val="FootnoteReference"/>
          <w:rFonts w:ascii="Tahoma" w:hAnsi="Tahoma" w:cs="Tahoma"/>
          <w:sz w:val="16"/>
          <w:szCs w:val="16"/>
        </w:rPr>
        <w:footnoteRef/>
      </w:r>
      <w:r w:rsidRPr="00E36904">
        <w:rPr>
          <w:rFonts w:ascii="Tahoma" w:hAnsi="Tahoma" w:cs="Tahoma"/>
          <w:sz w:val="16"/>
          <w:szCs w:val="16"/>
        </w:rPr>
        <w:t xml:space="preserve"> </w:t>
      </w:r>
      <w:hyperlink r:id="rId23" w:history="1">
        <w:r w:rsidRPr="00E36904">
          <w:rPr>
            <w:rStyle w:val="Hyperlink"/>
            <w:rFonts w:cs="Tahoma"/>
            <w:szCs w:val="16"/>
          </w:rPr>
          <w:t>Commission Implementing Decision 2018/945-EU of 22 June 2018</w:t>
        </w:r>
      </w:hyperlink>
      <w:r w:rsidRPr="00E36904">
        <w:rPr>
          <w:rFonts w:ascii="Tahoma" w:hAnsi="Tahoma" w:cs="Tahoma"/>
          <w:sz w:val="16"/>
          <w:szCs w:val="16"/>
        </w:rPr>
        <w:t xml:space="preserve"> on the communicable diseases and related special health issues to be covered by epidemiological surveillance as well as relevant case definitions</w:t>
      </w:r>
      <w:r w:rsidRPr="00E36904">
        <w:rPr>
          <w:rFonts w:ascii="Tahoma" w:eastAsia="Arial Unicode MS" w:hAnsi="Tahoma" w:cs="Tahoma"/>
          <w:kern w:val="22"/>
          <w:sz w:val="16"/>
          <w:szCs w:val="16"/>
          <w:lang w:val="en-GB" w:eastAsia="ko-KR" w:bidi="ar-SA"/>
        </w:rPr>
        <w:t>.</w:t>
      </w:r>
    </w:p>
  </w:footnote>
  <w:footnote w:id="25">
    <w:p w14:paraId="594E4457" w14:textId="5D146519" w:rsidR="004A7B98" w:rsidRPr="00EF3DFC" w:rsidRDefault="004A7B98" w:rsidP="00AC0043">
      <w:pPr>
        <w:autoSpaceDE w:val="0"/>
        <w:autoSpaceDN w:val="0"/>
        <w:adjustRightInd w:val="0"/>
        <w:spacing w:after="80"/>
        <w:jc w:val="both"/>
        <w:rPr>
          <w:rFonts w:cs="Tahoma"/>
          <w:sz w:val="16"/>
          <w:szCs w:val="16"/>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szCs w:val="16"/>
          <w:lang w:bidi="en-US"/>
        </w:rPr>
        <w:t xml:space="preserve">: </w:t>
      </w:r>
      <w:hyperlink r:id="rId24" w:history="1">
        <w:r w:rsidR="00EF3DFC" w:rsidRPr="00EF3DFC">
          <w:rPr>
            <w:rStyle w:val="Hyperlink"/>
            <w:rFonts w:cs="Tahoma"/>
            <w:szCs w:val="16"/>
          </w:rPr>
          <w:t>Home - Eurostat (europa.eu)</w:t>
        </w:r>
      </w:hyperlink>
    </w:p>
  </w:footnote>
  <w:footnote w:id="26">
    <w:p w14:paraId="63F0DA2B" w14:textId="3ACC4B44" w:rsidR="00A31C23" w:rsidRPr="00E36904" w:rsidRDefault="00A31C23" w:rsidP="007704F9">
      <w:pPr>
        <w:pStyle w:val="FootnoteText"/>
        <w:spacing w:after="60" w:line="200" w:lineRule="atLeast"/>
        <w:jc w:val="both"/>
        <w:rPr>
          <w:rFonts w:ascii="Tahoma" w:eastAsia="Arial Unicode MS" w:hAnsi="Tahoma" w:cs="Tahoma"/>
          <w:kern w:val="22"/>
          <w:sz w:val="16"/>
          <w:szCs w:val="16"/>
          <w:lang w:val="en-GB" w:eastAsia="ko-KR" w:bidi="ar-SA"/>
        </w:rPr>
      </w:pPr>
      <w:r w:rsidRPr="00E36904">
        <w:rPr>
          <w:rStyle w:val="FootnoteReference"/>
          <w:rFonts w:ascii="Tahoma" w:hAnsi="Tahoma" w:cs="Tahoma"/>
          <w:sz w:val="16"/>
          <w:szCs w:val="16"/>
        </w:rPr>
        <w:footnoteRef/>
      </w:r>
      <w:r w:rsidRPr="00E36904">
        <w:rPr>
          <w:rFonts w:ascii="Tahoma" w:hAnsi="Tahoma" w:cs="Tahoma"/>
          <w:sz w:val="16"/>
          <w:szCs w:val="16"/>
        </w:rPr>
        <w:t xml:space="preserve"> </w:t>
      </w:r>
      <w:hyperlink r:id="rId25" w:history="1">
        <w:r w:rsidR="0024556A" w:rsidRPr="00E36904">
          <w:rPr>
            <w:rStyle w:val="Hyperlink"/>
            <w:rFonts w:cs="Tahoma"/>
            <w:szCs w:val="16"/>
          </w:rPr>
          <w:t>Commission Implementing Decision 2018/945-EU of 22 June 2018</w:t>
        </w:r>
      </w:hyperlink>
      <w:r w:rsidR="0024556A">
        <w:rPr>
          <w:rFonts w:ascii="Tahoma" w:hAnsi="Tahoma" w:cs="Tahoma"/>
          <w:sz w:val="16"/>
          <w:szCs w:val="16"/>
        </w:rPr>
        <w:t xml:space="preserve"> </w:t>
      </w:r>
      <w:r w:rsidRPr="00E36904">
        <w:rPr>
          <w:rFonts w:ascii="Tahoma" w:hAnsi="Tahoma" w:cs="Tahoma"/>
          <w:sz w:val="16"/>
          <w:szCs w:val="16"/>
        </w:rPr>
        <w:t>on the communicable diseases and related special health issues to be covered by epidemiological surveillance as well as relevant case definitions</w:t>
      </w:r>
      <w:r w:rsidRPr="00E36904">
        <w:rPr>
          <w:rFonts w:ascii="Tahoma" w:eastAsia="Arial Unicode MS" w:hAnsi="Tahoma" w:cs="Tahoma"/>
          <w:kern w:val="22"/>
          <w:sz w:val="16"/>
          <w:szCs w:val="16"/>
          <w:lang w:val="en-GB" w:eastAsia="ko-KR" w:bidi="ar-SA"/>
        </w:rPr>
        <w:t>.</w:t>
      </w:r>
    </w:p>
  </w:footnote>
  <w:footnote w:id="27">
    <w:p w14:paraId="0F9DE0E1" w14:textId="68161A27" w:rsidR="004A7B98" w:rsidRPr="00EF3DFC" w:rsidRDefault="004A7B98" w:rsidP="00E0697D">
      <w:pPr>
        <w:pStyle w:val="ECFootnote"/>
        <w:ind w:right="-164"/>
        <w:rPr>
          <w:szCs w:val="16"/>
          <w:lang w:val="en-US"/>
        </w:rPr>
      </w:pPr>
      <w:r w:rsidRPr="00EF3DFC">
        <w:rPr>
          <w:rStyle w:val="FootnoteReference"/>
          <w:szCs w:val="16"/>
        </w:rPr>
        <w:footnoteRef/>
      </w:r>
      <w:r w:rsidRPr="00EF3DFC">
        <w:rPr>
          <w:szCs w:val="16"/>
        </w:rPr>
        <w:t xml:space="preserve"> The EU protocols, including future updates, can be found at the following ECDC webpage: </w:t>
      </w:r>
      <w:hyperlink r:id="rId26" w:history="1">
        <w:r w:rsidRPr="00EF3DFC">
          <w:rPr>
            <w:rStyle w:val="Hyperlink"/>
            <w:szCs w:val="16"/>
          </w:rPr>
          <w:t>https://ecdc.europa.eu/en/publications- data/eu-protocol-harmonised-monitoring-antimicrobial-resistance-human-salmonella-and-0</w:t>
        </w:r>
      </w:hyperlink>
      <w:r w:rsidRPr="00EF3DFC">
        <w:rPr>
          <w:szCs w:val="16"/>
        </w:rPr>
        <w:t xml:space="preserve"> </w:t>
      </w:r>
    </w:p>
  </w:footnote>
  <w:footnote w:id="28">
    <w:p w14:paraId="06BD263B" w14:textId="3FD47698" w:rsidR="004A7B98" w:rsidRPr="00910E19" w:rsidRDefault="004A7B98" w:rsidP="005D0F09">
      <w:pPr>
        <w:autoSpaceDE w:val="0"/>
        <w:autoSpaceDN w:val="0"/>
        <w:adjustRightInd w:val="0"/>
        <w:spacing w:after="80"/>
        <w:jc w:val="both"/>
        <w:rPr>
          <w:rFonts w:cs="Tahoma"/>
          <w:sz w:val="16"/>
          <w:szCs w:val="16"/>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szCs w:val="16"/>
          <w:lang w:bidi="en-US"/>
        </w:rPr>
        <w:t>:</w:t>
      </w:r>
      <w:r w:rsidR="00EF3DFC" w:rsidRPr="00EF3DFC">
        <w:rPr>
          <w:rStyle w:val="Hyperlink"/>
          <w:rFonts w:cs="Tahoma"/>
          <w:szCs w:val="16"/>
          <w:lang w:bidi="en-US"/>
        </w:rPr>
        <w:t xml:space="preserve"> </w:t>
      </w:r>
      <w:hyperlink r:id="rId27" w:history="1">
        <w:r w:rsidR="00EF3DFC" w:rsidRPr="00EF3DFC">
          <w:rPr>
            <w:rStyle w:val="Hyperlink"/>
            <w:rFonts w:cs="Tahoma"/>
            <w:szCs w:val="16"/>
          </w:rPr>
          <w:t>Home - Eurostat (europa.eu)</w:t>
        </w:r>
      </w:hyperlink>
    </w:p>
  </w:footnote>
  <w:footnote w:id="29">
    <w:p w14:paraId="51AB04D2" w14:textId="77777777" w:rsidR="000C1690" w:rsidRPr="00E36904" w:rsidRDefault="000C1690" w:rsidP="00E0697D">
      <w:pPr>
        <w:pStyle w:val="ECFootnote"/>
        <w:spacing w:afterLines="60" w:after="144"/>
        <w:rPr>
          <w:rFonts w:cs="Tahoma"/>
          <w:szCs w:val="16"/>
        </w:rPr>
      </w:pPr>
      <w:r w:rsidRPr="00E36904">
        <w:rPr>
          <w:rStyle w:val="FootnoteReference"/>
          <w:rFonts w:cs="Tahoma"/>
          <w:szCs w:val="16"/>
        </w:rPr>
        <w:footnoteRef/>
      </w:r>
      <w:r w:rsidRPr="00E36904">
        <w:rPr>
          <w:rFonts w:cs="Tahoma"/>
          <w:szCs w:val="16"/>
        </w:rPr>
        <w:t xml:space="preserve"> </w:t>
      </w:r>
      <w:hyperlink r:id="rId28" w:history="1">
        <w:r w:rsidRPr="00E36904">
          <w:rPr>
            <w:rStyle w:val="Hyperlink"/>
            <w:szCs w:val="16"/>
          </w:rPr>
          <w:t>Commission Implementing Decision 2018/945-EU of 22 June 2018</w:t>
        </w:r>
      </w:hyperlink>
      <w:r w:rsidRPr="00E36904">
        <w:rPr>
          <w:rFonts w:cs="Tahoma"/>
          <w:szCs w:val="16"/>
        </w:rPr>
        <w:t xml:space="preserve"> on the communicable diseases and related special health issues to be covered by epidemiological surveillance as well as relevant case definitions</w:t>
      </w:r>
    </w:p>
  </w:footnote>
  <w:footnote w:id="30">
    <w:p w14:paraId="28E4CF7F" w14:textId="77777777" w:rsidR="000C1690" w:rsidRPr="003B4E4E" w:rsidRDefault="000C1690" w:rsidP="00E0697D">
      <w:pPr>
        <w:pStyle w:val="FootnoteText"/>
        <w:spacing w:afterLines="60" w:after="144" w:line="200" w:lineRule="atLeast"/>
      </w:pPr>
      <w:r w:rsidRPr="00E36904">
        <w:rPr>
          <w:rStyle w:val="FootnoteReference"/>
          <w:rFonts w:ascii="Tahoma" w:hAnsi="Tahoma" w:cs="Tahoma"/>
          <w:sz w:val="16"/>
          <w:szCs w:val="16"/>
        </w:rPr>
        <w:footnoteRef/>
      </w:r>
      <w:r w:rsidRPr="00E36904">
        <w:rPr>
          <w:rFonts w:ascii="Tahoma" w:hAnsi="Tahoma" w:cs="Tahoma"/>
          <w:sz w:val="16"/>
          <w:szCs w:val="16"/>
        </w:rPr>
        <w:t xml:space="preserve"> The EU protocols, including future updates, can be found at the following ECDC webpage: </w:t>
      </w:r>
      <w:hyperlink r:id="rId29" w:history="1">
        <w:r w:rsidRPr="000B7716">
          <w:rPr>
            <w:rStyle w:val="Hyperlink"/>
            <w:rFonts w:cs="Tahoma"/>
            <w:szCs w:val="16"/>
          </w:rPr>
          <w:t>https://ecdc.europa.eu/en/publications- data/eu-protocol-harmonised-monitoring-antimicrobial-resistance-human-salmonella-and-0</w:t>
        </w:r>
      </w:hyperlink>
      <w:r>
        <w:rPr>
          <w:sz w:val="17"/>
          <w:szCs w:val="17"/>
        </w:rPr>
        <w:t xml:space="preserve"> </w:t>
      </w:r>
    </w:p>
  </w:footnote>
  <w:footnote w:id="31">
    <w:p w14:paraId="6BB111B2" w14:textId="19952D92" w:rsidR="004A7B98" w:rsidRPr="00E36904" w:rsidRDefault="004A7B98" w:rsidP="00E2399F">
      <w:pPr>
        <w:pStyle w:val="FootnoteText"/>
        <w:spacing w:after="60" w:line="200" w:lineRule="atLeast"/>
        <w:rPr>
          <w:rFonts w:ascii="Tahoma" w:hAnsi="Tahoma" w:cs="Tahoma"/>
          <w:sz w:val="16"/>
          <w:szCs w:val="16"/>
          <w:lang w:val="en-GB"/>
        </w:rPr>
      </w:pPr>
      <w:r w:rsidRPr="00E36904">
        <w:rPr>
          <w:rStyle w:val="FootnoteReference"/>
          <w:rFonts w:ascii="Tahoma" w:hAnsi="Tahoma" w:cs="Tahoma"/>
          <w:sz w:val="16"/>
          <w:szCs w:val="16"/>
        </w:rPr>
        <w:footnoteRef/>
      </w:r>
      <w:r w:rsidRPr="00E36904">
        <w:rPr>
          <w:rFonts w:ascii="Tahoma" w:hAnsi="Tahoma" w:cs="Tahoma"/>
          <w:sz w:val="16"/>
          <w:szCs w:val="16"/>
        </w:rPr>
        <w:t xml:space="preserve"> </w:t>
      </w:r>
      <w:hyperlink r:id="rId30" w:history="1">
        <w:r w:rsidRPr="00E36904">
          <w:rPr>
            <w:rStyle w:val="Hyperlink"/>
            <w:rFonts w:cs="Tahoma"/>
            <w:szCs w:val="16"/>
          </w:rPr>
          <w:t>Commission Implementing Decision 2018/945-EU of 22 June 2018</w:t>
        </w:r>
      </w:hyperlink>
      <w:r w:rsidRPr="00E36904">
        <w:rPr>
          <w:rFonts w:ascii="Tahoma" w:hAnsi="Tahoma" w:cs="Tahoma"/>
          <w:sz w:val="16"/>
          <w:szCs w:val="16"/>
        </w:rPr>
        <w:t xml:space="preserve"> on the communicable diseases and related special health issues to be covered by epidemiological surveillance as well as relevant case definitions</w:t>
      </w:r>
      <w:r w:rsidRPr="00E36904">
        <w:rPr>
          <w:rFonts w:ascii="Tahoma" w:eastAsia="Arial Unicode MS" w:hAnsi="Tahoma" w:cs="Tahoma"/>
          <w:kern w:val="22"/>
          <w:sz w:val="16"/>
          <w:szCs w:val="16"/>
          <w:lang w:val="en-GB" w:eastAsia="ko-KR" w:bidi="ar-SA"/>
        </w:rPr>
        <w:t>.</w:t>
      </w:r>
    </w:p>
  </w:footnote>
  <w:footnote w:id="32">
    <w:p w14:paraId="0300BF45" w14:textId="3F1BE75B" w:rsidR="004A7B98" w:rsidRPr="00B9235D" w:rsidRDefault="004A7B98" w:rsidP="00AC0043">
      <w:pPr>
        <w:autoSpaceDE w:val="0"/>
        <w:autoSpaceDN w:val="0"/>
        <w:adjustRightInd w:val="0"/>
        <w:spacing w:after="80"/>
        <w:jc w:val="both"/>
        <w:rPr>
          <w:rFonts w:cs="Tahoma"/>
          <w:sz w:val="16"/>
          <w:szCs w:val="16"/>
        </w:rPr>
      </w:pPr>
      <w:r w:rsidRPr="00B9235D">
        <w:rPr>
          <w:rStyle w:val="FootnoteReference"/>
          <w:rFonts w:cs="Tahoma"/>
          <w:sz w:val="16"/>
          <w:szCs w:val="16"/>
        </w:rPr>
        <w:footnoteRef/>
      </w:r>
      <w:r w:rsidRPr="00B9235D">
        <w:rPr>
          <w:rFonts w:cs="Tahoma"/>
          <w:sz w:val="16"/>
          <w:szCs w:val="16"/>
        </w:rPr>
        <w:t xml:space="preserve"> </w:t>
      </w:r>
      <w:r w:rsidRPr="00B9235D">
        <w:rPr>
          <w:rFonts w:cs="Tahoma"/>
          <w:sz w:val="16"/>
          <w:szCs w:val="16"/>
          <w:lang w:val="en-US" w:bidi="en-US"/>
        </w:rPr>
        <w:t>Available from</w:t>
      </w:r>
      <w:r w:rsidRPr="00B9235D">
        <w:rPr>
          <w:rStyle w:val="Hyperlink"/>
          <w:szCs w:val="16"/>
          <w:lang w:bidi="en-US"/>
        </w:rPr>
        <w:t xml:space="preserve">: </w:t>
      </w:r>
      <w:hyperlink r:id="rId31" w:history="1">
        <w:r w:rsidR="00EF3DFC" w:rsidRPr="00EF3DFC">
          <w:rPr>
            <w:rStyle w:val="Hyperlink"/>
            <w:rFonts w:cs="Tahoma"/>
            <w:szCs w:val="16"/>
          </w:rPr>
          <w:t>Home - Eurostat (europa.eu)</w:t>
        </w:r>
      </w:hyperlink>
    </w:p>
  </w:footnote>
  <w:footnote w:id="33">
    <w:p w14:paraId="6E2F2F38" w14:textId="77777777" w:rsidR="000C1690" w:rsidRPr="00E36904" w:rsidRDefault="000C1690" w:rsidP="000C1690">
      <w:pPr>
        <w:pStyle w:val="ECFootnote"/>
        <w:rPr>
          <w:rFonts w:cs="Tahoma"/>
          <w:szCs w:val="16"/>
        </w:rPr>
      </w:pPr>
      <w:r w:rsidRPr="00E36904">
        <w:rPr>
          <w:rStyle w:val="FootnoteReference"/>
          <w:rFonts w:cs="Tahoma"/>
          <w:szCs w:val="16"/>
        </w:rPr>
        <w:footnoteRef/>
      </w:r>
      <w:r w:rsidRPr="00E36904">
        <w:rPr>
          <w:rFonts w:cs="Tahoma"/>
          <w:szCs w:val="16"/>
        </w:rPr>
        <w:t xml:space="preserve"> </w:t>
      </w:r>
      <w:hyperlink r:id="rId32" w:history="1">
        <w:r w:rsidRPr="00E36904">
          <w:rPr>
            <w:rStyle w:val="Hyperlink"/>
            <w:szCs w:val="16"/>
          </w:rPr>
          <w:t>Commission Implementing Decision 2018/945-EU of 22 June 2018</w:t>
        </w:r>
      </w:hyperlink>
      <w:r w:rsidRPr="00E36904">
        <w:rPr>
          <w:rFonts w:cs="Tahoma"/>
          <w:szCs w:val="16"/>
        </w:rPr>
        <w:t xml:space="preserve"> on the communicable diseases and related special health issues to be covered by epidemiological surveillance as well as relevant case definitions</w:t>
      </w:r>
    </w:p>
  </w:footnote>
  <w:footnote w:id="34">
    <w:p w14:paraId="21DDB925" w14:textId="46EFE33E" w:rsidR="004A7B98" w:rsidRPr="00B9235D" w:rsidRDefault="004A7B98" w:rsidP="00E0697D">
      <w:pPr>
        <w:pStyle w:val="FootnoteText"/>
        <w:spacing w:after="60" w:line="200" w:lineRule="atLeast"/>
        <w:jc w:val="both"/>
        <w:rPr>
          <w:rFonts w:ascii="Tahoma" w:eastAsia="Arial Unicode MS" w:hAnsi="Tahoma" w:cs="Tahoma"/>
          <w:kern w:val="22"/>
          <w:sz w:val="16"/>
          <w:szCs w:val="16"/>
          <w:lang w:val="en-GB" w:eastAsia="ko-KR" w:bidi="ar-SA"/>
        </w:rPr>
      </w:pPr>
      <w:r w:rsidRPr="00B9235D">
        <w:rPr>
          <w:rStyle w:val="FootnoteReference"/>
          <w:rFonts w:ascii="Tahoma" w:hAnsi="Tahoma" w:cs="Tahoma"/>
          <w:sz w:val="16"/>
          <w:szCs w:val="16"/>
        </w:rPr>
        <w:footnoteRef/>
      </w:r>
      <w:r w:rsidRPr="00B9235D">
        <w:rPr>
          <w:rFonts w:ascii="Tahoma" w:hAnsi="Tahoma" w:cs="Tahoma"/>
          <w:sz w:val="16"/>
          <w:szCs w:val="16"/>
        </w:rPr>
        <w:t xml:space="preserve"> </w:t>
      </w:r>
      <w:hyperlink r:id="rId33" w:history="1">
        <w:r w:rsidRPr="00B9235D">
          <w:rPr>
            <w:rStyle w:val="Hyperlink"/>
            <w:rFonts w:cs="Tahoma"/>
            <w:szCs w:val="16"/>
          </w:rPr>
          <w:t>Commission Implementing Decision 2018/945-EU of 22 June 2018</w:t>
        </w:r>
      </w:hyperlink>
      <w:r w:rsidRPr="00B9235D">
        <w:rPr>
          <w:rFonts w:ascii="Tahoma" w:hAnsi="Tahoma" w:cs="Tahoma"/>
          <w:sz w:val="16"/>
          <w:szCs w:val="16"/>
        </w:rPr>
        <w:t xml:space="preserve"> on the communicable diseases and related special health issues to be covered by epidemiological surveillance as well as relevant case definitions</w:t>
      </w:r>
      <w:r w:rsidRPr="00B9235D">
        <w:rPr>
          <w:rFonts w:ascii="Tahoma" w:eastAsia="Arial Unicode MS" w:hAnsi="Tahoma" w:cs="Tahoma"/>
          <w:kern w:val="22"/>
          <w:sz w:val="16"/>
          <w:szCs w:val="16"/>
          <w:lang w:val="en-GB" w:eastAsia="ko-KR" w:bidi="ar-SA"/>
        </w:rPr>
        <w:t>.</w:t>
      </w:r>
    </w:p>
  </w:footnote>
  <w:footnote w:id="35">
    <w:p w14:paraId="52148FA4" w14:textId="2EBCEF98" w:rsidR="004A7B98" w:rsidRPr="00397612" w:rsidRDefault="004A7B98" w:rsidP="005D0F09">
      <w:pPr>
        <w:autoSpaceDE w:val="0"/>
        <w:autoSpaceDN w:val="0"/>
        <w:adjustRightInd w:val="0"/>
        <w:spacing w:after="80"/>
        <w:rPr>
          <w:rFonts w:cs="Tahoma"/>
          <w:sz w:val="16"/>
          <w:szCs w:val="16"/>
        </w:rPr>
      </w:pPr>
      <w:r w:rsidRPr="00397612">
        <w:rPr>
          <w:rStyle w:val="FootnoteReference"/>
          <w:sz w:val="16"/>
          <w:szCs w:val="16"/>
        </w:rPr>
        <w:footnoteRef/>
      </w:r>
      <w:r w:rsidRPr="00397612">
        <w:rPr>
          <w:rFonts w:cs="Tahoma"/>
          <w:sz w:val="16"/>
          <w:szCs w:val="16"/>
        </w:rPr>
        <w:t xml:space="preserve"> </w:t>
      </w:r>
      <w:r w:rsidRPr="00397612">
        <w:rPr>
          <w:rFonts w:cs="Tahoma"/>
          <w:sz w:val="16"/>
          <w:szCs w:val="16"/>
          <w:lang w:val="en-US" w:bidi="en-US"/>
        </w:rPr>
        <w:t>Available from</w:t>
      </w:r>
      <w:r w:rsidRPr="00397612">
        <w:rPr>
          <w:rStyle w:val="Hyperlink"/>
          <w:szCs w:val="16"/>
          <w:lang w:bidi="en-US"/>
        </w:rPr>
        <w:t>:</w:t>
      </w:r>
      <w:r w:rsidR="00EF3DFC" w:rsidRPr="00EF3DFC">
        <w:rPr>
          <w:rStyle w:val="Hyperlink"/>
          <w:rFonts w:cs="Tahoma"/>
          <w:szCs w:val="16"/>
          <w:lang w:bidi="en-US"/>
        </w:rPr>
        <w:t xml:space="preserve"> </w:t>
      </w:r>
      <w:hyperlink r:id="rId34" w:history="1">
        <w:r w:rsidR="00EF3DFC" w:rsidRPr="00EF3DFC">
          <w:rPr>
            <w:rStyle w:val="Hyperlink"/>
            <w:rFonts w:cs="Tahoma"/>
            <w:szCs w:val="16"/>
          </w:rPr>
          <w:t>Home - Eurostat (europa.eu)</w:t>
        </w:r>
      </w:hyperlink>
    </w:p>
  </w:footnote>
  <w:footnote w:id="36">
    <w:p w14:paraId="2C9470D9" w14:textId="7E558EDC" w:rsidR="004A7B98" w:rsidRPr="00EF3DFC" w:rsidRDefault="004A7B98" w:rsidP="00AC0043">
      <w:pPr>
        <w:pStyle w:val="FootnoteText"/>
        <w:rPr>
          <w:rFonts w:ascii="Tahoma" w:hAnsi="Tahoma" w:cs="Tahoma"/>
          <w:sz w:val="16"/>
          <w:szCs w:val="16"/>
          <w:lang w:val="en-GB"/>
        </w:rPr>
      </w:pPr>
      <w:r w:rsidRPr="00EF3DFC">
        <w:rPr>
          <w:rStyle w:val="FootnoteReference"/>
          <w:rFonts w:ascii="Tahoma" w:hAnsi="Tahoma" w:cs="Tahoma"/>
          <w:sz w:val="16"/>
          <w:szCs w:val="16"/>
        </w:rPr>
        <w:footnoteRef/>
      </w:r>
      <w:r w:rsidRPr="00EF3DFC">
        <w:rPr>
          <w:rFonts w:ascii="Tahoma" w:hAnsi="Tahoma" w:cs="Tahoma"/>
          <w:sz w:val="16"/>
          <w:szCs w:val="16"/>
        </w:rPr>
        <w:t xml:space="preserve"> </w:t>
      </w:r>
      <w:hyperlink r:id="rId35" w:history="1">
        <w:r w:rsidRPr="00EF3DFC">
          <w:rPr>
            <w:rStyle w:val="Hyperlink"/>
            <w:rFonts w:cs="Tahoma"/>
            <w:szCs w:val="16"/>
          </w:rPr>
          <w:t>Commission Implementing Decision 2018/945-EU of 22 June 2018</w:t>
        </w:r>
      </w:hyperlink>
      <w:r w:rsidRPr="00EF3DFC">
        <w:rPr>
          <w:rFonts w:ascii="Tahoma" w:hAnsi="Tahoma" w:cs="Tahoma"/>
          <w:sz w:val="16"/>
          <w:szCs w:val="16"/>
        </w:rPr>
        <w:t xml:space="preserve"> on the communicable diseases and related special health issues to be covered by epidemiological surveillance as well as relevant case definitions</w:t>
      </w:r>
      <w:r w:rsidRPr="00EF3DFC">
        <w:rPr>
          <w:rFonts w:ascii="Tahoma" w:eastAsia="Arial Unicode MS" w:hAnsi="Tahoma" w:cs="Tahoma"/>
          <w:kern w:val="22"/>
          <w:sz w:val="16"/>
          <w:szCs w:val="16"/>
          <w:lang w:val="en-GB" w:eastAsia="ko-KR" w:bidi="ar-SA"/>
        </w:rPr>
        <w:t>.</w:t>
      </w:r>
    </w:p>
  </w:footnote>
  <w:footnote w:id="37">
    <w:p w14:paraId="55BA0634" w14:textId="23A78F16" w:rsidR="004A7B98" w:rsidRDefault="004A7B98" w:rsidP="00AC0043">
      <w:pPr>
        <w:autoSpaceDE w:val="0"/>
        <w:autoSpaceDN w:val="0"/>
        <w:adjustRightInd w:val="0"/>
        <w:spacing w:after="80"/>
        <w:jc w:val="both"/>
        <w:rPr>
          <w:rFonts w:cs="Tahoma"/>
          <w:sz w:val="16"/>
          <w:szCs w:val="16"/>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rFonts w:cs="Tahoma"/>
          <w:szCs w:val="16"/>
          <w:lang w:bidi="en-US"/>
        </w:rPr>
        <w:t xml:space="preserve">: </w:t>
      </w:r>
      <w:hyperlink r:id="rId36" w:history="1">
        <w:r w:rsidR="00EF3DFC" w:rsidRPr="00EF3DFC">
          <w:rPr>
            <w:rStyle w:val="Hyperlink"/>
            <w:rFonts w:cs="Tahoma"/>
            <w:szCs w:val="16"/>
          </w:rPr>
          <w:t>Home - Eurostat (europa.eu)</w:t>
        </w:r>
      </w:hyperlink>
    </w:p>
  </w:footnote>
  <w:footnote w:id="38">
    <w:p w14:paraId="71A87713" w14:textId="2250C05C" w:rsidR="004A7B98" w:rsidRPr="00EF3DFC" w:rsidRDefault="004A7B98" w:rsidP="009F5B73">
      <w:pPr>
        <w:pStyle w:val="FootnoteText"/>
        <w:rPr>
          <w:rFonts w:ascii="Tahoma" w:hAnsi="Tahoma" w:cs="Tahoma"/>
          <w:sz w:val="16"/>
          <w:szCs w:val="16"/>
          <w:lang w:val="en-GB"/>
        </w:rPr>
      </w:pPr>
      <w:r w:rsidRPr="00EF3DFC">
        <w:rPr>
          <w:rStyle w:val="FootnoteReference"/>
          <w:rFonts w:ascii="Tahoma" w:hAnsi="Tahoma" w:cs="Tahoma"/>
          <w:sz w:val="16"/>
          <w:szCs w:val="16"/>
        </w:rPr>
        <w:footnoteRef/>
      </w:r>
      <w:r w:rsidRPr="00EF3DFC">
        <w:rPr>
          <w:rFonts w:ascii="Tahoma" w:hAnsi="Tahoma" w:cs="Tahoma"/>
          <w:sz w:val="16"/>
          <w:szCs w:val="16"/>
        </w:rPr>
        <w:t xml:space="preserve"> </w:t>
      </w:r>
      <w:hyperlink r:id="rId37" w:history="1">
        <w:r w:rsidRPr="00EF3DFC">
          <w:rPr>
            <w:rStyle w:val="Hyperlink"/>
            <w:rFonts w:cs="Tahoma"/>
            <w:szCs w:val="16"/>
          </w:rPr>
          <w:t>Commission Implementing Decision 2018/945-EU of 22 June 2018</w:t>
        </w:r>
      </w:hyperlink>
      <w:r w:rsidRPr="00EF3DFC">
        <w:rPr>
          <w:rFonts w:ascii="Tahoma" w:hAnsi="Tahoma" w:cs="Tahoma"/>
          <w:sz w:val="16"/>
          <w:szCs w:val="16"/>
        </w:rPr>
        <w:t xml:space="preserve"> on the communicable diseases and related special health issues to be covered by epidemiological surveillance as well as relevant case definitions</w:t>
      </w:r>
      <w:r w:rsidRPr="00EF3DFC">
        <w:rPr>
          <w:rFonts w:ascii="Tahoma" w:eastAsia="Arial Unicode MS" w:hAnsi="Tahoma" w:cs="Tahoma"/>
          <w:kern w:val="22"/>
          <w:sz w:val="16"/>
          <w:szCs w:val="16"/>
          <w:lang w:val="en-GB" w:eastAsia="ko-KR" w:bidi="ar-SA"/>
        </w:rPr>
        <w:t>.</w:t>
      </w:r>
    </w:p>
  </w:footnote>
  <w:footnote w:id="39">
    <w:p w14:paraId="66ED19A6" w14:textId="03D18938" w:rsidR="004A7B98" w:rsidRDefault="004A7B98" w:rsidP="009F5B73">
      <w:pPr>
        <w:autoSpaceDE w:val="0"/>
        <w:autoSpaceDN w:val="0"/>
        <w:adjustRightInd w:val="0"/>
        <w:spacing w:after="80"/>
        <w:jc w:val="both"/>
        <w:rPr>
          <w:rFonts w:cs="Tahoma"/>
          <w:sz w:val="16"/>
          <w:szCs w:val="16"/>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rFonts w:cs="Tahoma"/>
          <w:szCs w:val="16"/>
          <w:lang w:bidi="en-US"/>
        </w:rPr>
        <w:t xml:space="preserve">: </w:t>
      </w:r>
      <w:hyperlink r:id="rId38" w:history="1">
        <w:r w:rsidR="00EF3DFC" w:rsidRPr="00EF3DFC">
          <w:rPr>
            <w:rStyle w:val="Hyperlink"/>
            <w:rFonts w:cs="Tahoma"/>
            <w:szCs w:val="16"/>
          </w:rPr>
          <w:t>Home - Eurostat (europa.eu)</w:t>
        </w:r>
      </w:hyperlink>
      <w:r w:rsidR="00EF3DFC" w:rsidRPr="00EF3DFC">
        <w:rPr>
          <w:rFonts w:cs="Tahoma"/>
          <w:sz w:val="16"/>
          <w:szCs w:val="16"/>
        </w:rPr>
        <w:t xml:space="preserve"> </w:t>
      </w:r>
    </w:p>
  </w:footnote>
  <w:footnote w:id="40">
    <w:p w14:paraId="2E10934E" w14:textId="5C4EEDDC" w:rsidR="004A7B98" w:rsidRPr="000969C8" w:rsidRDefault="004A7B98" w:rsidP="00560A04">
      <w:pPr>
        <w:pStyle w:val="FootnoteText"/>
        <w:rPr>
          <w:rFonts w:ascii="Tahoma" w:hAnsi="Tahoma" w:cs="Tahoma"/>
          <w:sz w:val="16"/>
          <w:szCs w:val="16"/>
          <w:lang w:val="en-GB"/>
        </w:rPr>
      </w:pPr>
      <w:r w:rsidRPr="000969C8">
        <w:rPr>
          <w:rStyle w:val="FootnoteReference"/>
          <w:rFonts w:ascii="Tahoma" w:hAnsi="Tahoma" w:cs="Tahoma"/>
          <w:sz w:val="16"/>
          <w:szCs w:val="16"/>
        </w:rPr>
        <w:footnoteRef/>
      </w:r>
      <w:r w:rsidRPr="000969C8">
        <w:rPr>
          <w:rFonts w:ascii="Tahoma" w:hAnsi="Tahoma" w:cs="Tahoma"/>
          <w:sz w:val="16"/>
          <w:szCs w:val="16"/>
        </w:rPr>
        <w:t xml:space="preserve"> </w:t>
      </w:r>
      <w:hyperlink r:id="rId39" w:history="1">
        <w:r w:rsidRPr="00784311">
          <w:rPr>
            <w:rStyle w:val="Hyperlink"/>
            <w:rFonts w:cs="Tahoma"/>
            <w:szCs w:val="16"/>
          </w:rPr>
          <w:t>Commission Implementing Decision 2018/945-EU of 22 June 2018</w:t>
        </w:r>
      </w:hyperlink>
      <w:r w:rsidRPr="000969C8">
        <w:rPr>
          <w:rFonts w:ascii="Tahoma" w:hAnsi="Tahoma" w:cs="Tahoma"/>
          <w:sz w:val="16"/>
          <w:szCs w:val="16"/>
        </w:rPr>
        <w:t xml:space="preserve"> on the communicable diseases and related special health issues to be covered by epidemiological surveillance as well as relevant case definitions</w:t>
      </w:r>
      <w:r w:rsidRPr="000969C8">
        <w:rPr>
          <w:rFonts w:ascii="Tahoma" w:eastAsia="Arial Unicode MS" w:hAnsi="Tahoma" w:cs="Tahoma"/>
          <w:kern w:val="22"/>
          <w:sz w:val="16"/>
          <w:szCs w:val="16"/>
          <w:lang w:val="en-GB" w:eastAsia="ko-KR" w:bidi="ar-SA"/>
        </w:rPr>
        <w:t>.</w:t>
      </w:r>
    </w:p>
  </w:footnote>
  <w:footnote w:id="41">
    <w:p w14:paraId="772A12B8" w14:textId="0A9A4797" w:rsidR="008B50FD" w:rsidRPr="008B50FD" w:rsidRDefault="008B50FD">
      <w:pPr>
        <w:pStyle w:val="FootnoteText"/>
        <w:rPr>
          <w:lang w:val="en-GB"/>
        </w:rPr>
      </w:pPr>
      <w:r w:rsidRPr="008B50FD">
        <w:rPr>
          <w:rStyle w:val="FootnoteReference"/>
          <w:rFonts w:ascii="Tahoma" w:hAnsi="Tahoma" w:cs="Tahoma"/>
          <w:sz w:val="16"/>
          <w:szCs w:val="16"/>
        </w:rPr>
        <w:footnoteRef/>
      </w:r>
      <w:r w:rsidRPr="008B50FD">
        <w:rPr>
          <w:rFonts w:ascii="Tahoma" w:hAnsi="Tahoma" w:cs="Tahoma"/>
          <w:sz w:val="16"/>
          <w:szCs w:val="16"/>
        </w:rPr>
        <w:t xml:space="preserve"> The typical appearance of the EEG in sporadic CJD consists of </w:t>
      </w:r>
      <w:proofErr w:type="spellStart"/>
      <w:r w:rsidRPr="008B50FD">
        <w:rPr>
          <w:rFonts w:ascii="Tahoma" w:hAnsi="Tahoma" w:cs="Tahoma"/>
          <w:sz w:val="16"/>
          <w:szCs w:val="16"/>
        </w:rPr>
        <w:t>generalised</w:t>
      </w:r>
      <w:proofErr w:type="spellEnd"/>
      <w:r w:rsidRPr="008B50FD">
        <w:rPr>
          <w:rFonts w:ascii="Tahoma" w:hAnsi="Tahoma" w:cs="Tahoma"/>
          <w:sz w:val="16"/>
          <w:szCs w:val="16"/>
        </w:rPr>
        <w:t xml:space="preserve"> periodic complexes at approximately one per second. These may occasionally be seen in the late stages of </w:t>
      </w:r>
      <w:proofErr w:type="spellStart"/>
      <w:r w:rsidRPr="008B50FD">
        <w:rPr>
          <w:rFonts w:ascii="Tahoma" w:hAnsi="Tahoma" w:cs="Tahoma"/>
          <w:sz w:val="16"/>
          <w:szCs w:val="16"/>
        </w:rPr>
        <w:t>vCJD</w:t>
      </w:r>
      <w:proofErr w:type="spellEnd"/>
      <w:r w:rsidRPr="008B50FD">
        <w:rPr>
          <w:rFonts w:ascii="Tahoma" w:hAnsi="Tahoma" w:cs="Tahoma"/>
          <w:sz w:val="16"/>
          <w:szCs w:val="16"/>
        </w:rPr>
        <w:t>.</w:t>
      </w:r>
    </w:p>
  </w:footnote>
  <w:footnote w:id="42">
    <w:p w14:paraId="6F1B34BE" w14:textId="78C9E8A3" w:rsidR="004A7B98" w:rsidRPr="005814FC" w:rsidRDefault="004A7B98" w:rsidP="00006E52">
      <w:pPr>
        <w:pStyle w:val="ECFootnote"/>
        <w:rPr>
          <w:szCs w:val="16"/>
        </w:rPr>
      </w:pPr>
      <w:r w:rsidRPr="005814FC">
        <w:rPr>
          <w:rStyle w:val="FootnoteReference"/>
          <w:szCs w:val="16"/>
        </w:rPr>
        <w:footnoteRef/>
      </w:r>
      <w:r w:rsidRPr="005814FC">
        <w:rPr>
          <w:szCs w:val="16"/>
        </w:rPr>
        <w:t xml:space="preserve"> Annex IV. Diagnostic criteria. In: Protocol for Reporting and Management of cases of Creutzfeldt Jakob Disease (CJD) and other Transmissible Spongiform Encephalopathies (TSEs) or of a person at increased risk of a TSE. Health Protection Surveillance Centre Ireland, 2019. Accessed 16 September 2020 from</w:t>
      </w:r>
      <w:r w:rsidRPr="005814FC">
        <w:rPr>
          <w:rStyle w:val="Hyperlink"/>
          <w:szCs w:val="16"/>
        </w:rPr>
        <w:t xml:space="preserve">: </w:t>
      </w:r>
      <w:r w:rsidR="00FC42C0" w:rsidRPr="005814FC">
        <w:rPr>
          <w:rStyle w:val="Hyperlink"/>
          <w:szCs w:val="16"/>
        </w:rPr>
        <w:t>https://www.hpsc.ie/a-z/other/cjd/guidance/Reporting%20and%20Management%20CJD%20TSEs%202019.pdf.</w:t>
      </w:r>
    </w:p>
  </w:footnote>
  <w:footnote w:id="43">
    <w:p w14:paraId="2AC04077" w14:textId="76C98D4D" w:rsidR="004A7B98" w:rsidRPr="00EF3DFC" w:rsidRDefault="004A7B98" w:rsidP="009F5B73">
      <w:pPr>
        <w:pStyle w:val="FootnoteText"/>
        <w:jc w:val="both"/>
        <w:rPr>
          <w:rFonts w:ascii="Tahoma" w:hAnsi="Tahoma" w:cs="Tahoma"/>
          <w:sz w:val="16"/>
          <w:szCs w:val="16"/>
          <w:lang w:val="en-GB"/>
        </w:rPr>
      </w:pPr>
      <w:r w:rsidRPr="00EF3DFC">
        <w:rPr>
          <w:rStyle w:val="FootnoteReference"/>
          <w:rFonts w:ascii="Tahoma" w:hAnsi="Tahoma" w:cs="Tahoma"/>
          <w:sz w:val="16"/>
          <w:szCs w:val="16"/>
        </w:rPr>
        <w:footnoteRef/>
      </w:r>
      <w:r w:rsidRPr="00EF3DFC">
        <w:rPr>
          <w:rFonts w:ascii="Tahoma" w:hAnsi="Tahoma" w:cs="Tahoma"/>
          <w:sz w:val="16"/>
          <w:szCs w:val="16"/>
        </w:rPr>
        <w:t xml:space="preserve"> </w:t>
      </w:r>
      <w:hyperlink r:id="rId40" w:history="1">
        <w:r w:rsidRPr="00EF3DFC">
          <w:rPr>
            <w:rStyle w:val="Hyperlink"/>
            <w:rFonts w:cs="Tahoma"/>
            <w:szCs w:val="16"/>
          </w:rPr>
          <w:t>Commission Implementing Decision 2018/945-EU of 22 June 2018</w:t>
        </w:r>
      </w:hyperlink>
      <w:r w:rsidRPr="00EF3DFC">
        <w:rPr>
          <w:rFonts w:ascii="Tahoma" w:hAnsi="Tahoma" w:cs="Tahoma"/>
          <w:sz w:val="16"/>
          <w:szCs w:val="16"/>
        </w:rPr>
        <w:t xml:space="preserve"> on the communicable diseases and related special health issues to be covered by epidemiological surveillance as well as relevant case definitions</w:t>
      </w:r>
      <w:r w:rsidRPr="00EF3DFC">
        <w:rPr>
          <w:rFonts w:ascii="Tahoma" w:eastAsia="Arial Unicode MS" w:hAnsi="Tahoma" w:cs="Tahoma"/>
          <w:kern w:val="22"/>
          <w:sz w:val="16"/>
          <w:szCs w:val="16"/>
          <w:lang w:val="en-GB" w:eastAsia="ko-KR" w:bidi="ar-SA"/>
        </w:rPr>
        <w:t>.</w:t>
      </w:r>
    </w:p>
  </w:footnote>
  <w:footnote w:id="44">
    <w:p w14:paraId="2C75EB79" w14:textId="1889E344" w:rsidR="004A7B98" w:rsidRDefault="004A7B98" w:rsidP="009F5B73">
      <w:pPr>
        <w:autoSpaceDE w:val="0"/>
        <w:autoSpaceDN w:val="0"/>
        <w:adjustRightInd w:val="0"/>
        <w:spacing w:after="80"/>
        <w:jc w:val="both"/>
        <w:rPr>
          <w:rFonts w:cs="Tahoma"/>
          <w:sz w:val="16"/>
          <w:szCs w:val="16"/>
        </w:rPr>
      </w:pPr>
      <w:r w:rsidRPr="00EF3DFC">
        <w:rPr>
          <w:rStyle w:val="FootnoteReference"/>
          <w:rFonts w:cs="Tahoma"/>
          <w:sz w:val="16"/>
          <w:szCs w:val="16"/>
        </w:rPr>
        <w:footnoteRef/>
      </w:r>
      <w:r w:rsidRPr="00EF3DFC">
        <w:rPr>
          <w:rFonts w:cs="Tahoma"/>
          <w:sz w:val="16"/>
          <w:szCs w:val="16"/>
        </w:rPr>
        <w:t xml:space="preserve"> </w:t>
      </w:r>
      <w:r w:rsidRPr="00EF3DFC">
        <w:rPr>
          <w:rFonts w:cs="Tahoma"/>
          <w:sz w:val="16"/>
          <w:szCs w:val="16"/>
          <w:lang w:val="en-US" w:bidi="en-US"/>
        </w:rPr>
        <w:t>Available from</w:t>
      </w:r>
      <w:r w:rsidRPr="00EF3DFC">
        <w:rPr>
          <w:rStyle w:val="Hyperlink"/>
          <w:rFonts w:cs="Tahoma"/>
          <w:szCs w:val="16"/>
          <w:lang w:bidi="en-US"/>
        </w:rPr>
        <w:t xml:space="preserve">: </w:t>
      </w:r>
      <w:hyperlink r:id="rId41" w:history="1">
        <w:r w:rsidR="00EF3DFC" w:rsidRPr="00EF3DFC">
          <w:rPr>
            <w:rStyle w:val="Hyperlink"/>
            <w:rFonts w:cs="Tahoma"/>
            <w:szCs w:val="16"/>
          </w:rPr>
          <w:t>Home - Eurostat (europa.eu)</w:t>
        </w:r>
      </w:hyperlink>
      <w:r w:rsidR="00EF3DFC">
        <w:rPr>
          <w:rFonts w:cs="Tahom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7A6"/>
    <w:multiLevelType w:val="hybridMultilevel"/>
    <w:tmpl w:val="A6F0CD92"/>
    <w:lvl w:ilvl="0" w:tplc="B21ED530">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952DB4"/>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2036F"/>
    <w:multiLevelType w:val="hybridMultilevel"/>
    <w:tmpl w:val="BDEA6852"/>
    <w:lvl w:ilvl="0" w:tplc="B21ED530">
      <w:numFmt w:val="bullet"/>
      <w:lvlText w:val="-"/>
      <w:lvlJc w:val="left"/>
      <w:pPr>
        <w:ind w:left="360" w:hanging="360"/>
      </w:pPr>
      <w:rPr>
        <w:rFonts w:ascii="Calibri" w:eastAsiaTheme="minorHAnsi" w:hAnsi="Calibri" w:cstheme="minorBidi" w:hint="default"/>
      </w:rPr>
    </w:lvl>
    <w:lvl w:ilvl="1" w:tplc="B21ED530">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9E4696"/>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3940EC"/>
    <w:multiLevelType w:val="hybridMultilevel"/>
    <w:tmpl w:val="95BA9A86"/>
    <w:lvl w:ilvl="0" w:tplc="0809000F">
      <w:start w:val="1"/>
      <w:numFmt w:val="decimal"/>
      <w:pStyle w:val="CSRTitle-FigureTrichinel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861613"/>
    <w:multiLevelType w:val="hybridMultilevel"/>
    <w:tmpl w:val="D58870B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A42C86"/>
    <w:multiLevelType w:val="hybridMultilevel"/>
    <w:tmpl w:val="AE685624"/>
    <w:lvl w:ilvl="0" w:tplc="BEDEEC4E">
      <w:start w:val="1"/>
      <w:numFmt w:val="bullet"/>
      <w:pStyle w:val="E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84E00"/>
    <w:multiLevelType w:val="hybridMultilevel"/>
    <w:tmpl w:val="CF849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0DDA"/>
    <w:multiLevelType w:val="hybridMultilevel"/>
    <w:tmpl w:val="50D0ADE8"/>
    <w:lvl w:ilvl="0" w:tplc="06D0C62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90CDE"/>
    <w:multiLevelType w:val="multilevel"/>
    <w:tmpl w:val="B47CA810"/>
    <w:styleLink w:val="ecl-Bullets"/>
    <w:lvl w:ilvl="0">
      <w:start w:val="1"/>
      <w:numFmt w:val="bullet"/>
      <w:pStyle w:val="ListBullet"/>
      <w:lvlText w:val=""/>
      <w:lvlJc w:val="left"/>
      <w:pPr>
        <w:tabs>
          <w:tab w:val="num" w:pos="510"/>
        </w:tabs>
        <w:ind w:left="510" w:hanging="397"/>
      </w:pPr>
      <w:rPr>
        <w:rFonts w:ascii="Symbol" w:hAnsi="Symbol" w:hint="default"/>
        <w:color w:val="auto"/>
        <w:sz w:val="20"/>
      </w:rPr>
    </w:lvl>
    <w:lvl w:ilvl="1">
      <w:start w:val="1"/>
      <w:numFmt w:val="bullet"/>
      <w:pStyle w:val="ListBullet2"/>
      <w:lvlText w:val=""/>
      <w:lvlJc w:val="left"/>
      <w:pPr>
        <w:tabs>
          <w:tab w:val="num" w:pos="1021"/>
        </w:tabs>
        <w:ind w:left="1021" w:hanging="397"/>
      </w:pPr>
      <w:rPr>
        <w:rFonts w:ascii="Symbol" w:hAnsi="Symbol" w:hint="default"/>
        <w:color w:val="666666"/>
        <w:sz w:val="20"/>
      </w:rPr>
    </w:lvl>
    <w:lvl w:ilvl="2">
      <w:start w:val="1"/>
      <w:numFmt w:val="bullet"/>
      <w:pStyle w:val="ListBullet3"/>
      <w:lvlText w:val="-"/>
      <w:lvlJc w:val="left"/>
      <w:pPr>
        <w:tabs>
          <w:tab w:val="num" w:pos="1531"/>
        </w:tabs>
        <w:ind w:left="1531" w:hanging="397"/>
      </w:pPr>
      <w:rPr>
        <w:rFonts w:ascii="Tahoma" w:hAnsi="Tahoma" w:cs="Times New Roman" w:hint="default"/>
        <w:b w:val="0"/>
        <w:color w:val="333333"/>
        <w:sz w:val="20"/>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tabs>
          <w:tab w:val="num" w:pos="340"/>
        </w:tabs>
        <w:ind w:left="340" w:hanging="283"/>
      </w:pPr>
      <w:rPr>
        <w:rFonts w:ascii="Wingdings 2" w:hAnsi="Wingdings 2" w:hint="default"/>
        <w:b w:val="0"/>
        <w:color w:val="auto"/>
        <w:sz w:val="18"/>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1950308"/>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F56941"/>
    <w:multiLevelType w:val="hybridMultilevel"/>
    <w:tmpl w:val="BD40D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A3C9D"/>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316452"/>
    <w:multiLevelType w:val="hybridMultilevel"/>
    <w:tmpl w:val="C47AFBB2"/>
    <w:lvl w:ilvl="0" w:tplc="A00C7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5479E"/>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E070777"/>
    <w:multiLevelType w:val="hybridMultilevel"/>
    <w:tmpl w:val="096A7066"/>
    <w:lvl w:ilvl="0" w:tplc="3B62AA5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CE1187"/>
    <w:multiLevelType w:val="hybridMultilevel"/>
    <w:tmpl w:val="ECD89C3A"/>
    <w:lvl w:ilvl="0" w:tplc="B21ED53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061FF"/>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CD0944"/>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720246"/>
    <w:multiLevelType w:val="hybridMultilevel"/>
    <w:tmpl w:val="BEC2D0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8A34E6"/>
    <w:multiLevelType w:val="hybridMultilevel"/>
    <w:tmpl w:val="4F226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AA4FE8"/>
    <w:multiLevelType w:val="hybridMultilevel"/>
    <w:tmpl w:val="088883BE"/>
    <w:lvl w:ilvl="0" w:tplc="B21ED5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E6FA5"/>
    <w:multiLevelType w:val="hybridMultilevel"/>
    <w:tmpl w:val="ACC6B536"/>
    <w:lvl w:ilvl="0" w:tplc="21DEC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C018F8"/>
    <w:multiLevelType w:val="hybridMultilevel"/>
    <w:tmpl w:val="26AE6C1A"/>
    <w:lvl w:ilvl="0" w:tplc="BA8E5560">
      <w:start w:val="1"/>
      <w:numFmt w:val="decimal"/>
      <w:pStyle w:val="EC-TableTiltle"/>
      <w:lvlText w:val="Table %1."/>
      <w:lvlJc w:val="left"/>
      <w:pPr>
        <w:tabs>
          <w:tab w:val="num" w:pos="0"/>
        </w:tabs>
      </w:pPr>
      <w:rPr>
        <w:rFonts w:ascii="Calibri" w:eastAsia="Batang" w:hAnsi="Calibri" w:cs="Calibri" w:hint="default"/>
        <w:b/>
        <w:bCs w:val="0"/>
        <w:i w:val="0"/>
        <w:iCs w:val="0"/>
        <w:caps w:val="0"/>
        <w:smallCaps w:val="0"/>
        <w:strike w:val="0"/>
        <w:dstrike w:val="0"/>
        <w:vanish w:val="0"/>
        <w:color w:val="69AE23"/>
        <w:spacing w:val="0"/>
        <w:w w:val="100"/>
        <w:kern w:val="0"/>
        <w:position w:val="0"/>
        <w:sz w:val="22"/>
        <w:szCs w:val="22"/>
        <w:u w:val="none" w:color="000000"/>
        <w:effect w:val="none"/>
        <w:vertAlign w:val="baseline"/>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1B4DD4"/>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8C3F32"/>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F1E2E4E"/>
    <w:multiLevelType w:val="hybridMultilevel"/>
    <w:tmpl w:val="554EF20A"/>
    <w:lvl w:ilvl="0" w:tplc="B21ED530">
      <w:numFmt w:val="bullet"/>
      <w:lvlText w:val="-"/>
      <w:lvlJc w:val="left"/>
      <w:pPr>
        <w:ind w:left="1080" w:hanging="360"/>
      </w:pPr>
      <w:rPr>
        <w:rFonts w:ascii="Calibri" w:eastAsiaTheme="minorHAnsi" w:hAnsi="Calibri" w:cstheme="minorBidi" w:hint="default"/>
      </w:rPr>
    </w:lvl>
    <w:lvl w:ilvl="1" w:tplc="B21ED530">
      <w:numFmt w:val="bullet"/>
      <w:lvlText w:val="-"/>
      <w:lvlJc w:val="left"/>
      <w:pPr>
        <w:ind w:left="1800" w:hanging="36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026AC3"/>
    <w:multiLevelType w:val="hybridMultilevel"/>
    <w:tmpl w:val="CF849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039AE"/>
    <w:multiLevelType w:val="hybridMultilevel"/>
    <w:tmpl w:val="1E840578"/>
    <w:lvl w:ilvl="0" w:tplc="B21ED53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0D1021"/>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393AA9"/>
    <w:multiLevelType w:val="hybridMultilevel"/>
    <w:tmpl w:val="50D0ADE8"/>
    <w:lvl w:ilvl="0" w:tplc="06D0C62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D041DC"/>
    <w:multiLevelType w:val="hybridMultilevel"/>
    <w:tmpl w:val="CC3A5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C15FE"/>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30153A"/>
    <w:multiLevelType w:val="hybridMultilevel"/>
    <w:tmpl w:val="FDBCC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4866BB"/>
    <w:multiLevelType w:val="hybridMultilevel"/>
    <w:tmpl w:val="E2CC6E76"/>
    <w:lvl w:ilvl="0" w:tplc="1E12014E">
      <w:start w:val="1"/>
      <w:numFmt w:val="decimal"/>
      <w:pStyle w:val="EC-FigureTitle"/>
      <w:lvlText w:val="Figure %1."/>
      <w:lvlJc w:val="left"/>
      <w:pPr>
        <w:tabs>
          <w:tab w:val="num" w:pos="1560"/>
        </w:tabs>
      </w:pPr>
      <w:rPr>
        <w:rFonts w:ascii="Calibri" w:hAnsi="Calibri" w:cs="Calibri" w:hint="default"/>
        <w:b/>
        <w:bCs w:val="0"/>
        <w:i w:val="0"/>
        <w:iCs w:val="0"/>
        <w:caps w:val="0"/>
        <w:strike w:val="0"/>
        <w:dstrike w:val="0"/>
        <w:vanish w:val="0"/>
        <w:color w:val="69AE23"/>
        <w:spacing w:val="0"/>
        <w:kern w:val="0"/>
        <w:position w:val="0"/>
        <w:sz w:val="22"/>
        <w:szCs w:val="22"/>
        <w:u w:val="none"/>
        <w:effect w:val="none"/>
        <w:vertAlign w:val="baseline"/>
        <w:lang w:val="en-GB"/>
      </w:rPr>
    </w:lvl>
    <w:lvl w:ilvl="1" w:tplc="C89C7F44">
      <w:start w:val="1"/>
      <w:numFmt w:val="decimal"/>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E8B269E"/>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F474AA8"/>
    <w:multiLevelType w:val="hybridMultilevel"/>
    <w:tmpl w:val="CF849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BA588F"/>
    <w:multiLevelType w:val="hybridMultilevel"/>
    <w:tmpl w:val="5FA6FD3E"/>
    <w:lvl w:ilvl="0" w:tplc="B21ED5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9372E"/>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8A5EAC"/>
    <w:multiLevelType w:val="hybridMultilevel"/>
    <w:tmpl w:val="B7746204"/>
    <w:lvl w:ilvl="0" w:tplc="A8FEBF86">
      <w:start w:val="1"/>
      <w:numFmt w:val="bullet"/>
      <w:pStyle w:val="EC-List1-table"/>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F5AEF"/>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D34036A"/>
    <w:multiLevelType w:val="multilevel"/>
    <w:tmpl w:val="756C11F0"/>
    <w:lvl w:ilvl="0">
      <w:start w:val="1"/>
      <w:numFmt w:val="bullet"/>
      <w:pStyle w:val="EFSABullet1"/>
      <w:lvlText w:val=""/>
      <w:lvlJc w:val="left"/>
      <w:pPr>
        <w:tabs>
          <w:tab w:val="num" w:pos="0"/>
        </w:tabs>
        <w:ind w:left="720" w:hanging="360"/>
      </w:pPr>
      <w:rPr>
        <w:rFonts w:ascii="Symbol" w:hAnsi="Symbol" w:hint="default"/>
      </w:rPr>
    </w:lvl>
    <w:lvl w:ilvl="1">
      <w:start w:val="1"/>
      <w:numFmt w:val="bullet"/>
      <w:pStyle w:val="EFSABullet2"/>
      <w:lvlText w:val="–"/>
      <w:lvlJc w:val="left"/>
      <w:pPr>
        <w:tabs>
          <w:tab w:val="num" w:pos="0"/>
        </w:tabs>
        <w:ind w:left="1440" w:hanging="360"/>
      </w:pPr>
      <w:rPr>
        <w:rFonts w:ascii="Tahoma" w:hAnsi="Tahoma" w:hint="default"/>
        <w:color w:val="auto"/>
        <w:sz w:val="20"/>
      </w:rPr>
    </w:lvl>
    <w:lvl w:ilvl="2">
      <w:start w:val="1"/>
      <w:numFmt w:val="bullet"/>
      <w:lvlText w:val="–"/>
      <w:lvlJc w:val="left"/>
      <w:pPr>
        <w:tabs>
          <w:tab w:val="num" w:pos="0"/>
        </w:tabs>
        <w:ind w:left="2160" w:hanging="360"/>
      </w:pPr>
      <w:rPr>
        <w:rFonts w:ascii="Tahoma" w:hAnsi="Tahoma" w:hint="default"/>
        <w:color w:val="auto"/>
        <w:sz w:val="20"/>
      </w:rPr>
    </w:lvl>
    <w:lvl w:ilvl="3">
      <w:start w:val="1"/>
      <w:numFmt w:val="bullet"/>
      <w:lvlText w:val="–"/>
      <w:lvlJc w:val="left"/>
      <w:pPr>
        <w:tabs>
          <w:tab w:val="num" w:pos="0"/>
        </w:tabs>
        <w:ind w:left="2880" w:hanging="360"/>
      </w:pPr>
      <w:rPr>
        <w:rFonts w:ascii="Tahoma" w:hAnsi="Tahoma" w:hint="default"/>
        <w:color w:val="auto"/>
        <w:sz w:val="20"/>
      </w:rPr>
    </w:lvl>
    <w:lvl w:ilvl="4">
      <w:start w:val="1"/>
      <w:numFmt w:val="bullet"/>
      <w:lvlText w:val="–"/>
      <w:lvlJc w:val="left"/>
      <w:pPr>
        <w:tabs>
          <w:tab w:val="num" w:pos="0"/>
        </w:tabs>
        <w:ind w:left="3600" w:hanging="360"/>
      </w:pPr>
      <w:rPr>
        <w:rFonts w:ascii="Tahoma" w:hAnsi="Tahoma" w:hint="default"/>
        <w:color w:val="auto"/>
        <w:sz w:val="20"/>
      </w:rPr>
    </w:lvl>
    <w:lvl w:ilvl="5">
      <w:start w:val="1"/>
      <w:numFmt w:val="bullet"/>
      <w:lvlText w:val="–"/>
      <w:lvlJc w:val="left"/>
      <w:pPr>
        <w:tabs>
          <w:tab w:val="num" w:pos="0"/>
        </w:tabs>
        <w:ind w:left="4320" w:hanging="360"/>
      </w:pPr>
      <w:rPr>
        <w:rFonts w:ascii="Tahoma" w:hAnsi="Tahoma" w:hint="default"/>
        <w:color w:val="auto"/>
        <w:sz w:val="20"/>
      </w:rPr>
    </w:lvl>
    <w:lvl w:ilvl="6">
      <w:start w:val="1"/>
      <w:numFmt w:val="bullet"/>
      <w:lvlText w:val="–"/>
      <w:lvlJc w:val="left"/>
      <w:pPr>
        <w:tabs>
          <w:tab w:val="num" w:pos="0"/>
        </w:tabs>
        <w:ind w:left="5040" w:hanging="360"/>
      </w:pPr>
      <w:rPr>
        <w:rFonts w:ascii="Tahoma" w:hAnsi="Tahoma" w:hint="default"/>
        <w:color w:val="auto"/>
        <w:sz w:val="20"/>
      </w:rPr>
    </w:lvl>
    <w:lvl w:ilvl="7">
      <w:start w:val="1"/>
      <w:numFmt w:val="bullet"/>
      <w:lvlText w:val="–"/>
      <w:lvlJc w:val="left"/>
      <w:pPr>
        <w:tabs>
          <w:tab w:val="num" w:pos="0"/>
        </w:tabs>
        <w:ind w:left="5760" w:hanging="360"/>
      </w:pPr>
      <w:rPr>
        <w:rFonts w:ascii="Tahoma" w:hAnsi="Tahoma" w:cs="Courier New" w:hint="default"/>
        <w:color w:val="auto"/>
        <w:sz w:val="20"/>
      </w:rPr>
    </w:lvl>
    <w:lvl w:ilvl="8">
      <w:start w:val="1"/>
      <w:numFmt w:val="bullet"/>
      <w:lvlText w:val="–"/>
      <w:lvlJc w:val="left"/>
      <w:pPr>
        <w:tabs>
          <w:tab w:val="num" w:pos="0"/>
        </w:tabs>
        <w:ind w:left="6480" w:hanging="360"/>
      </w:pPr>
      <w:rPr>
        <w:rFonts w:ascii="Tahoma" w:hAnsi="Tahoma" w:hint="default"/>
        <w:color w:val="auto"/>
        <w:sz w:val="20"/>
      </w:rPr>
    </w:lvl>
  </w:abstractNum>
  <w:abstractNum w:abstractNumId="44" w15:restartNumberingAfterBreak="0">
    <w:nsid w:val="7EF84021"/>
    <w:multiLevelType w:val="hybridMultilevel"/>
    <w:tmpl w:val="83B8ADC4"/>
    <w:lvl w:ilvl="0" w:tplc="2A766F7C">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9885814">
    <w:abstractNumId w:val="30"/>
  </w:num>
  <w:num w:numId="2" w16cid:durableId="2103067611">
    <w:abstractNumId w:val="10"/>
  </w:num>
  <w:num w:numId="3" w16cid:durableId="2032799941">
    <w:abstractNumId w:val="13"/>
  </w:num>
  <w:num w:numId="4" w16cid:durableId="1331327660">
    <w:abstractNumId w:val="35"/>
  </w:num>
  <w:num w:numId="5" w16cid:durableId="2015066996">
    <w:abstractNumId w:val="29"/>
  </w:num>
  <w:num w:numId="6" w16cid:durableId="1458261383">
    <w:abstractNumId w:val="18"/>
  </w:num>
  <w:num w:numId="7" w16cid:durableId="692733948">
    <w:abstractNumId w:val="0"/>
  </w:num>
  <w:num w:numId="8" w16cid:durableId="1954242652">
    <w:abstractNumId w:val="28"/>
  </w:num>
  <w:num w:numId="9" w16cid:durableId="1971281522">
    <w:abstractNumId w:val="4"/>
  </w:num>
  <w:num w:numId="10" w16cid:durableId="1917590908">
    <w:abstractNumId w:val="23"/>
  </w:num>
  <w:num w:numId="11" w16cid:durableId="153223379">
    <w:abstractNumId w:val="32"/>
  </w:num>
  <w:num w:numId="12" w16cid:durableId="2141485420">
    <w:abstractNumId w:val="17"/>
  </w:num>
  <w:num w:numId="13" w16cid:durableId="1038775753">
    <w:abstractNumId w:val="3"/>
  </w:num>
  <w:num w:numId="14" w16cid:durableId="697656063">
    <w:abstractNumId w:val="20"/>
  </w:num>
  <w:num w:numId="15" w16cid:durableId="1772780253">
    <w:abstractNumId w:val="11"/>
  </w:num>
  <w:num w:numId="16" w16cid:durableId="935480523">
    <w:abstractNumId w:val="42"/>
  </w:num>
  <w:num w:numId="17" w16cid:durableId="1158618555">
    <w:abstractNumId w:val="31"/>
  </w:num>
  <w:num w:numId="18" w16cid:durableId="1878160042">
    <w:abstractNumId w:val="1"/>
  </w:num>
  <w:num w:numId="19" w16cid:durableId="1115292736">
    <w:abstractNumId w:val="37"/>
  </w:num>
  <w:num w:numId="20" w16cid:durableId="1725177678">
    <w:abstractNumId w:val="26"/>
  </w:num>
  <w:num w:numId="21" w16cid:durableId="172889251">
    <w:abstractNumId w:val="34"/>
  </w:num>
  <w:num w:numId="22" w16cid:durableId="1400639713">
    <w:abstractNumId w:val="40"/>
  </w:num>
  <w:num w:numId="23" w16cid:durableId="1229540189">
    <w:abstractNumId w:val="15"/>
  </w:num>
  <w:num w:numId="24" w16cid:durableId="1059128184">
    <w:abstractNumId w:val="27"/>
  </w:num>
  <w:num w:numId="25" w16cid:durableId="673071749">
    <w:abstractNumId w:val="8"/>
  </w:num>
  <w:num w:numId="26" w16cid:durableId="669990791">
    <w:abstractNumId w:val="9"/>
  </w:num>
  <w:num w:numId="27" w16cid:durableId="1459176550">
    <w:abstractNumId w:val="19"/>
  </w:num>
  <w:num w:numId="28" w16cid:durableId="291401814">
    <w:abstractNumId w:val="12"/>
  </w:num>
  <w:num w:numId="29" w16cid:durableId="1111897319">
    <w:abstractNumId w:val="33"/>
  </w:num>
  <w:num w:numId="30" w16cid:durableId="357660876">
    <w:abstractNumId w:val="38"/>
  </w:num>
  <w:num w:numId="31" w16cid:durableId="1510173101">
    <w:abstractNumId w:val="2"/>
  </w:num>
  <w:num w:numId="32" w16cid:durableId="2133865710">
    <w:abstractNumId w:val="5"/>
  </w:num>
  <w:num w:numId="33" w16cid:durableId="1534417404">
    <w:abstractNumId w:val="7"/>
  </w:num>
  <w:num w:numId="34" w16cid:durableId="903100366">
    <w:abstractNumId w:val="16"/>
  </w:num>
  <w:num w:numId="35" w16cid:durableId="1108769155">
    <w:abstractNumId w:val="41"/>
  </w:num>
  <w:num w:numId="36" w16cid:durableId="2135442345">
    <w:abstractNumId w:val="25"/>
  </w:num>
  <w:num w:numId="37" w16cid:durableId="463891739">
    <w:abstractNumId w:val="36"/>
  </w:num>
  <w:num w:numId="38" w16cid:durableId="944458478">
    <w:abstractNumId w:val="22"/>
  </w:num>
  <w:num w:numId="39" w16cid:durableId="12728105">
    <w:abstractNumId w:val="43"/>
  </w:num>
  <w:num w:numId="40" w16cid:durableId="2104104684">
    <w:abstractNumId w:val="44"/>
  </w:num>
  <w:num w:numId="41" w16cid:durableId="538665856">
    <w:abstractNumId w:val="39"/>
  </w:num>
  <w:num w:numId="42" w16cid:durableId="483007905">
    <w:abstractNumId w:val="21"/>
  </w:num>
  <w:num w:numId="43" w16cid:durableId="1255243284">
    <w:abstractNumId w:val="14"/>
  </w:num>
  <w:num w:numId="44" w16cid:durableId="8027126">
    <w:abstractNumId w:val="6"/>
  </w:num>
  <w:num w:numId="45" w16cid:durableId="2139839428">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3C"/>
    <w:rsid w:val="00000036"/>
    <w:rsid w:val="0000005C"/>
    <w:rsid w:val="0000043E"/>
    <w:rsid w:val="000005B7"/>
    <w:rsid w:val="000025B6"/>
    <w:rsid w:val="00002AAC"/>
    <w:rsid w:val="000030A3"/>
    <w:rsid w:val="00003A46"/>
    <w:rsid w:val="00004A47"/>
    <w:rsid w:val="000051B8"/>
    <w:rsid w:val="00006E52"/>
    <w:rsid w:val="000070F3"/>
    <w:rsid w:val="0000770A"/>
    <w:rsid w:val="000101E3"/>
    <w:rsid w:val="00010E22"/>
    <w:rsid w:val="0001197D"/>
    <w:rsid w:val="00011BE4"/>
    <w:rsid w:val="0001247E"/>
    <w:rsid w:val="00012ECE"/>
    <w:rsid w:val="00013678"/>
    <w:rsid w:val="00013FDE"/>
    <w:rsid w:val="00014064"/>
    <w:rsid w:val="0001597B"/>
    <w:rsid w:val="0001656D"/>
    <w:rsid w:val="0002005E"/>
    <w:rsid w:val="00020804"/>
    <w:rsid w:val="00020C03"/>
    <w:rsid w:val="00021137"/>
    <w:rsid w:val="00021AD0"/>
    <w:rsid w:val="00021FA3"/>
    <w:rsid w:val="000222A8"/>
    <w:rsid w:val="00023009"/>
    <w:rsid w:val="00023095"/>
    <w:rsid w:val="00023E27"/>
    <w:rsid w:val="00024B96"/>
    <w:rsid w:val="00025781"/>
    <w:rsid w:val="000269E1"/>
    <w:rsid w:val="000279D0"/>
    <w:rsid w:val="0003043B"/>
    <w:rsid w:val="0003052E"/>
    <w:rsid w:val="00031D50"/>
    <w:rsid w:val="00032A10"/>
    <w:rsid w:val="000331CC"/>
    <w:rsid w:val="000335AD"/>
    <w:rsid w:val="00033923"/>
    <w:rsid w:val="00034328"/>
    <w:rsid w:val="000345D3"/>
    <w:rsid w:val="00034CC1"/>
    <w:rsid w:val="00035314"/>
    <w:rsid w:val="000357D0"/>
    <w:rsid w:val="000359A7"/>
    <w:rsid w:val="0003667A"/>
    <w:rsid w:val="00036DDA"/>
    <w:rsid w:val="000378C4"/>
    <w:rsid w:val="00037D5B"/>
    <w:rsid w:val="00037FDE"/>
    <w:rsid w:val="000407CD"/>
    <w:rsid w:val="00040D06"/>
    <w:rsid w:val="00041BC8"/>
    <w:rsid w:val="00041D75"/>
    <w:rsid w:val="00042549"/>
    <w:rsid w:val="00042907"/>
    <w:rsid w:val="00042DB0"/>
    <w:rsid w:val="00043036"/>
    <w:rsid w:val="00043DBA"/>
    <w:rsid w:val="0004461A"/>
    <w:rsid w:val="00044F16"/>
    <w:rsid w:val="000454E6"/>
    <w:rsid w:val="00045945"/>
    <w:rsid w:val="00045BC9"/>
    <w:rsid w:val="00046CE8"/>
    <w:rsid w:val="00047428"/>
    <w:rsid w:val="00051541"/>
    <w:rsid w:val="00051570"/>
    <w:rsid w:val="00052081"/>
    <w:rsid w:val="00053000"/>
    <w:rsid w:val="00054744"/>
    <w:rsid w:val="0005487E"/>
    <w:rsid w:val="00055665"/>
    <w:rsid w:val="00055C96"/>
    <w:rsid w:val="00055CBC"/>
    <w:rsid w:val="00055D24"/>
    <w:rsid w:val="00057458"/>
    <w:rsid w:val="00057F15"/>
    <w:rsid w:val="000617B1"/>
    <w:rsid w:val="00061845"/>
    <w:rsid w:val="00061B2E"/>
    <w:rsid w:val="00063230"/>
    <w:rsid w:val="0006351B"/>
    <w:rsid w:val="00063B0B"/>
    <w:rsid w:val="00064ECA"/>
    <w:rsid w:val="00065ECC"/>
    <w:rsid w:val="00067419"/>
    <w:rsid w:val="00067F8F"/>
    <w:rsid w:val="00070C27"/>
    <w:rsid w:val="00071F01"/>
    <w:rsid w:val="0007211E"/>
    <w:rsid w:val="00072637"/>
    <w:rsid w:val="00072B5F"/>
    <w:rsid w:val="00072D40"/>
    <w:rsid w:val="00073747"/>
    <w:rsid w:val="00073947"/>
    <w:rsid w:val="000744ED"/>
    <w:rsid w:val="00074709"/>
    <w:rsid w:val="00074B31"/>
    <w:rsid w:val="00074C03"/>
    <w:rsid w:val="00074E8E"/>
    <w:rsid w:val="000777F0"/>
    <w:rsid w:val="00080557"/>
    <w:rsid w:val="00081B81"/>
    <w:rsid w:val="00084FFE"/>
    <w:rsid w:val="000854D1"/>
    <w:rsid w:val="00087326"/>
    <w:rsid w:val="000936BD"/>
    <w:rsid w:val="000937EC"/>
    <w:rsid w:val="000941DA"/>
    <w:rsid w:val="0009441C"/>
    <w:rsid w:val="0009480D"/>
    <w:rsid w:val="000952F6"/>
    <w:rsid w:val="00095398"/>
    <w:rsid w:val="00096710"/>
    <w:rsid w:val="000969A7"/>
    <w:rsid w:val="000969C8"/>
    <w:rsid w:val="00097994"/>
    <w:rsid w:val="000A0FDE"/>
    <w:rsid w:val="000A1822"/>
    <w:rsid w:val="000A1B7A"/>
    <w:rsid w:val="000A1EC6"/>
    <w:rsid w:val="000A1F3D"/>
    <w:rsid w:val="000A229E"/>
    <w:rsid w:val="000A2863"/>
    <w:rsid w:val="000A2F79"/>
    <w:rsid w:val="000A3306"/>
    <w:rsid w:val="000A3B0C"/>
    <w:rsid w:val="000A4365"/>
    <w:rsid w:val="000A466C"/>
    <w:rsid w:val="000A47A9"/>
    <w:rsid w:val="000A5C54"/>
    <w:rsid w:val="000A5DE6"/>
    <w:rsid w:val="000A7EFE"/>
    <w:rsid w:val="000B1032"/>
    <w:rsid w:val="000B1054"/>
    <w:rsid w:val="000B1131"/>
    <w:rsid w:val="000B153C"/>
    <w:rsid w:val="000B205C"/>
    <w:rsid w:val="000B250B"/>
    <w:rsid w:val="000B2B50"/>
    <w:rsid w:val="000B3CDB"/>
    <w:rsid w:val="000B4234"/>
    <w:rsid w:val="000B466B"/>
    <w:rsid w:val="000B4A06"/>
    <w:rsid w:val="000B62F4"/>
    <w:rsid w:val="000B6995"/>
    <w:rsid w:val="000B7484"/>
    <w:rsid w:val="000B7716"/>
    <w:rsid w:val="000B786B"/>
    <w:rsid w:val="000B7C1F"/>
    <w:rsid w:val="000C01D1"/>
    <w:rsid w:val="000C01E8"/>
    <w:rsid w:val="000C0F2E"/>
    <w:rsid w:val="000C12BF"/>
    <w:rsid w:val="000C1690"/>
    <w:rsid w:val="000C181E"/>
    <w:rsid w:val="000C3DB7"/>
    <w:rsid w:val="000C3F99"/>
    <w:rsid w:val="000C456A"/>
    <w:rsid w:val="000C4688"/>
    <w:rsid w:val="000C4C25"/>
    <w:rsid w:val="000C5EF7"/>
    <w:rsid w:val="000C6A79"/>
    <w:rsid w:val="000C7148"/>
    <w:rsid w:val="000C71E6"/>
    <w:rsid w:val="000C7FDC"/>
    <w:rsid w:val="000D0D6E"/>
    <w:rsid w:val="000D0EE0"/>
    <w:rsid w:val="000D1513"/>
    <w:rsid w:val="000D49AF"/>
    <w:rsid w:val="000D608A"/>
    <w:rsid w:val="000D613C"/>
    <w:rsid w:val="000D619B"/>
    <w:rsid w:val="000D7D57"/>
    <w:rsid w:val="000E19B6"/>
    <w:rsid w:val="000E1BDB"/>
    <w:rsid w:val="000E241F"/>
    <w:rsid w:val="000E2423"/>
    <w:rsid w:val="000E2488"/>
    <w:rsid w:val="000E28B8"/>
    <w:rsid w:val="000E3128"/>
    <w:rsid w:val="000E3900"/>
    <w:rsid w:val="000E4F88"/>
    <w:rsid w:val="000E5152"/>
    <w:rsid w:val="000E58CE"/>
    <w:rsid w:val="000E6C8A"/>
    <w:rsid w:val="000F0E66"/>
    <w:rsid w:val="000F2DFB"/>
    <w:rsid w:val="000F35AE"/>
    <w:rsid w:val="000F4BF4"/>
    <w:rsid w:val="000F5099"/>
    <w:rsid w:val="000F5241"/>
    <w:rsid w:val="000F560B"/>
    <w:rsid w:val="000F61E6"/>
    <w:rsid w:val="000F765E"/>
    <w:rsid w:val="000F7AB7"/>
    <w:rsid w:val="00100FD5"/>
    <w:rsid w:val="00101554"/>
    <w:rsid w:val="00102588"/>
    <w:rsid w:val="0010259D"/>
    <w:rsid w:val="001029E6"/>
    <w:rsid w:val="00105F16"/>
    <w:rsid w:val="001064C5"/>
    <w:rsid w:val="0010721C"/>
    <w:rsid w:val="0010751A"/>
    <w:rsid w:val="00107FC7"/>
    <w:rsid w:val="00110AC8"/>
    <w:rsid w:val="00112C47"/>
    <w:rsid w:val="00112DBE"/>
    <w:rsid w:val="00113931"/>
    <w:rsid w:val="001139BF"/>
    <w:rsid w:val="0011472E"/>
    <w:rsid w:val="00114E47"/>
    <w:rsid w:val="001154B2"/>
    <w:rsid w:val="00116D52"/>
    <w:rsid w:val="001175E9"/>
    <w:rsid w:val="00120A6C"/>
    <w:rsid w:val="00120D06"/>
    <w:rsid w:val="00123C0B"/>
    <w:rsid w:val="001240BA"/>
    <w:rsid w:val="00124851"/>
    <w:rsid w:val="00126364"/>
    <w:rsid w:val="00131E7A"/>
    <w:rsid w:val="001328DF"/>
    <w:rsid w:val="001332B2"/>
    <w:rsid w:val="00133962"/>
    <w:rsid w:val="0013397A"/>
    <w:rsid w:val="00133B45"/>
    <w:rsid w:val="00133F1D"/>
    <w:rsid w:val="001345DD"/>
    <w:rsid w:val="00135523"/>
    <w:rsid w:val="00135BC5"/>
    <w:rsid w:val="00136033"/>
    <w:rsid w:val="00137055"/>
    <w:rsid w:val="0013768E"/>
    <w:rsid w:val="0014059C"/>
    <w:rsid w:val="00141970"/>
    <w:rsid w:val="00141B0B"/>
    <w:rsid w:val="0014335D"/>
    <w:rsid w:val="001442AF"/>
    <w:rsid w:val="0014531B"/>
    <w:rsid w:val="00145633"/>
    <w:rsid w:val="00145B2D"/>
    <w:rsid w:val="00146DCB"/>
    <w:rsid w:val="0014751A"/>
    <w:rsid w:val="00147A8F"/>
    <w:rsid w:val="00147E7F"/>
    <w:rsid w:val="00147EA7"/>
    <w:rsid w:val="0015029C"/>
    <w:rsid w:val="0015034B"/>
    <w:rsid w:val="00150AB5"/>
    <w:rsid w:val="00150AC2"/>
    <w:rsid w:val="00150E79"/>
    <w:rsid w:val="0015200D"/>
    <w:rsid w:val="00153029"/>
    <w:rsid w:val="00154AE4"/>
    <w:rsid w:val="00154BB4"/>
    <w:rsid w:val="00155FF0"/>
    <w:rsid w:val="00156E29"/>
    <w:rsid w:val="00162897"/>
    <w:rsid w:val="00162D76"/>
    <w:rsid w:val="00163ED4"/>
    <w:rsid w:val="00163FDE"/>
    <w:rsid w:val="00164C6F"/>
    <w:rsid w:val="00165461"/>
    <w:rsid w:val="001654CA"/>
    <w:rsid w:val="00165523"/>
    <w:rsid w:val="0016756C"/>
    <w:rsid w:val="0016779F"/>
    <w:rsid w:val="00167D6F"/>
    <w:rsid w:val="001711E6"/>
    <w:rsid w:val="0017148E"/>
    <w:rsid w:val="00171E1C"/>
    <w:rsid w:val="0017335A"/>
    <w:rsid w:val="001736D4"/>
    <w:rsid w:val="00175533"/>
    <w:rsid w:val="0017691E"/>
    <w:rsid w:val="00176A61"/>
    <w:rsid w:val="00177253"/>
    <w:rsid w:val="00177F7F"/>
    <w:rsid w:val="00180E34"/>
    <w:rsid w:val="001813E4"/>
    <w:rsid w:val="00183630"/>
    <w:rsid w:val="00184500"/>
    <w:rsid w:val="00184880"/>
    <w:rsid w:val="00186D3B"/>
    <w:rsid w:val="001874A8"/>
    <w:rsid w:val="0018750A"/>
    <w:rsid w:val="00187929"/>
    <w:rsid w:val="00187D48"/>
    <w:rsid w:val="00187F3B"/>
    <w:rsid w:val="001901D9"/>
    <w:rsid w:val="00190628"/>
    <w:rsid w:val="00191445"/>
    <w:rsid w:val="00192E52"/>
    <w:rsid w:val="0019303A"/>
    <w:rsid w:val="00193709"/>
    <w:rsid w:val="00193755"/>
    <w:rsid w:val="001940BA"/>
    <w:rsid w:val="00194657"/>
    <w:rsid w:val="00194D15"/>
    <w:rsid w:val="00195D6B"/>
    <w:rsid w:val="001A0ACC"/>
    <w:rsid w:val="001A0AFB"/>
    <w:rsid w:val="001A1039"/>
    <w:rsid w:val="001A1AE0"/>
    <w:rsid w:val="001A25AF"/>
    <w:rsid w:val="001A2A6A"/>
    <w:rsid w:val="001A379E"/>
    <w:rsid w:val="001A5363"/>
    <w:rsid w:val="001A5412"/>
    <w:rsid w:val="001A719E"/>
    <w:rsid w:val="001A74B8"/>
    <w:rsid w:val="001A7E48"/>
    <w:rsid w:val="001B0A3A"/>
    <w:rsid w:val="001B1092"/>
    <w:rsid w:val="001B1937"/>
    <w:rsid w:val="001B19C0"/>
    <w:rsid w:val="001B1FF5"/>
    <w:rsid w:val="001B4E5B"/>
    <w:rsid w:val="001B59F8"/>
    <w:rsid w:val="001B5C00"/>
    <w:rsid w:val="001B661F"/>
    <w:rsid w:val="001B68A4"/>
    <w:rsid w:val="001B71EA"/>
    <w:rsid w:val="001C0143"/>
    <w:rsid w:val="001C0A8B"/>
    <w:rsid w:val="001C2A4A"/>
    <w:rsid w:val="001C3C93"/>
    <w:rsid w:val="001C3D0F"/>
    <w:rsid w:val="001C402E"/>
    <w:rsid w:val="001C43A1"/>
    <w:rsid w:val="001C4E99"/>
    <w:rsid w:val="001C57BD"/>
    <w:rsid w:val="001C6704"/>
    <w:rsid w:val="001C6E26"/>
    <w:rsid w:val="001C7031"/>
    <w:rsid w:val="001D012E"/>
    <w:rsid w:val="001D156E"/>
    <w:rsid w:val="001D51F7"/>
    <w:rsid w:val="001D736D"/>
    <w:rsid w:val="001D7427"/>
    <w:rsid w:val="001D745D"/>
    <w:rsid w:val="001D7588"/>
    <w:rsid w:val="001E04C8"/>
    <w:rsid w:val="001E15CE"/>
    <w:rsid w:val="001E20B1"/>
    <w:rsid w:val="001E3748"/>
    <w:rsid w:val="001E4E8F"/>
    <w:rsid w:val="001E79C1"/>
    <w:rsid w:val="001F1837"/>
    <w:rsid w:val="001F2003"/>
    <w:rsid w:val="001F273F"/>
    <w:rsid w:val="001F4158"/>
    <w:rsid w:val="001F46DE"/>
    <w:rsid w:val="001F47D7"/>
    <w:rsid w:val="001F5AD6"/>
    <w:rsid w:val="00200AF8"/>
    <w:rsid w:val="00204424"/>
    <w:rsid w:val="00204B61"/>
    <w:rsid w:val="00204B98"/>
    <w:rsid w:val="00205026"/>
    <w:rsid w:val="00206B27"/>
    <w:rsid w:val="00206B44"/>
    <w:rsid w:val="00206DFA"/>
    <w:rsid w:val="002073BE"/>
    <w:rsid w:val="00207868"/>
    <w:rsid w:val="00210839"/>
    <w:rsid w:val="00210FE5"/>
    <w:rsid w:val="00211802"/>
    <w:rsid w:val="00213E66"/>
    <w:rsid w:val="00213FB7"/>
    <w:rsid w:val="00215C01"/>
    <w:rsid w:val="00215D5A"/>
    <w:rsid w:val="0021671F"/>
    <w:rsid w:val="002173DA"/>
    <w:rsid w:val="0021746E"/>
    <w:rsid w:val="0022030F"/>
    <w:rsid w:val="00220773"/>
    <w:rsid w:val="002217C9"/>
    <w:rsid w:val="002219DA"/>
    <w:rsid w:val="00221D74"/>
    <w:rsid w:val="00222575"/>
    <w:rsid w:val="00222DA7"/>
    <w:rsid w:val="0022488D"/>
    <w:rsid w:val="00224B11"/>
    <w:rsid w:val="00224F88"/>
    <w:rsid w:val="002269A9"/>
    <w:rsid w:val="00227551"/>
    <w:rsid w:val="00230B5E"/>
    <w:rsid w:val="00230DA8"/>
    <w:rsid w:val="00231907"/>
    <w:rsid w:val="00232B51"/>
    <w:rsid w:val="00232DAF"/>
    <w:rsid w:val="002341EE"/>
    <w:rsid w:val="00234A79"/>
    <w:rsid w:val="002357D5"/>
    <w:rsid w:val="00235B97"/>
    <w:rsid w:val="0023733C"/>
    <w:rsid w:val="002406C8"/>
    <w:rsid w:val="00240DD3"/>
    <w:rsid w:val="00241068"/>
    <w:rsid w:val="00242DE4"/>
    <w:rsid w:val="00242F1E"/>
    <w:rsid w:val="002431DA"/>
    <w:rsid w:val="00243755"/>
    <w:rsid w:val="00243A84"/>
    <w:rsid w:val="002450D6"/>
    <w:rsid w:val="0024556A"/>
    <w:rsid w:val="00247988"/>
    <w:rsid w:val="00250F31"/>
    <w:rsid w:val="00251067"/>
    <w:rsid w:val="0025136E"/>
    <w:rsid w:val="00251837"/>
    <w:rsid w:val="00251981"/>
    <w:rsid w:val="00252064"/>
    <w:rsid w:val="0025237F"/>
    <w:rsid w:val="00252C12"/>
    <w:rsid w:val="002531DF"/>
    <w:rsid w:val="00253B7F"/>
    <w:rsid w:val="00254335"/>
    <w:rsid w:val="00254337"/>
    <w:rsid w:val="0025472E"/>
    <w:rsid w:val="00256E8D"/>
    <w:rsid w:val="00261897"/>
    <w:rsid w:val="00261D89"/>
    <w:rsid w:val="0026303C"/>
    <w:rsid w:val="00266288"/>
    <w:rsid w:val="002665AF"/>
    <w:rsid w:val="00267DEA"/>
    <w:rsid w:val="00270C38"/>
    <w:rsid w:val="002719AF"/>
    <w:rsid w:val="00271F36"/>
    <w:rsid w:val="00272516"/>
    <w:rsid w:val="00272D9E"/>
    <w:rsid w:val="00273585"/>
    <w:rsid w:val="00273CD7"/>
    <w:rsid w:val="00276B11"/>
    <w:rsid w:val="00276F3D"/>
    <w:rsid w:val="002801C5"/>
    <w:rsid w:val="00282AAC"/>
    <w:rsid w:val="002830D7"/>
    <w:rsid w:val="0028329E"/>
    <w:rsid w:val="0028358A"/>
    <w:rsid w:val="00283CC9"/>
    <w:rsid w:val="00284B63"/>
    <w:rsid w:val="002853AD"/>
    <w:rsid w:val="00285A66"/>
    <w:rsid w:val="002870C0"/>
    <w:rsid w:val="002878AC"/>
    <w:rsid w:val="002901CF"/>
    <w:rsid w:val="0029071C"/>
    <w:rsid w:val="002907A7"/>
    <w:rsid w:val="00292D29"/>
    <w:rsid w:val="002932C8"/>
    <w:rsid w:val="002942A6"/>
    <w:rsid w:val="002944C8"/>
    <w:rsid w:val="002965CF"/>
    <w:rsid w:val="0029701B"/>
    <w:rsid w:val="0029760F"/>
    <w:rsid w:val="002A03D7"/>
    <w:rsid w:val="002A0460"/>
    <w:rsid w:val="002A04D7"/>
    <w:rsid w:val="002A0844"/>
    <w:rsid w:val="002A2517"/>
    <w:rsid w:val="002A3233"/>
    <w:rsid w:val="002A3235"/>
    <w:rsid w:val="002A43B5"/>
    <w:rsid w:val="002A7A96"/>
    <w:rsid w:val="002B0A8A"/>
    <w:rsid w:val="002B224E"/>
    <w:rsid w:val="002B26B6"/>
    <w:rsid w:val="002B2D35"/>
    <w:rsid w:val="002B381C"/>
    <w:rsid w:val="002B3D57"/>
    <w:rsid w:val="002B3E67"/>
    <w:rsid w:val="002B50CE"/>
    <w:rsid w:val="002B5C99"/>
    <w:rsid w:val="002B5FE5"/>
    <w:rsid w:val="002B7990"/>
    <w:rsid w:val="002C038D"/>
    <w:rsid w:val="002C0582"/>
    <w:rsid w:val="002C0C66"/>
    <w:rsid w:val="002C1788"/>
    <w:rsid w:val="002C1FD4"/>
    <w:rsid w:val="002C2CB1"/>
    <w:rsid w:val="002C3A46"/>
    <w:rsid w:val="002C58C1"/>
    <w:rsid w:val="002C6696"/>
    <w:rsid w:val="002C6794"/>
    <w:rsid w:val="002D03DD"/>
    <w:rsid w:val="002D105F"/>
    <w:rsid w:val="002D1C0D"/>
    <w:rsid w:val="002D2B30"/>
    <w:rsid w:val="002D3755"/>
    <w:rsid w:val="002D3B2B"/>
    <w:rsid w:val="002D44DE"/>
    <w:rsid w:val="002D4698"/>
    <w:rsid w:val="002D4C89"/>
    <w:rsid w:val="002D4D05"/>
    <w:rsid w:val="002D5232"/>
    <w:rsid w:val="002D523E"/>
    <w:rsid w:val="002D5A9C"/>
    <w:rsid w:val="002D7C7B"/>
    <w:rsid w:val="002E0A33"/>
    <w:rsid w:val="002E0B1E"/>
    <w:rsid w:val="002E140D"/>
    <w:rsid w:val="002E302C"/>
    <w:rsid w:val="002E4A70"/>
    <w:rsid w:val="002E4BF3"/>
    <w:rsid w:val="002E537E"/>
    <w:rsid w:val="002E55AE"/>
    <w:rsid w:val="002E615D"/>
    <w:rsid w:val="002E7007"/>
    <w:rsid w:val="002E726A"/>
    <w:rsid w:val="002F0613"/>
    <w:rsid w:val="002F09DE"/>
    <w:rsid w:val="002F186F"/>
    <w:rsid w:val="002F1E0F"/>
    <w:rsid w:val="002F275F"/>
    <w:rsid w:val="002F3A7C"/>
    <w:rsid w:val="002F45F3"/>
    <w:rsid w:val="002F46CF"/>
    <w:rsid w:val="002F4BC4"/>
    <w:rsid w:val="002F6563"/>
    <w:rsid w:val="002F6749"/>
    <w:rsid w:val="002F71CA"/>
    <w:rsid w:val="002F74A5"/>
    <w:rsid w:val="003022C1"/>
    <w:rsid w:val="00303027"/>
    <w:rsid w:val="003031AC"/>
    <w:rsid w:val="00303B2B"/>
    <w:rsid w:val="003043E3"/>
    <w:rsid w:val="0030485D"/>
    <w:rsid w:val="00304AFE"/>
    <w:rsid w:val="003102E4"/>
    <w:rsid w:val="00310412"/>
    <w:rsid w:val="00310D5F"/>
    <w:rsid w:val="00311294"/>
    <w:rsid w:val="0031146A"/>
    <w:rsid w:val="00312DE3"/>
    <w:rsid w:val="0031626F"/>
    <w:rsid w:val="00316E4C"/>
    <w:rsid w:val="00317CF6"/>
    <w:rsid w:val="00317D98"/>
    <w:rsid w:val="00320072"/>
    <w:rsid w:val="003207BA"/>
    <w:rsid w:val="003213C8"/>
    <w:rsid w:val="0032208D"/>
    <w:rsid w:val="00322279"/>
    <w:rsid w:val="00322C19"/>
    <w:rsid w:val="00323B64"/>
    <w:rsid w:val="00323B85"/>
    <w:rsid w:val="00323C92"/>
    <w:rsid w:val="003247B7"/>
    <w:rsid w:val="00324B0F"/>
    <w:rsid w:val="003251F8"/>
    <w:rsid w:val="0032545A"/>
    <w:rsid w:val="003257F3"/>
    <w:rsid w:val="00330047"/>
    <w:rsid w:val="003306C5"/>
    <w:rsid w:val="003314E4"/>
    <w:rsid w:val="00332B98"/>
    <w:rsid w:val="00332F66"/>
    <w:rsid w:val="00333241"/>
    <w:rsid w:val="003353AB"/>
    <w:rsid w:val="00336121"/>
    <w:rsid w:val="00336840"/>
    <w:rsid w:val="003371E8"/>
    <w:rsid w:val="003374A8"/>
    <w:rsid w:val="003378A6"/>
    <w:rsid w:val="00341416"/>
    <w:rsid w:val="0034156D"/>
    <w:rsid w:val="00341D81"/>
    <w:rsid w:val="003422D1"/>
    <w:rsid w:val="0034321A"/>
    <w:rsid w:val="00343812"/>
    <w:rsid w:val="00343EAF"/>
    <w:rsid w:val="003449A4"/>
    <w:rsid w:val="00344AE3"/>
    <w:rsid w:val="00344FE1"/>
    <w:rsid w:val="003454F5"/>
    <w:rsid w:val="00345E73"/>
    <w:rsid w:val="0034699A"/>
    <w:rsid w:val="00346AA6"/>
    <w:rsid w:val="00346C41"/>
    <w:rsid w:val="00346D6F"/>
    <w:rsid w:val="0035024E"/>
    <w:rsid w:val="003503CC"/>
    <w:rsid w:val="00351233"/>
    <w:rsid w:val="00352134"/>
    <w:rsid w:val="003533FA"/>
    <w:rsid w:val="00353982"/>
    <w:rsid w:val="00353C61"/>
    <w:rsid w:val="003541B0"/>
    <w:rsid w:val="003548E7"/>
    <w:rsid w:val="00354F50"/>
    <w:rsid w:val="00355036"/>
    <w:rsid w:val="00356D91"/>
    <w:rsid w:val="003610A5"/>
    <w:rsid w:val="0036159F"/>
    <w:rsid w:val="003618C2"/>
    <w:rsid w:val="00362128"/>
    <w:rsid w:val="003623BF"/>
    <w:rsid w:val="003629AB"/>
    <w:rsid w:val="00362FC8"/>
    <w:rsid w:val="003636DA"/>
    <w:rsid w:val="00363CE8"/>
    <w:rsid w:val="00364B21"/>
    <w:rsid w:val="00365E99"/>
    <w:rsid w:val="00367AAA"/>
    <w:rsid w:val="0037020F"/>
    <w:rsid w:val="00370684"/>
    <w:rsid w:val="00370D2B"/>
    <w:rsid w:val="00370E79"/>
    <w:rsid w:val="0037106B"/>
    <w:rsid w:val="00372532"/>
    <w:rsid w:val="0037297F"/>
    <w:rsid w:val="00372D75"/>
    <w:rsid w:val="00373087"/>
    <w:rsid w:val="003734D8"/>
    <w:rsid w:val="00373EB0"/>
    <w:rsid w:val="00373FF9"/>
    <w:rsid w:val="00374EE4"/>
    <w:rsid w:val="003750AF"/>
    <w:rsid w:val="00375F96"/>
    <w:rsid w:val="00376192"/>
    <w:rsid w:val="00376E3D"/>
    <w:rsid w:val="003773CD"/>
    <w:rsid w:val="00377416"/>
    <w:rsid w:val="003778F0"/>
    <w:rsid w:val="00377DED"/>
    <w:rsid w:val="003805AD"/>
    <w:rsid w:val="00382FA7"/>
    <w:rsid w:val="003832DB"/>
    <w:rsid w:val="00384C06"/>
    <w:rsid w:val="00385194"/>
    <w:rsid w:val="00387FF1"/>
    <w:rsid w:val="00390022"/>
    <w:rsid w:val="00392BEA"/>
    <w:rsid w:val="0039550C"/>
    <w:rsid w:val="00395F5C"/>
    <w:rsid w:val="00395F83"/>
    <w:rsid w:val="003966BE"/>
    <w:rsid w:val="00396BCE"/>
    <w:rsid w:val="00397681"/>
    <w:rsid w:val="003A0B4F"/>
    <w:rsid w:val="003A1024"/>
    <w:rsid w:val="003A12EB"/>
    <w:rsid w:val="003A130D"/>
    <w:rsid w:val="003A1DE7"/>
    <w:rsid w:val="003A2583"/>
    <w:rsid w:val="003A32E6"/>
    <w:rsid w:val="003A3982"/>
    <w:rsid w:val="003A4BDD"/>
    <w:rsid w:val="003A50A6"/>
    <w:rsid w:val="003A5A19"/>
    <w:rsid w:val="003A5F3A"/>
    <w:rsid w:val="003A6E26"/>
    <w:rsid w:val="003B104C"/>
    <w:rsid w:val="003B1867"/>
    <w:rsid w:val="003B22EA"/>
    <w:rsid w:val="003B2BF4"/>
    <w:rsid w:val="003B3E97"/>
    <w:rsid w:val="003B49F6"/>
    <w:rsid w:val="003B4CCE"/>
    <w:rsid w:val="003B4E4E"/>
    <w:rsid w:val="003B591D"/>
    <w:rsid w:val="003B6CAB"/>
    <w:rsid w:val="003C0100"/>
    <w:rsid w:val="003C0BD4"/>
    <w:rsid w:val="003C0CA2"/>
    <w:rsid w:val="003C0FE0"/>
    <w:rsid w:val="003C167B"/>
    <w:rsid w:val="003C17AA"/>
    <w:rsid w:val="003C3F26"/>
    <w:rsid w:val="003C410B"/>
    <w:rsid w:val="003C594F"/>
    <w:rsid w:val="003C5FD1"/>
    <w:rsid w:val="003C77D9"/>
    <w:rsid w:val="003D1E6A"/>
    <w:rsid w:val="003D3AF8"/>
    <w:rsid w:val="003D40CC"/>
    <w:rsid w:val="003D4AAD"/>
    <w:rsid w:val="003D572C"/>
    <w:rsid w:val="003D5FC8"/>
    <w:rsid w:val="003D6471"/>
    <w:rsid w:val="003D660F"/>
    <w:rsid w:val="003D78AD"/>
    <w:rsid w:val="003E127B"/>
    <w:rsid w:val="003E2A6D"/>
    <w:rsid w:val="003E2D75"/>
    <w:rsid w:val="003E2E94"/>
    <w:rsid w:val="003E622E"/>
    <w:rsid w:val="003E6F1B"/>
    <w:rsid w:val="003E79C5"/>
    <w:rsid w:val="003E7D51"/>
    <w:rsid w:val="003E7F52"/>
    <w:rsid w:val="003F1839"/>
    <w:rsid w:val="003F1A90"/>
    <w:rsid w:val="003F1B9E"/>
    <w:rsid w:val="003F1F19"/>
    <w:rsid w:val="003F33DF"/>
    <w:rsid w:val="003F3678"/>
    <w:rsid w:val="003F3D96"/>
    <w:rsid w:val="003F40B6"/>
    <w:rsid w:val="003F4941"/>
    <w:rsid w:val="003F520C"/>
    <w:rsid w:val="003F571D"/>
    <w:rsid w:val="003F5E13"/>
    <w:rsid w:val="003F6571"/>
    <w:rsid w:val="003F6EEA"/>
    <w:rsid w:val="00400776"/>
    <w:rsid w:val="00401770"/>
    <w:rsid w:val="0040180D"/>
    <w:rsid w:val="0040185A"/>
    <w:rsid w:val="00402007"/>
    <w:rsid w:val="004025CC"/>
    <w:rsid w:val="004033F5"/>
    <w:rsid w:val="00404F6F"/>
    <w:rsid w:val="00406C39"/>
    <w:rsid w:val="00407CA8"/>
    <w:rsid w:val="00407E56"/>
    <w:rsid w:val="00410314"/>
    <w:rsid w:val="0041161C"/>
    <w:rsid w:val="00411C51"/>
    <w:rsid w:val="00411CC2"/>
    <w:rsid w:val="00411FB0"/>
    <w:rsid w:val="004137EF"/>
    <w:rsid w:val="004144E8"/>
    <w:rsid w:val="0041548C"/>
    <w:rsid w:val="0041593C"/>
    <w:rsid w:val="004169AF"/>
    <w:rsid w:val="00417971"/>
    <w:rsid w:val="00420717"/>
    <w:rsid w:val="00421C41"/>
    <w:rsid w:val="00422541"/>
    <w:rsid w:val="0042344C"/>
    <w:rsid w:val="00426393"/>
    <w:rsid w:val="00427037"/>
    <w:rsid w:val="00430A9B"/>
    <w:rsid w:val="004318FB"/>
    <w:rsid w:val="00431E89"/>
    <w:rsid w:val="00432FBD"/>
    <w:rsid w:val="00433429"/>
    <w:rsid w:val="00433520"/>
    <w:rsid w:val="00433A1B"/>
    <w:rsid w:val="0043407C"/>
    <w:rsid w:val="00435A7E"/>
    <w:rsid w:val="00436925"/>
    <w:rsid w:val="00436F9C"/>
    <w:rsid w:val="0043728F"/>
    <w:rsid w:val="0044075A"/>
    <w:rsid w:val="00440920"/>
    <w:rsid w:val="004412D5"/>
    <w:rsid w:val="004413D0"/>
    <w:rsid w:val="00441D88"/>
    <w:rsid w:val="00442092"/>
    <w:rsid w:val="00442BE4"/>
    <w:rsid w:val="004438F8"/>
    <w:rsid w:val="00445C42"/>
    <w:rsid w:val="004475C8"/>
    <w:rsid w:val="00447BD5"/>
    <w:rsid w:val="00447D0C"/>
    <w:rsid w:val="00447E0A"/>
    <w:rsid w:val="00450DA5"/>
    <w:rsid w:val="00450E62"/>
    <w:rsid w:val="00450EB5"/>
    <w:rsid w:val="00452CBC"/>
    <w:rsid w:val="00452CE3"/>
    <w:rsid w:val="0045529D"/>
    <w:rsid w:val="00457FAF"/>
    <w:rsid w:val="004606F2"/>
    <w:rsid w:val="004612F3"/>
    <w:rsid w:val="00461E30"/>
    <w:rsid w:val="004622F1"/>
    <w:rsid w:val="004624CC"/>
    <w:rsid w:val="004638B6"/>
    <w:rsid w:val="00463A63"/>
    <w:rsid w:val="0046515F"/>
    <w:rsid w:val="004653A4"/>
    <w:rsid w:val="004655AB"/>
    <w:rsid w:val="00465794"/>
    <w:rsid w:val="004661D9"/>
    <w:rsid w:val="0046665B"/>
    <w:rsid w:val="00467037"/>
    <w:rsid w:val="004700E7"/>
    <w:rsid w:val="00470B5D"/>
    <w:rsid w:val="00470F5F"/>
    <w:rsid w:val="00471064"/>
    <w:rsid w:val="0047179D"/>
    <w:rsid w:val="00471AC2"/>
    <w:rsid w:val="004728FA"/>
    <w:rsid w:val="00472914"/>
    <w:rsid w:val="00472B99"/>
    <w:rsid w:val="00473E24"/>
    <w:rsid w:val="004742C0"/>
    <w:rsid w:val="004749DC"/>
    <w:rsid w:val="00475514"/>
    <w:rsid w:val="004767ED"/>
    <w:rsid w:val="00477C63"/>
    <w:rsid w:val="00477EDE"/>
    <w:rsid w:val="004807D2"/>
    <w:rsid w:val="00480E0E"/>
    <w:rsid w:val="00481CEB"/>
    <w:rsid w:val="00482A48"/>
    <w:rsid w:val="00482E52"/>
    <w:rsid w:val="00483B14"/>
    <w:rsid w:val="004843A9"/>
    <w:rsid w:val="004845BB"/>
    <w:rsid w:val="004856A1"/>
    <w:rsid w:val="004905A2"/>
    <w:rsid w:val="00491419"/>
    <w:rsid w:val="00492C06"/>
    <w:rsid w:val="00493448"/>
    <w:rsid w:val="004938F5"/>
    <w:rsid w:val="00494AC7"/>
    <w:rsid w:val="0049526C"/>
    <w:rsid w:val="00496DC9"/>
    <w:rsid w:val="004A0428"/>
    <w:rsid w:val="004A0528"/>
    <w:rsid w:val="004A12A3"/>
    <w:rsid w:val="004A20BB"/>
    <w:rsid w:val="004A22A9"/>
    <w:rsid w:val="004A2889"/>
    <w:rsid w:val="004A49FC"/>
    <w:rsid w:val="004A690B"/>
    <w:rsid w:val="004A6921"/>
    <w:rsid w:val="004A7352"/>
    <w:rsid w:val="004A77ED"/>
    <w:rsid w:val="004A7B98"/>
    <w:rsid w:val="004A7F3A"/>
    <w:rsid w:val="004B056A"/>
    <w:rsid w:val="004B060B"/>
    <w:rsid w:val="004B08E0"/>
    <w:rsid w:val="004B0CC8"/>
    <w:rsid w:val="004B13F8"/>
    <w:rsid w:val="004B19C8"/>
    <w:rsid w:val="004B2D91"/>
    <w:rsid w:val="004B3B0C"/>
    <w:rsid w:val="004B3B71"/>
    <w:rsid w:val="004B4898"/>
    <w:rsid w:val="004B51EE"/>
    <w:rsid w:val="004B523C"/>
    <w:rsid w:val="004B724C"/>
    <w:rsid w:val="004C02E1"/>
    <w:rsid w:val="004C1587"/>
    <w:rsid w:val="004C16D7"/>
    <w:rsid w:val="004C23E6"/>
    <w:rsid w:val="004C2F83"/>
    <w:rsid w:val="004C39B1"/>
    <w:rsid w:val="004C3B25"/>
    <w:rsid w:val="004C6681"/>
    <w:rsid w:val="004C7B76"/>
    <w:rsid w:val="004C7FF1"/>
    <w:rsid w:val="004D0353"/>
    <w:rsid w:val="004D09C0"/>
    <w:rsid w:val="004D15F8"/>
    <w:rsid w:val="004D1D5D"/>
    <w:rsid w:val="004D33C1"/>
    <w:rsid w:val="004D4295"/>
    <w:rsid w:val="004D5A22"/>
    <w:rsid w:val="004D66A0"/>
    <w:rsid w:val="004D7757"/>
    <w:rsid w:val="004E082F"/>
    <w:rsid w:val="004E4B38"/>
    <w:rsid w:val="004E66CA"/>
    <w:rsid w:val="004F0231"/>
    <w:rsid w:val="004F1CA3"/>
    <w:rsid w:val="004F1D8D"/>
    <w:rsid w:val="004F2490"/>
    <w:rsid w:val="004F2CE6"/>
    <w:rsid w:val="004F30C8"/>
    <w:rsid w:val="004F4074"/>
    <w:rsid w:val="004F4E55"/>
    <w:rsid w:val="004F5787"/>
    <w:rsid w:val="004F7876"/>
    <w:rsid w:val="00501275"/>
    <w:rsid w:val="005017E9"/>
    <w:rsid w:val="00501A0D"/>
    <w:rsid w:val="00502C70"/>
    <w:rsid w:val="005030AC"/>
    <w:rsid w:val="00503382"/>
    <w:rsid w:val="005035E5"/>
    <w:rsid w:val="0050396C"/>
    <w:rsid w:val="00503F07"/>
    <w:rsid w:val="00503F88"/>
    <w:rsid w:val="005052E8"/>
    <w:rsid w:val="00505465"/>
    <w:rsid w:val="005056CD"/>
    <w:rsid w:val="00505AB7"/>
    <w:rsid w:val="005065E6"/>
    <w:rsid w:val="00506B7E"/>
    <w:rsid w:val="00506CD9"/>
    <w:rsid w:val="0050721D"/>
    <w:rsid w:val="0050782B"/>
    <w:rsid w:val="005118B0"/>
    <w:rsid w:val="0051193D"/>
    <w:rsid w:val="00511A6D"/>
    <w:rsid w:val="0051267E"/>
    <w:rsid w:val="00512793"/>
    <w:rsid w:val="005132B3"/>
    <w:rsid w:val="0051395E"/>
    <w:rsid w:val="00513B22"/>
    <w:rsid w:val="005157F5"/>
    <w:rsid w:val="00515988"/>
    <w:rsid w:val="00515B11"/>
    <w:rsid w:val="00516E0D"/>
    <w:rsid w:val="0051751E"/>
    <w:rsid w:val="00520171"/>
    <w:rsid w:val="005210A0"/>
    <w:rsid w:val="00521669"/>
    <w:rsid w:val="00521C3C"/>
    <w:rsid w:val="005223A1"/>
    <w:rsid w:val="00522FD1"/>
    <w:rsid w:val="005236D8"/>
    <w:rsid w:val="00523EF8"/>
    <w:rsid w:val="005249EE"/>
    <w:rsid w:val="00524A86"/>
    <w:rsid w:val="0052500B"/>
    <w:rsid w:val="005258FE"/>
    <w:rsid w:val="00525983"/>
    <w:rsid w:val="00525B0D"/>
    <w:rsid w:val="0053175F"/>
    <w:rsid w:val="005325D3"/>
    <w:rsid w:val="00532787"/>
    <w:rsid w:val="00533F35"/>
    <w:rsid w:val="00535174"/>
    <w:rsid w:val="00535380"/>
    <w:rsid w:val="00535996"/>
    <w:rsid w:val="00536D81"/>
    <w:rsid w:val="00537592"/>
    <w:rsid w:val="00537683"/>
    <w:rsid w:val="005408AD"/>
    <w:rsid w:val="00540C51"/>
    <w:rsid w:val="00541132"/>
    <w:rsid w:val="00542271"/>
    <w:rsid w:val="00542AC9"/>
    <w:rsid w:val="00543F88"/>
    <w:rsid w:val="00544C2C"/>
    <w:rsid w:val="005453C7"/>
    <w:rsid w:val="00545695"/>
    <w:rsid w:val="00546BB3"/>
    <w:rsid w:val="00546C24"/>
    <w:rsid w:val="0054754D"/>
    <w:rsid w:val="0055079F"/>
    <w:rsid w:val="0055085D"/>
    <w:rsid w:val="0055139E"/>
    <w:rsid w:val="005513DA"/>
    <w:rsid w:val="00552212"/>
    <w:rsid w:val="00556937"/>
    <w:rsid w:val="00556EED"/>
    <w:rsid w:val="005604FE"/>
    <w:rsid w:val="00560A04"/>
    <w:rsid w:val="00560A60"/>
    <w:rsid w:val="0056106A"/>
    <w:rsid w:val="00561821"/>
    <w:rsid w:val="00561B83"/>
    <w:rsid w:val="005623E0"/>
    <w:rsid w:val="005637C2"/>
    <w:rsid w:val="00564107"/>
    <w:rsid w:val="00564A1D"/>
    <w:rsid w:val="00564F55"/>
    <w:rsid w:val="00565096"/>
    <w:rsid w:val="00565102"/>
    <w:rsid w:val="00565412"/>
    <w:rsid w:val="00565E0E"/>
    <w:rsid w:val="00566C5F"/>
    <w:rsid w:val="0056713A"/>
    <w:rsid w:val="0056786F"/>
    <w:rsid w:val="005679DF"/>
    <w:rsid w:val="00570AB8"/>
    <w:rsid w:val="00572171"/>
    <w:rsid w:val="00572D4F"/>
    <w:rsid w:val="0057318A"/>
    <w:rsid w:val="00573BA4"/>
    <w:rsid w:val="00574139"/>
    <w:rsid w:val="0057434F"/>
    <w:rsid w:val="005744EF"/>
    <w:rsid w:val="0057518D"/>
    <w:rsid w:val="00575CE3"/>
    <w:rsid w:val="0057610B"/>
    <w:rsid w:val="00576675"/>
    <w:rsid w:val="00577BB1"/>
    <w:rsid w:val="0058098B"/>
    <w:rsid w:val="00581412"/>
    <w:rsid w:val="005814FC"/>
    <w:rsid w:val="00581BF0"/>
    <w:rsid w:val="00582DDB"/>
    <w:rsid w:val="005833ED"/>
    <w:rsid w:val="00583AB6"/>
    <w:rsid w:val="00583D57"/>
    <w:rsid w:val="00584F5B"/>
    <w:rsid w:val="00584F83"/>
    <w:rsid w:val="00587211"/>
    <w:rsid w:val="005873F8"/>
    <w:rsid w:val="00590127"/>
    <w:rsid w:val="005903AB"/>
    <w:rsid w:val="0059048C"/>
    <w:rsid w:val="005912F1"/>
    <w:rsid w:val="00591A7A"/>
    <w:rsid w:val="005921B5"/>
    <w:rsid w:val="005946B7"/>
    <w:rsid w:val="005946C1"/>
    <w:rsid w:val="00595E33"/>
    <w:rsid w:val="00595EEA"/>
    <w:rsid w:val="0059618E"/>
    <w:rsid w:val="00596699"/>
    <w:rsid w:val="00596B26"/>
    <w:rsid w:val="005973E2"/>
    <w:rsid w:val="00597C86"/>
    <w:rsid w:val="005A02BD"/>
    <w:rsid w:val="005A069D"/>
    <w:rsid w:val="005A0AC9"/>
    <w:rsid w:val="005A176D"/>
    <w:rsid w:val="005A2457"/>
    <w:rsid w:val="005A24F4"/>
    <w:rsid w:val="005A2988"/>
    <w:rsid w:val="005A3D06"/>
    <w:rsid w:val="005A487A"/>
    <w:rsid w:val="005A4A4F"/>
    <w:rsid w:val="005A50EC"/>
    <w:rsid w:val="005A6584"/>
    <w:rsid w:val="005A7E7E"/>
    <w:rsid w:val="005A7F17"/>
    <w:rsid w:val="005B03ED"/>
    <w:rsid w:val="005B044C"/>
    <w:rsid w:val="005B0A01"/>
    <w:rsid w:val="005B0FA8"/>
    <w:rsid w:val="005B1F8A"/>
    <w:rsid w:val="005B3096"/>
    <w:rsid w:val="005B40E8"/>
    <w:rsid w:val="005B48B9"/>
    <w:rsid w:val="005B5ABF"/>
    <w:rsid w:val="005B5FD1"/>
    <w:rsid w:val="005B770D"/>
    <w:rsid w:val="005B7B7A"/>
    <w:rsid w:val="005C00DC"/>
    <w:rsid w:val="005C0FB0"/>
    <w:rsid w:val="005C1059"/>
    <w:rsid w:val="005C1892"/>
    <w:rsid w:val="005C1AC3"/>
    <w:rsid w:val="005C3102"/>
    <w:rsid w:val="005C3E6C"/>
    <w:rsid w:val="005C48BE"/>
    <w:rsid w:val="005C5379"/>
    <w:rsid w:val="005C73DF"/>
    <w:rsid w:val="005D0F09"/>
    <w:rsid w:val="005D10EF"/>
    <w:rsid w:val="005D1339"/>
    <w:rsid w:val="005D17DE"/>
    <w:rsid w:val="005D1CD9"/>
    <w:rsid w:val="005D284B"/>
    <w:rsid w:val="005D33E4"/>
    <w:rsid w:val="005D35EB"/>
    <w:rsid w:val="005D4E37"/>
    <w:rsid w:val="005D617B"/>
    <w:rsid w:val="005D6AB2"/>
    <w:rsid w:val="005D6B66"/>
    <w:rsid w:val="005D6EBD"/>
    <w:rsid w:val="005D7E27"/>
    <w:rsid w:val="005E085B"/>
    <w:rsid w:val="005E139C"/>
    <w:rsid w:val="005E2485"/>
    <w:rsid w:val="005E4077"/>
    <w:rsid w:val="005E4B30"/>
    <w:rsid w:val="005E4FE6"/>
    <w:rsid w:val="005E5D94"/>
    <w:rsid w:val="005E5DCB"/>
    <w:rsid w:val="005F0D47"/>
    <w:rsid w:val="005F1E1C"/>
    <w:rsid w:val="005F2F2A"/>
    <w:rsid w:val="005F3193"/>
    <w:rsid w:val="005F3F1A"/>
    <w:rsid w:val="005F5540"/>
    <w:rsid w:val="005F6612"/>
    <w:rsid w:val="00600509"/>
    <w:rsid w:val="00600EA5"/>
    <w:rsid w:val="006016FE"/>
    <w:rsid w:val="00601E41"/>
    <w:rsid w:val="00601F34"/>
    <w:rsid w:val="006021E9"/>
    <w:rsid w:val="00603533"/>
    <w:rsid w:val="00603AEA"/>
    <w:rsid w:val="0060427B"/>
    <w:rsid w:val="006043E8"/>
    <w:rsid w:val="00605A85"/>
    <w:rsid w:val="00605C63"/>
    <w:rsid w:val="00605F9C"/>
    <w:rsid w:val="00607B17"/>
    <w:rsid w:val="0061068F"/>
    <w:rsid w:val="0061090A"/>
    <w:rsid w:val="0061144E"/>
    <w:rsid w:val="0061151F"/>
    <w:rsid w:val="00611BD2"/>
    <w:rsid w:val="00611E9C"/>
    <w:rsid w:val="00612D96"/>
    <w:rsid w:val="00613859"/>
    <w:rsid w:val="00613C15"/>
    <w:rsid w:val="00613DEC"/>
    <w:rsid w:val="00614C6B"/>
    <w:rsid w:val="00614E36"/>
    <w:rsid w:val="00615423"/>
    <w:rsid w:val="00615553"/>
    <w:rsid w:val="006157A0"/>
    <w:rsid w:val="00615E81"/>
    <w:rsid w:val="00616CFB"/>
    <w:rsid w:val="0061744B"/>
    <w:rsid w:val="00621108"/>
    <w:rsid w:val="00621C3B"/>
    <w:rsid w:val="006228E5"/>
    <w:rsid w:val="00624BD2"/>
    <w:rsid w:val="00624E5D"/>
    <w:rsid w:val="00625423"/>
    <w:rsid w:val="00625C7B"/>
    <w:rsid w:val="00626956"/>
    <w:rsid w:val="00627F8F"/>
    <w:rsid w:val="00630D83"/>
    <w:rsid w:val="0063102B"/>
    <w:rsid w:val="00631356"/>
    <w:rsid w:val="00631B68"/>
    <w:rsid w:val="006323C7"/>
    <w:rsid w:val="00632E62"/>
    <w:rsid w:val="0063377E"/>
    <w:rsid w:val="0063383D"/>
    <w:rsid w:val="00634807"/>
    <w:rsid w:val="0063493F"/>
    <w:rsid w:val="00635F6D"/>
    <w:rsid w:val="006418D9"/>
    <w:rsid w:val="00642773"/>
    <w:rsid w:val="00642F79"/>
    <w:rsid w:val="00643072"/>
    <w:rsid w:val="006431D0"/>
    <w:rsid w:val="0064343E"/>
    <w:rsid w:val="00643AAD"/>
    <w:rsid w:val="00643EEA"/>
    <w:rsid w:val="0064495F"/>
    <w:rsid w:val="006451BF"/>
    <w:rsid w:val="00645F6E"/>
    <w:rsid w:val="006462A0"/>
    <w:rsid w:val="006474B5"/>
    <w:rsid w:val="0064770F"/>
    <w:rsid w:val="00647CD8"/>
    <w:rsid w:val="00650131"/>
    <w:rsid w:val="00650A25"/>
    <w:rsid w:val="006511D3"/>
    <w:rsid w:val="00651CB3"/>
    <w:rsid w:val="00653503"/>
    <w:rsid w:val="0065370B"/>
    <w:rsid w:val="006539F7"/>
    <w:rsid w:val="00653C5A"/>
    <w:rsid w:val="006540A3"/>
    <w:rsid w:val="00656EE0"/>
    <w:rsid w:val="00657020"/>
    <w:rsid w:val="00660148"/>
    <w:rsid w:val="00660C60"/>
    <w:rsid w:val="0066201E"/>
    <w:rsid w:val="006620DD"/>
    <w:rsid w:val="00663C7C"/>
    <w:rsid w:val="0066535D"/>
    <w:rsid w:val="006664BA"/>
    <w:rsid w:val="006668D2"/>
    <w:rsid w:val="0067174C"/>
    <w:rsid w:val="00673558"/>
    <w:rsid w:val="00673A9C"/>
    <w:rsid w:val="00674437"/>
    <w:rsid w:val="006779BD"/>
    <w:rsid w:val="00677C9F"/>
    <w:rsid w:val="006801CC"/>
    <w:rsid w:val="00680C0D"/>
    <w:rsid w:val="00680EA4"/>
    <w:rsid w:val="006821F8"/>
    <w:rsid w:val="006834D3"/>
    <w:rsid w:val="00683545"/>
    <w:rsid w:val="00683548"/>
    <w:rsid w:val="00683B90"/>
    <w:rsid w:val="00683DFE"/>
    <w:rsid w:val="006841BD"/>
    <w:rsid w:val="0068476E"/>
    <w:rsid w:val="00685F07"/>
    <w:rsid w:val="006861E2"/>
    <w:rsid w:val="0068629B"/>
    <w:rsid w:val="006866EA"/>
    <w:rsid w:val="0068679A"/>
    <w:rsid w:val="00686942"/>
    <w:rsid w:val="0068773D"/>
    <w:rsid w:val="00687766"/>
    <w:rsid w:val="00687BA0"/>
    <w:rsid w:val="0069004B"/>
    <w:rsid w:val="00690758"/>
    <w:rsid w:val="0069116D"/>
    <w:rsid w:val="0069258C"/>
    <w:rsid w:val="00693521"/>
    <w:rsid w:val="00693970"/>
    <w:rsid w:val="006949F4"/>
    <w:rsid w:val="00696999"/>
    <w:rsid w:val="0069729C"/>
    <w:rsid w:val="006972D1"/>
    <w:rsid w:val="006A07A6"/>
    <w:rsid w:val="006A1D1C"/>
    <w:rsid w:val="006A2C93"/>
    <w:rsid w:val="006A3AF5"/>
    <w:rsid w:val="006A45CA"/>
    <w:rsid w:val="006A4B76"/>
    <w:rsid w:val="006A5357"/>
    <w:rsid w:val="006A6458"/>
    <w:rsid w:val="006A708F"/>
    <w:rsid w:val="006A7614"/>
    <w:rsid w:val="006A7643"/>
    <w:rsid w:val="006A7F01"/>
    <w:rsid w:val="006B1A15"/>
    <w:rsid w:val="006B2B51"/>
    <w:rsid w:val="006B2CB2"/>
    <w:rsid w:val="006B32B2"/>
    <w:rsid w:val="006B3AEB"/>
    <w:rsid w:val="006B3BA7"/>
    <w:rsid w:val="006B4392"/>
    <w:rsid w:val="006B446D"/>
    <w:rsid w:val="006B593F"/>
    <w:rsid w:val="006B67C7"/>
    <w:rsid w:val="006B6EAD"/>
    <w:rsid w:val="006C0BFF"/>
    <w:rsid w:val="006C0F54"/>
    <w:rsid w:val="006C1446"/>
    <w:rsid w:val="006C2D87"/>
    <w:rsid w:val="006C31F7"/>
    <w:rsid w:val="006C36C5"/>
    <w:rsid w:val="006C449A"/>
    <w:rsid w:val="006C5458"/>
    <w:rsid w:val="006C581B"/>
    <w:rsid w:val="006C7186"/>
    <w:rsid w:val="006D11F1"/>
    <w:rsid w:val="006D1C7F"/>
    <w:rsid w:val="006D250D"/>
    <w:rsid w:val="006D2C42"/>
    <w:rsid w:val="006D3252"/>
    <w:rsid w:val="006D3297"/>
    <w:rsid w:val="006D3E6E"/>
    <w:rsid w:val="006D5B64"/>
    <w:rsid w:val="006D6E24"/>
    <w:rsid w:val="006D7009"/>
    <w:rsid w:val="006D72BE"/>
    <w:rsid w:val="006D7508"/>
    <w:rsid w:val="006D7660"/>
    <w:rsid w:val="006D7CE0"/>
    <w:rsid w:val="006E1C43"/>
    <w:rsid w:val="006E39BD"/>
    <w:rsid w:val="006E48F5"/>
    <w:rsid w:val="006E4F58"/>
    <w:rsid w:val="006E6C74"/>
    <w:rsid w:val="006E7878"/>
    <w:rsid w:val="006E7D43"/>
    <w:rsid w:val="006E7D62"/>
    <w:rsid w:val="006F134D"/>
    <w:rsid w:val="006F1520"/>
    <w:rsid w:val="006F1AD0"/>
    <w:rsid w:val="006F212C"/>
    <w:rsid w:val="006F21F8"/>
    <w:rsid w:val="006F3C4E"/>
    <w:rsid w:val="006F4245"/>
    <w:rsid w:val="006F4DAB"/>
    <w:rsid w:val="006F5145"/>
    <w:rsid w:val="006F51BD"/>
    <w:rsid w:val="006F5B75"/>
    <w:rsid w:val="006F5E28"/>
    <w:rsid w:val="006F7D94"/>
    <w:rsid w:val="00700A04"/>
    <w:rsid w:val="007013FD"/>
    <w:rsid w:val="00701B5C"/>
    <w:rsid w:val="00702E56"/>
    <w:rsid w:val="007033A5"/>
    <w:rsid w:val="0070396B"/>
    <w:rsid w:val="0070555C"/>
    <w:rsid w:val="00705DAE"/>
    <w:rsid w:val="00705FAE"/>
    <w:rsid w:val="007070E2"/>
    <w:rsid w:val="00707B22"/>
    <w:rsid w:val="00711643"/>
    <w:rsid w:val="00711B5B"/>
    <w:rsid w:val="00712222"/>
    <w:rsid w:val="00712606"/>
    <w:rsid w:val="00713DA0"/>
    <w:rsid w:val="007143F9"/>
    <w:rsid w:val="0071571E"/>
    <w:rsid w:val="00717162"/>
    <w:rsid w:val="00720DE3"/>
    <w:rsid w:val="00721670"/>
    <w:rsid w:val="00721E95"/>
    <w:rsid w:val="00722738"/>
    <w:rsid w:val="007231F7"/>
    <w:rsid w:val="00723F5A"/>
    <w:rsid w:val="00724167"/>
    <w:rsid w:val="00725442"/>
    <w:rsid w:val="007260BB"/>
    <w:rsid w:val="0072679A"/>
    <w:rsid w:val="00727F61"/>
    <w:rsid w:val="007308AA"/>
    <w:rsid w:val="00730CA8"/>
    <w:rsid w:val="00730FBE"/>
    <w:rsid w:val="007312FF"/>
    <w:rsid w:val="00731614"/>
    <w:rsid w:val="00733597"/>
    <w:rsid w:val="00734006"/>
    <w:rsid w:val="007343E7"/>
    <w:rsid w:val="007350C0"/>
    <w:rsid w:val="00736AA8"/>
    <w:rsid w:val="0074022E"/>
    <w:rsid w:val="007421E3"/>
    <w:rsid w:val="0074266B"/>
    <w:rsid w:val="00744D57"/>
    <w:rsid w:val="00744E0D"/>
    <w:rsid w:val="00745B00"/>
    <w:rsid w:val="00745E0E"/>
    <w:rsid w:val="0074600E"/>
    <w:rsid w:val="00746596"/>
    <w:rsid w:val="00746C99"/>
    <w:rsid w:val="0074706A"/>
    <w:rsid w:val="00747A6A"/>
    <w:rsid w:val="00747EAA"/>
    <w:rsid w:val="00747F50"/>
    <w:rsid w:val="0075068F"/>
    <w:rsid w:val="007507A1"/>
    <w:rsid w:val="00750E66"/>
    <w:rsid w:val="00752A05"/>
    <w:rsid w:val="00753050"/>
    <w:rsid w:val="00753B98"/>
    <w:rsid w:val="00753D62"/>
    <w:rsid w:val="00753DB2"/>
    <w:rsid w:val="00753EAA"/>
    <w:rsid w:val="00754074"/>
    <w:rsid w:val="00754A51"/>
    <w:rsid w:val="00755544"/>
    <w:rsid w:val="007577AB"/>
    <w:rsid w:val="00757A44"/>
    <w:rsid w:val="00760553"/>
    <w:rsid w:val="007623A9"/>
    <w:rsid w:val="0076295D"/>
    <w:rsid w:val="00762EBE"/>
    <w:rsid w:val="00763FC6"/>
    <w:rsid w:val="00763FDD"/>
    <w:rsid w:val="007653A6"/>
    <w:rsid w:val="00766846"/>
    <w:rsid w:val="00766AE8"/>
    <w:rsid w:val="00767660"/>
    <w:rsid w:val="00767704"/>
    <w:rsid w:val="00767F14"/>
    <w:rsid w:val="007704F9"/>
    <w:rsid w:val="007714EA"/>
    <w:rsid w:val="00771981"/>
    <w:rsid w:val="00771B6E"/>
    <w:rsid w:val="007739EA"/>
    <w:rsid w:val="0077400E"/>
    <w:rsid w:val="00774DD2"/>
    <w:rsid w:val="00774EB2"/>
    <w:rsid w:val="00775FA7"/>
    <w:rsid w:val="007769F1"/>
    <w:rsid w:val="00777249"/>
    <w:rsid w:val="007813B5"/>
    <w:rsid w:val="00781553"/>
    <w:rsid w:val="00781F85"/>
    <w:rsid w:val="00782761"/>
    <w:rsid w:val="00782926"/>
    <w:rsid w:val="00782ABE"/>
    <w:rsid w:val="00782CAD"/>
    <w:rsid w:val="00782F09"/>
    <w:rsid w:val="007836E6"/>
    <w:rsid w:val="00783DE3"/>
    <w:rsid w:val="00784311"/>
    <w:rsid w:val="0078466D"/>
    <w:rsid w:val="00784A0F"/>
    <w:rsid w:val="00784C00"/>
    <w:rsid w:val="00786095"/>
    <w:rsid w:val="007860BA"/>
    <w:rsid w:val="007869C6"/>
    <w:rsid w:val="00790169"/>
    <w:rsid w:val="0079041A"/>
    <w:rsid w:val="007906B1"/>
    <w:rsid w:val="007909D7"/>
    <w:rsid w:val="0079297D"/>
    <w:rsid w:val="00793312"/>
    <w:rsid w:val="00794D8B"/>
    <w:rsid w:val="00794E11"/>
    <w:rsid w:val="00795AB7"/>
    <w:rsid w:val="00796026"/>
    <w:rsid w:val="00796260"/>
    <w:rsid w:val="0079758A"/>
    <w:rsid w:val="007A09FD"/>
    <w:rsid w:val="007A10C0"/>
    <w:rsid w:val="007A19C3"/>
    <w:rsid w:val="007A1DEE"/>
    <w:rsid w:val="007A1F37"/>
    <w:rsid w:val="007A332C"/>
    <w:rsid w:val="007A3D2C"/>
    <w:rsid w:val="007A4BDE"/>
    <w:rsid w:val="007A65BC"/>
    <w:rsid w:val="007A6B1D"/>
    <w:rsid w:val="007A7E6D"/>
    <w:rsid w:val="007B21B3"/>
    <w:rsid w:val="007B2518"/>
    <w:rsid w:val="007B4817"/>
    <w:rsid w:val="007B497B"/>
    <w:rsid w:val="007B5D2D"/>
    <w:rsid w:val="007B6380"/>
    <w:rsid w:val="007B6DDA"/>
    <w:rsid w:val="007B6DE6"/>
    <w:rsid w:val="007C0981"/>
    <w:rsid w:val="007C0CD6"/>
    <w:rsid w:val="007C23F6"/>
    <w:rsid w:val="007C4EA7"/>
    <w:rsid w:val="007C588B"/>
    <w:rsid w:val="007C6B0B"/>
    <w:rsid w:val="007C6C75"/>
    <w:rsid w:val="007C79D7"/>
    <w:rsid w:val="007D0698"/>
    <w:rsid w:val="007D06EB"/>
    <w:rsid w:val="007D1B96"/>
    <w:rsid w:val="007D1F43"/>
    <w:rsid w:val="007D4914"/>
    <w:rsid w:val="007D49D8"/>
    <w:rsid w:val="007D4EE3"/>
    <w:rsid w:val="007D56A5"/>
    <w:rsid w:val="007D59F7"/>
    <w:rsid w:val="007D6C4B"/>
    <w:rsid w:val="007D703D"/>
    <w:rsid w:val="007E0411"/>
    <w:rsid w:val="007E1A73"/>
    <w:rsid w:val="007E32F3"/>
    <w:rsid w:val="007E3783"/>
    <w:rsid w:val="007E5185"/>
    <w:rsid w:val="007E647B"/>
    <w:rsid w:val="007E6DBD"/>
    <w:rsid w:val="007E75E2"/>
    <w:rsid w:val="007F0232"/>
    <w:rsid w:val="007F0D01"/>
    <w:rsid w:val="007F0DDF"/>
    <w:rsid w:val="007F13CD"/>
    <w:rsid w:val="007F1E78"/>
    <w:rsid w:val="007F2246"/>
    <w:rsid w:val="007F2D8F"/>
    <w:rsid w:val="007F3EA4"/>
    <w:rsid w:val="007F401E"/>
    <w:rsid w:val="007F483F"/>
    <w:rsid w:val="007F5997"/>
    <w:rsid w:val="007F5BDD"/>
    <w:rsid w:val="007F5C20"/>
    <w:rsid w:val="007F714F"/>
    <w:rsid w:val="008008C5"/>
    <w:rsid w:val="00800E59"/>
    <w:rsid w:val="008022F4"/>
    <w:rsid w:val="008032A2"/>
    <w:rsid w:val="00803E5A"/>
    <w:rsid w:val="00804F8D"/>
    <w:rsid w:val="00805008"/>
    <w:rsid w:val="008052F4"/>
    <w:rsid w:val="00805945"/>
    <w:rsid w:val="00805F81"/>
    <w:rsid w:val="00806CF1"/>
    <w:rsid w:val="0080787D"/>
    <w:rsid w:val="00807B29"/>
    <w:rsid w:val="0081054A"/>
    <w:rsid w:val="008105CF"/>
    <w:rsid w:val="008123CB"/>
    <w:rsid w:val="008126F0"/>
    <w:rsid w:val="00814827"/>
    <w:rsid w:val="0081679F"/>
    <w:rsid w:val="0081724C"/>
    <w:rsid w:val="0081761E"/>
    <w:rsid w:val="00817B1A"/>
    <w:rsid w:val="00817EA2"/>
    <w:rsid w:val="00820516"/>
    <w:rsid w:val="0082064B"/>
    <w:rsid w:val="00820F00"/>
    <w:rsid w:val="00821715"/>
    <w:rsid w:val="00823B60"/>
    <w:rsid w:val="008244D1"/>
    <w:rsid w:val="00825DAD"/>
    <w:rsid w:val="0082646F"/>
    <w:rsid w:val="00827063"/>
    <w:rsid w:val="008277E7"/>
    <w:rsid w:val="00830491"/>
    <w:rsid w:val="008305A6"/>
    <w:rsid w:val="008315E6"/>
    <w:rsid w:val="00831D9A"/>
    <w:rsid w:val="008333C7"/>
    <w:rsid w:val="00833503"/>
    <w:rsid w:val="0083405B"/>
    <w:rsid w:val="008346EE"/>
    <w:rsid w:val="00834BED"/>
    <w:rsid w:val="008356F3"/>
    <w:rsid w:val="00835EC5"/>
    <w:rsid w:val="0083605B"/>
    <w:rsid w:val="00836128"/>
    <w:rsid w:val="00836904"/>
    <w:rsid w:val="00837572"/>
    <w:rsid w:val="00840110"/>
    <w:rsid w:val="008403F4"/>
    <w:rsid w:val="00840FD8"/>
    <w:rsid w:val="008415E3"/>
    <w:rsid w:val="00843A61"/>
    <w:rsid w:val="008441F7"/>
    <w:rsid w:val="008443B4"/>
    <w:rsid w:val="0084467A"/>
    <w:rsid w:val="00844ADD"/>
    <w:rsid w:val="008454BE"/>
    <w:rsid w:val="008454C9"/>
    <w:rsid w:val="00846551"/>
    <w:rsid w:val="00846A91"/>
    <w:rsid w:val="008519D6"/>
    <w:rsid w:val="008539C8"/>
    <w:rsid w:val="008546F1"/>
    <w:rsid w:val="00855471"/>
    <w:rsid w:val="00856E77"/>
    <w:rsid w:val="00857A7D"/>
    <w:rsid w:val="00860D14"/>
    <w:rsid w:val="00861F50"/>
    <w:rsid w:val="0086238E"/>
    <w:rsid w:val="00862C70"/>
    <w:rsid w:val="00865016"/>
    <w:rsid w:val="008658EE"/>
    <w:rsid w:val="008664B1"/>
    <w:rsid w:val="00866869"/>
    <w:rsid w:val="008708A3"/>
    <w:rsid w:val="008718F0"/>
    <w:rsid w:val="00872383"/>
    <w:rsid w:val="008734D1"/>
    <w:rsid w:val="008740F7"/>
    <w:rsid w:val="008743FC"/>
    <w:rsid w:val="00875300"/>
    <w:rsid w:val="00875427"/>
    <w:rsid w:val="0087557F"/>
    <w:rsid w:val="00875EB1"/>
    <w:rsid w:val="008763EB"/>
    <w:rsid w:val="008773E2"/>
    <w:rsid w:val="0088062A"/>
    <w:rsid w:val="0088091C"/>
    <w:rsid w:val="00881274"/>
    <w:rsid w:val="00881B11"/>
    <w:rsid w:val="00882D10"/>
    <w:rsid w:val="00882FA3"/>
    <w:rsid w:val="008841E0"/>
    <w:rsid w:val="008847C1"/>
    <w:rsid w:val="00884F89"/>
    <w:rsid w:val="00886228"/>
    <w:rsid w:val="00886B53"/>
    <w:rsid w:val="00887822"/>
    <w:rsid w:val="008879F4"/>
    <w:rsid w:val="00891C4E"/>
    <w:rsid w:val="00893B5E"/>
    <w:rsid w:val="00894B69"/>
    <w:rsid w:val="0089563F"/>
    <w:rsid w:val="0089652D"/>
    <w:rsid w:val="008966DC"/>
    <w:rsid w:val="00897CAA"/>
    <w:rsid w:val="00897E7A"/>
    <w:rsid w:val="008A04F5"/>
    <w:rsid w:val="008A136B"/>
    <w:rsid w:val="008A19A2"/>
    <w:rsid w:val="008A1BC4"/>
    <w:rsid w:val="008A271A"/>
    <w:rsid w:val="008A512D"/>
    <w:rsid w:val="008A61A3"/>
    <w:rsid w:val="008A64BC"/>
    <w:rsid w:val="008A64C3"/>
    <w:rsid w:val="008A6526"/>
    <w:rsid w:val="008A6B96"/>
    <w:rsid w:val="008A6F85"/>
    <w:rsid w:val="008A7187"/>
    <w:rsid w:val="008A759E"/>
    <w:rsid w:val="008B0E71"/>
    <w:rsid w:val="008B13B0"/>
    <w:rsid w:val="008B1CBC"/>
    <w:rsid w:val="008B3929"/>
    <w:rsid w:val="008B41A2"/>
    <w:rsid w:val="008B4D11"/>
    <w:rsid w:val="008B4F57"/>
    <w:rsid w:val="008B50FD"/>
    <w:rsid w:val="008B6376"/>
    <w:rsid w:val="008B6F20"/>
    <w:rsid w:val="008C132D"/>
    <w:rsid w:val="008C1C2E"/>
    <w:rsid w:val="008C213D"/>
    <w:rsid w:val="008C28F1"/>
    <w:rsid w:val="008C3660"/>
    <w:rsid w:val="008C3D5F"/>
    <w:rsid w:val="008C4711"/>
    <w:rsid w:val="008C5253"/>
    <w:rsid w:val="008C5868"/>
    <w:rsid w:val="008C67F0"/>
    <w:rsid w:val="008C753B"/>
    <w:rsid w:val="008D0E3F"/>
    <w:rsid w:val="008D262E"/>
    <w:rsid w:val="008D3A52"/>
    <w:rsid w:val="008D49B1"/>
    <w:rsid w:val="008D4B2A"/>
    <w:rsid w:val="008D4C74"/>
    <w:rsid w:val="008D586E"/>
    <w:rsid w:val="008D5E2E"/>
    <w:rsid w:val="008D6521"/>
    <w:rsid w:val="008D6924"/>
    <w:rsid w:val="008D6A90"/>
    <w:rsid w:val="008D6D9E"/>
    <w:rsid w:val="008D7FB5"/>
    <w:rsid w:val="008E41EC"/>
    <w:rsid w:val="008E4A1A"/>
    <w:rsid w:val="008E5E48"/>
    <w:rsid w:val="008E6892"/>
    <w:rsid w:val="008E7E92"/>
    <w:rsid w:val="008F05D8"/>
    <w:rsid w:val="008F0C94"/>
    <w:rsid w:val="008F119F"/>
    <w:rsid w:val="008F126F"/>
    <w:rsid w:val="008F23C4"/>
    <w:rsid w:val="008F2A68"/>
    <w:rsid w:val="008F2AEB"/>
    <w:rsid w:val="008F31F2"/>
    <w:rsid w:val="008F3C33"/>
    <w:rsid w:val="008F43DC"/>
    <w:rsid w:val="008F4E76"/>
    <w:rsid w:val="008F4EFD"/>
    <w:rsid w:val="008F5A93"/>
    <w:rsid w:val="008F60A3"/>
    <w:rsid w:val="008F6159"/>
    <w:rsid w:val="008F65EE"/>
    <w:rsid w:val="008F6BBE"/>
    <w:rsid w:val="008F7840"/>
    <w:rsid w:val="008F7F66"/>
    <w:rsid w:val="00900F26"/>
    <w:rsid w:val="00901015"/>
    <w:rsid w:val="009017CB"/>
    <w:rsid w:val="009021E1"/>
    <w:rsid w:val="00903091"/>
    <w:rsid w:val="00906EB0"/>
    <w:rsid w:val="00906FED"/>
    <w:rsid w:val="0090722D"/>
    <w:rsid w:val="00907D80"/>
    <w:rsid w:val="00910810"/>
    <w:rsid w:val="00911E23"/>
    <w:rsid w:val="009133A1"/>
    <w:rsid w:val="009142F7"/>
    <w:rsid w:val="009151C6"/>
    <w:rsid w:val="00915F90"/>
    <w:rsid w:val="00916377"/>
    <w:rsid w:val="0091638A"/>
    <w:rsid w:val="00916557"/>
    <w:rsid w:val="0091668F"/>
    <w:rsid w:val="00917FC0"/>
    <w:rsid w:val="00920313"/>
    <w:rsid w:val="009209CA"/>
    <w:rsid w:val="009225F2"/>
    <w:rsid w:val="0092267D"/>
    <w:rsid w:val="00922B11"/>
    <w:rsid w:val="00923683"/>
    <w:rsid w:val="00923DC2"/>
    <w:rsid w:val="0092511A"/>
    <w:rsid w:val="00925503"/>
    <w:rsid w:val="009256E9"/>
    <w:rsid w:val="00925CA6"/>
    <w:rsid w:val="00926043"/>
    <w:rsid w:val="0092666E"/>
    <w:rsid w:val="0092758B"/>
    <w:rsid w:val="00927F86"/>
    <w:rsid w:val="009316F6"/>
    <w:rsid w:val="00934CFB"/>
    <w:rsid w:val="00936124"/>
    <w:rsid w:val="0093663E"/>
    <w:rsid w:val="00936B31"/>
    <w:rsid w:val="00936FE0"/>
    <w:rsid w:val="009378D6"/>
    <w:rsid w:val="00940F69"/>
    <w:rsid w:val="0094125F"/>
    <w:rsid w:val="009424C2"/>
    <w:rsid w:val="009427D9"/>
    <w:rsid w:val="00943741"/>
    <w:rsid w:val="009449FE"/>
    <w:rsid w:val="00944A8F"/>
    <w:rsid w:val="0094786F"/>
    <w:rsid w:val="00947887"/>
    <w:rsid w:val="00947AEA"/>
    <w:rsid w:val="009507DA"/>
    <w:rsid w:val="00951964"/>
    <w:rsid w:val="00951A1F"/>
    <w:rsid w:val="009530B1"/>
    <w:rsid w:val="0095399E"/>
    <w:rsid w:val="00954050"/>
    <w:rsid w:val="0095520A"/>
    <w:rsid w:val="00955A50"/>
    <w:rsid w:val="00956443"/>
    <w:rsid w:val="0095671E"/>
    <w:rsid w:val="0095693C"/>
    <w:rsid w:val="00957093"/>
    <w:rsid w:val="009578FE"/>
    <w:rsid w:val="009624E6"/>
    <w:rsid w:val="009629A6"/>
    <w:rsid w:val="009639A9"/>
    <w:rsid w:val="00964206"/>
    <w:rsid w:val="00964C92"/>
    <w:rsid w:val="00965C60"/>
    <w:rsid w:val="00966BAD"/>
    <w:rsid w:val="00967892"/>
    <w:rsid w:val="00971175"/>
    <w:rsid w:val="00971D18"/>
    <w:rsid w:val="0097253D"/>
    <w:rsid w:val="00972A69"/>
    <w:rsid w:val="00972E0F"/>
    <w:rsid w:val="00973EB9"/>
    <w:rsid w:val="0097491B"/>
    <w:rsid w:val="009759B6"/>
    <w:rsid w:val="00977659"/>
    <w:rsid w:val="0098001C"/>
    <w:rsid w:val="00980EBB"/>
    <w:rsid w:val="00981313"/>
    <w:rsid w:val="009816BE"/>
    <w:rsid w:val="00981CEB"/>
    <w:rsid w:val="00982160"/>
    <w:rsid w:val="00982514"/>
    <w:rsid w:val="00982825"/>
    <w:rsid w:val="0098462D"/>
    <w:rsid w:val="0098463D"/>
    <w:rsid w:val="009846E5"/>
    <w:rsid w:val="0098470A"/>
    <w:rsid w:val="00984C04"/>
    <w:rsid w:val="00984E4A"/>
    <w:rsid w:val="00986178"/>
    <w:rsid w:val="009869DC"/>
    <w:rsid w:val="00987182"/>
    <w:rsid w:val="00987205"/>
    <w:rsid w:val="00987D7F"/>
    <w:rsid w:val="00987F87"/>
    <w:rsid w:val="0099035C"/>
    <w:rsid w:val="00990D39"/>
    <w:rsid w:val="009910BB"/>
    <w:rsid w:val="00993255"/>
    <w:rsid w:val="00994AA8"/>
    <w:rsid w:val="00994F6C"/>
    <w:rsid w:val="009957FE"/>
    <w:rsid w:val="00995DD3"/>
    <w:rsid w:val="00997FA6"/>
    <w:rsid w:val="009A0936"/>
    <w:rsid w:val="009A1349"/>
    <w:rsid w:val="009A2B00"/>
    <w:rsid w:val="009A2C60"/>
    <w:rsid w:val="009A3478"/>
    <w:rsid w:val="009A3655"/>
    <w:rsid w:val="009A3A59"/>
    <w:rsid w:val="009A4EB4"/>
    <w:rsid w:val="009A581C"/>
    <w:rsid w:val="009A6368"/>
    <w:rsid w:val="009A7342"/>
    <w:rsid w:val="009A768D"/>
    <w:rsid w:val="009B1B74"/>
    <w:rsid w:val="009B2528"/>
    <w:rsid w:val="009B2574"/>
    <w:rsid w:val="009B3119"/>
    <w:rsid w:val="009B366E"/>
    <w:rsid w:val="009B4630"/>
    <w:rsid w:val="009B5951"/>
    <w:rsid w:val="009B5C9A"/>
    <w:rsid w:val="009B630D"/>
    <w:rsid w:val="009B6A35"/>
    <w:rsid w:val="009C03F4"/>
    <w:rsid w:val="009C04D4"/>
    <w:rsid w:val="009C06E8"/>
    <w:rsid w:val="009C14EB"/>
    <w:rsid w:val="009C217E"/>
    <w:rsid w:val="009C3F52"/>
    <w:rsid w:val="009C40AA"/>
    <w:rsid w:val="009C5251"/>
    <w:rsid w:val="009C548C"/>
    <w:rsid w:val="009C585B"/>
    <w:rsid w:val="009C5895"/>
    <w:rsid w:val="009C6115"/>
    <w:rsid w:val="009C6B5D"/>
    <w:rsid w:val="009C6F5C"/>
    <w:rsid w:val="009C70AB"/>
    <w:rsid w:val="009D047A"/>
    <w:rsid w:val="009D1B4E"/>
    <w:rsid w:val="009D1C24"/>
    <w:rsid w:val="009D2A9A"/>
    <w:rsid w:val="009D3055"/>
    <w:rsid w:val="009D3F1F"/>
    <w:rsid w:val="009D4D86"/>
    <w:rsid w:val="009D56FF"/>
    <w:rsid w:val="009D620F"/>
    <w:rsid w:val="009D7A8F"/>
    <w:rsid w:val="009D7B33"/>
    <w:rsid w:val="009E08C2"/>
    <w:rsid w:val="009E0EBE"/>
    <w:rsid w:val="009E25F4"/>
    <w:rsid w:val="009E3B14"/>
    <w:rsid w:val="009E3B9F"/>
    <w:rsid w:val="009E4269"/>
    <w:rsid w:val="009E4902"/>
    <w:rsid w:val="009E52BB"/>
    <w:rsid w:val="009E55D0"/>
    <w:rsid w:val="009E754B"/>
    <w:rsid w:val="009E7C24"/>
    <w:rsid w:val="009F1C9A"/>
    <w:rsid w:val="009F2756"/>
    <w:rsid w:val="009F2FB3"/>
    <w:rsid w:val="009F3D76"/>
    <w:rsid w:val="009F47F6"/>
    <w:rsid w:val="009F57C5"/>
    <w:rsid w:val="009F5B73"/>
    <w:rsid w:val="009F6D0B"/>
    <w:rsid w:val="00A010ED"/>
    <w:rsid w:val="00A02451"/>
    <w:rsid w:val="00A04448"/>
    <w:rsid w:val="00A046CD"/>
    <w:rsid w:val="00A04B34"/>
    <w:rsid w:val="00A06129"/>
    <w:rsid w:val="00A070A7"/>
    <w:rsid w:val="00A07AD9"/>
    <w:rsid w:val="00A105CD"/>
    <w:rsid w:val="00A105D3"/>
    <w:rsid w:val="00A10804"/>
    <w:rsid w:val="00A10AA5"/>
    <w:rsid w:val="00A10DD4"/>
    <w:rsid w:val="00A10E7D"/>
    <w:rsid w:val="00A11706"/>
    <w:rsid w:val="00A11BA9"/>
    <w:rsid w:val="00A12794"/>
    <w:rsid w:val="00A1344D"/>
    <w:rsid w:val="00A1421E"/>
    <w:rsid w:val="00A15774"/>
    <w:rsid w:val="00A16A13"/>
    <w:rsid w:val="00A17AAB"/>
    <w:rsid w:val="00A20760"/>
    <w:rsid w:val="00A21369"/>
    <w:rsid w:val="00A21B56"/>
    <w:rsid w:val="00A229CE"/>
    <w:rsid w:val="00A22D18"/>
    <w:rsid w:val="00A22E59"/>
    <w:rsid w:val="00A23957"/>
    <w:rsid w:val="00A2496D"/>
    <w:rsid w:val="00A26D8B"/>
    <w:rsid w:val="00A26E20"/>
    <w:rsid w:val="00A278F0"/>
    <w:rsid w:val="00A305F1"/>
    <w:rsid w:val="00A31C23"/>
    <w:rsid w:val="00A32638"/>
    <w:rsid w:val="00A32747"/>
    <w:rsid w:val="00A32EA3"/>
    <w:rsid w:val="00A32FE1"/>
    <w:rsid w:val="00A337D2"/>
    <w:rsid w:val="00A33F5E"/>
    <w:rsid w:val="00A345AD"/>
    <w:rsid w:val="00A347F4"/>
    <w:rsid w:val="00A352CD"/>
    <w:rsid w:val="00A36E45"/>
    <w:rsid w:val="00A377D1"/>
    <w:rsid w:val="00A37D0D"/>
    <w:rsid w:val="00A405A0"/>
    <w:rsid w:val="00A40797"/>
    <w:rsid w:val="00A41337"/>
    <w:rsid w:val="00A416D7"/>
    <w:rsid w:val="00A433D8"/>
    <w:rsid w:val="00A446D5"/>
    <w:rsid w:val="00A44DC4"/>
    <w:rsid w:val="00A45C76"/>
    <w:rsid w:val="00A45EAC"/>
    <w:rsid w:val="00A45F50"/>
    <w:rsid w:val="00A46E97"/>
    <w:rsid w:val="00A46FE8"/>
    <w:rsid w:val="00A47265"/>
    <w:rsid w:val="00A47D40"/>
    <w:rsid w:val="00A47F8E"/>
    <w:rsid w:val="00A50A85"/>
    <w:rsid w:val="00A50CFE"/>
    <w:rsid w:val="00A510E2"/>
    <w:rsid w:val="00A51BAC"/>
    <w:rsid w:val="00A52A0E"/>
    <w:rsid w:val="00A52A4D"/>
    <w:rsid w:val="00A53846"/>
    <w:rsid w:val="00A54831"/>
    <w:rsid w:val="00A56562"/>
    <w:rsid w:val="00A577C8"/>
    <w:rsid w:val="00A57C8D"/>
    <w:rsid w:val="00A57CB9"/>
    <w:rsid w:val="00A57D27"/>
    <w:rsid w:val="00A57E8E"/>
    <w:rsid w:val="00A605A9"/>
    <w:rsid w:val="00A609DB"/>
    <w:rsid w:val="00A61361"/>
    <w:rsid w:val="00A613C9"/>
    <w:rsid w:val="00A62BD6"/>
    <w:rsid w:val="00A64264"/>
    <w:rsid w:val="00A6542C"/>
    <w:rsid w:val="00A65EFF"/>
    <w:rsid w:val="00A665D8"/>
    <w:rsid w:val="00A6680E"/>
    <w:rsid w:val="00A66EF1"/>
    <w:rsid w:val="00A7028E"/>
    <w:rsid w:val="00A70926"/>
    <w:rsid w:val="00A7303A"/>
    <w:rsid w:val="00A732EA"/>
    <w:rsid w:val="00A74364"/>
    <w:rsid w:val="00A74384"/>
    <w:rsid w:val="00A76440"/>
    <w:rsid w:val="00A76EFD"/>
    <w:rsid w:val="00A77428"/>
    <w:rsid w:val="00A7745F"/>
    <w:rsid w:val="00A77598"/>
    <w:rsid w:val="00A835D3"/>
    <w:rsid w:val="00A8486B"/>
    <w:rsid w:val="00A84B21"/>
    <w:rsid w:val="00A85FF7"/>
    <w:rsid w:val="00A871C9"/>
    <w:rsid w:val="00A87C1A"/>
    <w:rsid w:val="00A90CE2"/>
    <w:rsid w:val="00A90EA2"/>
    <w:rsid w:val="00A90F98"/>
    <w:rsid w:val="00A9199F"/>
    <w:rsid w:val="00A93D07"/>
    <w:rsid w:val="00A96938"/>
    <w:rsid w:val="00AA0209"/>
    <w:rsid w:val="00AA0A19"/>
    <w:rsid w:val="00AA0B79"/>
    <w:rsid w:val="00AA0DCA"/>
    <w:rsid w:val="00AA14FB"/>
    <w:rsid w:val="00AA267B"/>
    <w:rsid w:val="00AA2983"/>
    <w:rsid w:val="00AA2A27"/>
    <w:rsid w:val="00AA2F3B"/>
    <w:rsid w:val="00AA3A52"/>
    <w:rsid w:val="00AA3D40"/>
    <w:rsid w:val="00AA3FC6"/>
    <w:rsid w:val="00AA4679"/>
    <w:rsid w:val="00AA4762"/>
    <w:rsid w:val="00AA5515"/>
    <w:rsid w:val="00AA67B7"/>
    <w:rsid w:val="00AB066A"/>
    <w:rsid w:val="00AB0F63"/>
    <w:rsid w:val="00AB1679"/>
    <w:rsid w:val="00AB1BA4"/>
    <w:rsid w:val="00AB1BBC"/>
    <w:rsid w:val="00AB22BA"/>
    <w:rsid w:val="00AB4502"/>
    <w:rsid w:val="00AB4952"/>
    <w:rsid w:val="00AB5001"/>
    <w:rsid w:val="00AB54C4"/>
    <w:rsid w:val="00AB5D29"/>
    <w:rsid w:val="00AB68AE"/>
    <w:rsid w:val="00AB6AF7"/>
    <w:rsid w:val="00AB6C6B"/>
    <w:rsid w:val="00AC0043"/>
    <w:rsid w:val="00AC07C2"/>
    <w:rsid w:val="00AC07EB"/>
    <w:rsid w:val="00AC1404"/>
    <w:rsid w:val="00AC1C23"/>
    <w:rsid w:val="00AC2270"/>
    <w:rsid w:val="00AC2EB3"/>
    <w:rsid w:val="00AC4705"/>
    <w:rsid w:val="00AC6104"/>
    <w:rsid w:val="00AC63C1"/>
    <w:rsid w:val="00AC7328"/>
    <w:rsid w:val="00AD0F91"/>
    <w:rsid w:val="00AD1A1A"/>
    <w:rsid w:val="00AD1FF8"/>
    <w:rsid w:val="00AD2650"/>
    <w:rsid w:val="00AD4539"/>
    <w:rsid w:val="00AD49EC"/>
    <w:rsid w:val="00AD5D9E"/>
    <w:rsid w:val="00AD5DFF"/>
    <w:rsid w:val="00AD6798"/>
    <w:rsid w:val="00AD7172"/>
    <w:rsid w:val="00AD7A35"/>
    <w:rsid w:val="00AD7AD0"/>
    <w:rsid w:val="00AD7B17"/>
    <w:rsid w:val="00AD7D8A"/>
    <w:rsid w:val="00AD7EB9"/>
    <w:rsid w:val="00AE004E"/>
    <w:rsid w:val="00AE0A2E"/>
    <w:rsid w:val="00AE16E5"/>
    <w:rsid w:val="00AE17E7"/>
    <w:rsid w:val="00AE2779"/>
    <w:rsid w:val="00AE3659"/>
    <w:rsid w:val="00AE37EE"/>
    <w:rsid w:val="00AE61F9"/>
    <w:rsid w:val="00AE73FB"/>
    <w:rsid w:val="00AE7965"/>
    <w:rsid w:val="00AE7E1F"/>
    <w:rsid w:val="00AF0F40"/>
    <w:rsid w:val="00AF1846"/>
    <w:rsid w:val="00AF2784"/>
    <w:rsid w:val="00AF2969"/>
    <w:rsid w:val="00AF2CA0"/>
    <w:rsid w:val="00AF2CD9"/>
    <w:rsid w:val="00AF30F3"/>
    <w:rsid w:val="00AF387C"/>
    <w:rsid w:val="00AF3B79"/>
    <w:rsid w:val="00AF403C"/>
    <w:rsid w:val="00AF459E"/>
    <w:rsid w:val="00AF4AD6"/>
    <w:rsid w:val="00AF548A"/>
    <w:rsid w:val="00AF5747"/>
    <w:rsid w:val="00AF6A7D"/>
    <w:rsid w:val="00AF6E85"/>
    <w:rsid w:val="00AF7219"/>
    <w:rsid w:val="00AF752D"/>
    <w:rsid w:val="00B005C0"/>
    <w:rsid w:val="00B01B0A"/>
    <w:rsid w:val="00B01EEA"/>
    <w:rsid w:val="00B020E4"/>
    <w:rsid w:val="00B0342C"/>
    <w:rsid w:val="00B03F47"/>
    <w:rsid w:val="00B069EB"/>
    <w:rsid w:val="00B06DA5"/>
    <w:rsid w:val="00B074DA"/>
    <w:rsid w:val="00B10250"/>
    <w:rsid w:val="00B11841"/>
    <w:rsid w:val="00B12265"/>
    <w:rsid w:val="00B12FA8"/>
    <w:rsid w:val="00B14966"/>
    <w:rsid w:val="00B169D5"/>
    <w:rsid w:val="00B1708B"/>
    <w:rsid w:val="00B177E9"/>
    <w:rsid w:val="00B17D2E"/>
    <w:rsid w:val="00B202FF"/>
    <w:rsid w:val="00B20519"/>
    <w:rsid w:val="00B21BBA"/>
    <w:rsid w:val="00B2247D"/>
    <w:rsid w:val="00B232DF"/>
    <w:rsid w:val="00B243FA"/>
    <w:rsid w:val="00B24978"/>
    <w:rsid w:val="00B25E4D"/>
    <w:rsid w:val="00B271FB"/>
    <w:rsid w:val="00B2744B"/>
    <w:rsid w:val="00B304BC"/>
    <w:rsid w:val="00B30F3C"/>
    <w:rsid w:val="00B3152F"/>
    <w:rsid w:val="00B32369"/>
    <w:rsid w:val="00B329D3"/>
    <w:rsid w:val="00B33048"/>
    <w:rsid w:val="00B334E1"/>
    <w:rsid w:val="00B350B8"/>
    <w:rsid w:val="00B350D5"/>
    <w:rsid w:val="00B35E50"/>
    <w:rsid w:val="00B36C19"/>
    <w:rsid w:val="00B36CF2"/>
    <w:rsid w:val="00B37725"/>
    <w:rsid w:val="00B37CB0"/>
    <w:rsid w:val="00B40C17"/>
    <w:rsid w:val="00B40D8D"/>
    <w:rsid w:val="00B40DE1"/>
    <w:rsid w:val="00B40FA8"/>
    <w:rsid w:val="00B426A1"/>
    <w:rsid w:val="00B429CB"/>
    <w:rsid w:val="00B433D0"/>
    <w:rsid w:val="00B436CE"/>
    <w:rsid w:val="00B44A6E"/>
    <w:rsid w:val="00B47D10"/>
    <w:rsid w:val="00B5040E"/>
    <w:rsid w:val="00B50513"/>
    <w:rsid w:val="00B5188C"/>
    <w:rsid w:val="00B519E4"/>
    <w:rsid w:val="00B51A32"/>
    <w:rsid w:val="00B51D8C"/>
    <w:rsid w:val="00B51F6B"/>
    <w:rsid w:val="00B52527"/>
    <w:rsid w:val="00B52751"/>
    <w:rsid w:val="00B527D9"/>
    <w:rsid w:val="00B52D84"/>
    <w:rsid w:val="00B532DD"/>
    <w:rsid w:val="00B53878"/>
    <w:rsid w:val="00B53BA8"/>
    <w:rsid w:val="00B53C04"/>
    <w:rsid w:val="00B542AB"/>
    <w:rsid w:val="00B55135"/>
    <w:rsid w:val="00B55522"/>
    <w:rsid w:val="00B57976"/>
    <w:rsid w:val="00B57BEC"/>
    <w:rsid w:val="00B60165"/>
    <w:rsid w:val="00B60C4A"/>
    <w:rsid w:val="00B615D5"/>
    <w:rsid w:val="00B619E2"/>
    <w:rsid w:val="00B63D99"/>
    <w:rsid w:val="00B64B40"/>
    <w:rsid w:val="00B65588"/>
    <w:rsid w:val="00B67895"/>
    <w:rsid w:val="00B70488"/>
    <w:rsid w:val="00B706DC"/>
    <w:rsid w:val="00B7070C"/>
    <w:rsid w:val="00B709DA"/>
    <w:rsid w:val="00B70C5F"/>
    <w:rsid w:val="00B7111E"/>
    <w:rsid w:val="00B73D3B"/>
    <w:rsid w:val="00B75021"/>
    <w:rsid w:val="00B75D22"/>
    <w:rsid w:val="00B7639A"/>
    <w:rsid w:val="00B76667"/>
    <w:rsid w:val="00B77C1A"/>
    <w:rsid w:val="00B77CE4"/>
    <w:rsid w:val="00B77D08"/>
    <w:rsid w:val="00B80C39"/>
    <w:rsid w:val="00B810E3"/>
    <w:rsid w:val="00B81724"/>
    <w:rsid w:val="00B81EAA"/>
    <w:rsid w:val="00B83EEE"/>
    <w:rsid w:val="00B83F8E"/>
    <w:rsid w:val="00B85275"/>
    <w:rsid w:val="00B85AF4"/>
    <w:rsid w:val="00B85C07"/>
    <w:rsid w:val="00B85CEC"/>
    <w:rsid w:val="00B85E6C"/>
    <w:rsid w:val="00B86F54"/>
    <w:rsid w:val="00B87D59"/>
    <w:rsid w:val="00B901EC"/>
    <w:rsid w:val="00B90661"/>
    <w:rsid w:val="00B906C6"/>
    <w:rsid w:val="00B91189"/>
    <w:rsid w:val="00B91B4B"/>
    <w:rsid w:val="00B921B6"/>
    <w:rsid w:val="00B9235D"/>
    <w:rsid w:val="00B949C3"/>
    <w:rsid w:val="00B9568D"/>
    <w:rsid w:val="00B960F7"/>
    <w:rsid w:val="00B962DD"/>
    <w:rsid w:val="00B96897"/>
    <w:rsid w:val="00B96CE0"/>
    <w:rsid w:val="00B978B7"/>
    <w:rsid w:val="00B97911"/>
    <w:rsid w:val="00BA186E"/>
    <w:rsid w:val="00BA226D"/>
    <w:rsid w:val="00BA2E64"/>
    <w:rsid w:val="00BA2FC3"/>
    <w:rsid w:val="00BA3430"/>
    <w:rsid w:val="00BA35CE"/>
    <w:rsid w:val="00BA3B4C"/>
    <w:rsid w:val="00BA3DB3"/>
    <w:rsid w:val="00BA43F3"/>
    <w:rsid w:val="00BA4404"/>
    <w:rsid w:val="00BA494D"/>
    <w:rsid w:val="00BA4ECB"/>
    <w:rsid w:val="00BA5399"/>
    <w:rsid w:val="00BA7327"/>
    <w:rsid w:val="00BA772B"/>
    <w:rsid w:val="00BB0211"/>
    <w:rsid w:val="00BB1A62"/>
    <w:rsid w:val="00BB25AA"/>
    <w:rsid w:val="00BB2FEF"/>
    <w:rsid w:val="00BB3C4B"/>
    <w:rsid w:val="00BB427B"/>
    <w:rsid w:val="00BB4E05"/>
    <w:rsid w:val="00BB6292"/>
    <w:rsid w:val="00BB6A7B"/>
    <w:rsid w:val="00BB752F"/>
    <w:rsid w:val="00BC08FF"/>
    <w:rsid w:val="00BC14FB"/>
    <w:rsid w:val="00BC1C64"/>
    <w:rsid w:val="00BC2004"/>
    <w:rsid w:val="00BC299A"/>
    <w:rsid w:val="00BC35F2"/>
    <w:rsid w:val="00BC3C70"/>
    <w:rsid w:val="00BC4B9E"/>
    <w:rsid w:val="00BC50B7"/>
    <w:rsid w:val="00BC51DC"/>
    <w:rsid w:val="00BC5886"/>
    <w:rsid w:val="00BC5A31"/>
    <w:rsid w:val="00BC6485"/>
    <w:rsid w:val="00BC6A76"/>
    <w:rsid w:val="00BC6DB7"/>
    <w:rsid w:val="00BC7901"/>
    <w:rsid w:val="00BC7B6E"/>
    <w:rsid w:val="00BD05DD"/>
    <w:rsid w:val="00BD1599"/>
    <w:rsid w:val="00BD19EA"/>
    <w:rsid w:val="00BD38E5"/>
    <w:rsid w:val="00BD5169"/>
    <w:rsid w:val="00BD51B1"/>
    <w:rsid w:val="00BD6F72"/>
    <w:rsid w:val="00BD6FEC"/>
    <w:rsid w:val="00BD7886"/>
    <w:rsid w:val="00BE0BA2"/>
    <w:rsid w:val="00BE1ED6"/>
    <w:rsid w:val="00BE2438"/>
    <w:rsid w:val="00BE2C8C"/>
    <w:rsid w:val="00BE2F01"/>
    <w:rsid w:val="00BE443E"/>
    <w:rsid w:val="00BE455A"/>
    <w:rsid w:val="00BE45C5"/>
    <w:rsid w:val="00BE515D"/>
    <w:rsid w:val="00BE5E27"/>
    <w:rsid w:val="00BE6037"/>
    <w:rsid w:val="00BE67FF"/>
    <w:rsid w:val="00BF00BA"/>
    <w:rsid w:val="00BF094C"/>
    <w:rsid w:val="00BF0E56"/>
    <w:rsid w:val="00BF240D"/>
    <w:rsid w:val="00BF2A0E"/>
    <w:rsid w:val="00BF325C"/>
    <w:rsid w:val="00BF4A7A"/>
    <w:rsid w:val="00BF5025"/>
    <w:rsid w:val="00BF51D2"/>
    <w:rsid w:val="00BF55D4"/>
    <w:rsid w:val="00BF6305"/>
    <w:rsid w:val="00C00DE5"/>
    <w:rsid w:val="00C024C4"/>
    <w:rsid w:val="00C03213"/>
    <w:rsid w:val="00C0404A"/>
    <w:rsid w:val="00C04622"/>
    <w:rsid w:val="00C04F6B"/>
    <w:rsid w:val="00C065A2"/>
    <w:rsid w:val="00C06D7F"/>
    <w:rsid w:val="00C06D9C"/>
    <w:rsid w:val="00C10219"/>
    <w:rsid w:val="00C10432"/>
    <w:rsid w:val="00C126AF"/>
    <w:rsid w:val="00C14CEB"/>
    <w:rsid w:val="00C14F1F"/>
    <w:rsid w:val="00C158DC"/>
    <w:rsid w:val="00C15CA8"/>
    <w:rsid w:val="00C15DD7"/>
    <w:rsid w:val="00C170A5"/>
    <w:rsid w:val="00C171AE"/>
    <w:rsid w:val="00C20C5D"/>
    <w:rsid w:val="00C20E74"/>
    <w:rsid w:val="00C215D2"/>
    <w:rsid w:val="00C223D2"/>
    <w:rsid w:val="00C225D9"/>
    <w:rsid w:val="00C22F79"/>
    <w:rsid w:val="00C23A5B"/>
    <w:rsid w:val="00C243F7"/>
    <w:rsid w:val="00C2440C"/>
    <w:rsid w:val="00C245BB"/>
    <w:rsid w:val="00C24E93"/>
    <w:rsid w:val="00C26E36"/>
    <w:rsid w:val="00C30211"/>
    <w:rsid w:val="00C30551"/>
    <w:rsid w:val="00C30617"/>
    <w:rsid w:val="00C311D9"/>
    <w:rsid w:val="00C315E6"/>
    <w:rsid w:val="00C3245D"/>
    <w:rsid w:val="00C345F5"/>
    <w:rsid w:val="00C351A5"/>
    <w:rsid w:val="00C351F7"/>
    <w:rsid w:val="00C35B47"/>
    <w:rsid w:val="00C361C8"/>
    <w:rsid w:val="00C369AD"/>
    <w:rsid w:val="00C370C0"/>
    <w:rsid w:val="00C40B2C"/>
    <w:rsid w:val="00C41B68"/>
    <w:rsid w:val="00C42D4A"/>
    <w:rsid w:val="00C46FFB"/>
    <w:rsid w:val="00C471EF"/>
    <w:rsid w:val="00C5073A"/>
    <w:rsid w:val="00C50BA6"/>
    <w:rsid w:val="00C51627"/>
    <w:rsid w:val="00C52FE1"/>
    <w:rsid w:val="00C53F07"/>
    <w:rsid w:val="00C54885"/>
    <w:rsid w:val="00C553EA"/>
    <w:rsid w:val="00C55FB0"/>
    <w:rsid w:val="00C56828"/>
    <w:rsid w:val="00C6116B"/>
    <w:rsid w:val="00C62493"/>
    <w:rsid w:val="00C62833"/>
    <w:rsid w:val="00C646E1"/>
    <w:rsid w:val="00C65282"/>
    <w:rsid w:val="00C658E9"/>
    <w:rsid w:val="00C6661C"/>
    <w:rsid w:val="00C66E1B"/>
    <w:rsid w:val="00C70B5B"/>
    <w:rsid w:val="00C70B70"/>
    <w:rsid w:val="00C71493"/>
    <w:rsid w:val="00C7247D"/>
    <w:rsid w:val="00C73A81"/>
    <w:rsid w:val="00C74126"/>
    <w:rsid w:val="00C75224"/>
    <w:rsid w:val="00C75946"/>
    <w:rsid w:val="00C761AD"/>
    <w:rsid w:val="00C76364"/>
    <w:rsid w:val="00C76478"/>
    <w:rsid w:val="00C765E3"/>
    <w:rsid w:val="00C76F5B"/>
    <w:rsid w:val="00C772AF"/>
    <w:rsid w:val="00C77E15"/>
    <w:rsid w:val="00C814F0"/>
    <w:rsid w:val="00C816FF"/>
    <w:rsid w:val="00C819BB"/>
    <w:rsid w:val="00C81DE8"/>
    <w:rsid w:val="00C820A3"/>
    <w:rsid w:val="00C82272"/>
    <w:rsid w:val="00C824D8"/>
    <w:rsid w:val="00C82DDE"/>
    <w:rsid w:val="00C840D0"/>
    <w:rsid w:val="00C842EC"/>
    <w:rsid w:val="00C845AB"/>
    <w:rsid w:val="00C867C7"/>
    <w:rsid w:val="00C8748F"/>
    <w:rsid w:val="00C877B4"/>
    <w:rsid w:val="00C87F37"/>
    <w:rsid w:val="00C9008D"/>
    <w:rsid w:val="00C900D6"/>
    <w:rsid w:val="00C92135"/>
    <w:rsid w:val="00C93AB7"/>
    <w:rsid w:val="00C9528B"/>
    <w:rsid w:val="00C96838"/>
    <w:rsid w:val="00C96C10"/>
    <w:rsid w:val="00CA0D51"/>
    <w:rsid w:val="00CA1305"/>
    <w:rsid w:val="00CA163C"/>
    <w:rsid w:val="00CA30AC"/>
    <w:rsid w:val="00CA312C"/>
    <w:rsid w:val="00CA32DC"/>
    <w:rsid w:val="00CA4AAD"/>
    <w:rsid w:val="00CA547B"/>
    <w:rsid w:val="00CA54A1"/>
    <w:rsid w:val="00CA7653"/>
    <w:rsid w:val="00CA7909"/>
    <w:rsid w:val="00CB1A9C"/>
    <w:rsid w:val="00CB1ACA"/>
    <w:rsid w:val="00CB1DD1"/>
    <w:rsid w:val="00CB26EF"/>
    <w:rsid w:val="00CB2882"/>
    <w:rsid w:val="00CB3144"/>
    <w:rsid w:val="00CB3663"/>
    <w:rsid w:val="00CB36E1"/>
    <w:rsid w:val="00CB4528"/>
    <w:rsid w:val="00CB488F"/>
    <w:rsid w:val="00CB53EC"/>
    <w:rsid w:val="00CB76F7"/>
    <w:rsid w:val="00CC0C91"/>
    <w:rsid w:val="00CC0D14"/>
    <w:rsid w:val="00CC2ACF"/>
    <w:rsid w:val="00CC2DC6"/>
    <w:rsid w:val="00CC3A60"/>
    <w:rsid w:val="00CC46A2"/>
    <w:rsid w:val="00CC5B34"/>
    <w:rsid w:val="00CC5CEC"/>
    <w:rsid w:val="00CC7106"/>
    <w:rsid w:val="00CD00B0"/>
    <w:rsid w:val="00CD0303"/>
    <w:rsid w:val="00CD05B9"/>
    <w:rsid w:val="00CD0865"/>
    <w:rsid w:val="00CD0ED1"/>
    <w:rsid w:val="00CD1037"/>
    <w:rsid w:val="00CD112F"/>
    <w:rsid w:val="00CD19F7"/>
    <w:rsid w:val="00CD242B"/>
    <w:rsid w:val="00CD3670"/>
    <w:rsid w:val="00CD4102"/>
    <w:rsid w:val="00CD4DE9"/>
    <w:rsid w:val="00CD4FC0"/>
    <w:rsid w:val="00CD58EB"/>
    <w:rsid w:val="00CE0635"/>
    <w:rsid w:val="00CE29AD"/>
    <w:rsid w:val="00CE342B"/>
    <w:rsid w:val="00CE3B9A"/>
    <w:rsid w:val="00CE4C88"/>
    <w:rsid w:val="00CE7583"/>
    <w:rsid w:val="00CE796C"/>
    <w:rsid w:val="00CE7B4F"/>
    <w:rsid w:val="00CE7D40"/>
    <w:rsid w:val="00CF0364"/>
    <w:rsid w:val="00CF041E"/>
    <w:rsid w:val="00CF0726"/>
    <w:rsid w:val="00CF1452"/>
    <w:rsid w:val="00CF154B"/>
    <w:rsid w:val="00CF15D0"/>
    <w:rsid w:val="00CF2955"/>
    <w:rsid w:val="00CF298A"/>
    <w:rsid w:val="00CF343B"/>
    <w:rsid w:val="00CF37A1"/>
    <w:rsid w:val="00CF38BB"/>
    <w:rsid w:val="00CF41B7"/>
    <w:rsid w:val="00CF4B93"/>
    <w:rsid w:val="00CF690B"/>
    <w:rsid w:val="00CF7357"/>
    <w:rsid w:val="00CF74BA"/>
    <w:rsid w:val="00CF7987"/>
    <w:rsid w:val="00D00214"/>
    <w:rsid w:val="00D00912"/>
    <w:rsid w:val="00D00B99"/>
    <w:rsid w:val="00D01CB4"/>
    <w:rsid w:val="00D01F4B"/>
    <w:rsid w:val="00D02191"/>
    <w:rsid w:val="00D05CC4"/>
    <w:rsid w:val="00D07FC6"/>
    <w:rsid w:val="00D1043F"/>
    <w:rsid w:val="00D10C07"/>
    <w:rsid w:val="00D151F8"/>
    <w:rsid w:val="00D15919"/>
    <w:rsid w:val="00D15D33"/>
    <w:rsid w:val="00D16F1E"/>
    <w:rsid w:val="00D16F8B"/>
    <w:rsid w:val="00D171DC"/>
    <w:rsid w:val="00D173B8"/>
    <w:rsid w:val="00D175CD"/>
    <w:rsid w:val="00D17607"/>
    <w:rsid w:val="00D2011C"/>
    <w:rsid w:val="00D20B62"/>
    <w:rsid w:val="00D20FD0"/>
    <w:rsid w:val="00D20FE8"/>
    <w:rsid w:val="00D22137"/>
    <w:rsid w:val="00D22C41"/>
    <w:rsid w:val="00D23302"/>
    <w:rsid w:val="00D24B20"/>
    <w:rsid w:val="00D24B36"/>
    <w:rsid w:val="00D25493"/>
    <w:rsid w:val="00D2618A"/>
    <w:rsid w:val="00D27546"/>
    <w:rsid w:val="00D30237"/>
    <w:rsid w:val="00D30726"/>
    <w:rsid w:val="00D308C6"/>
    <w:rsid w:val="00D30C9C"/>
    <w:rsid w:val="00D31317"/>
    <w:rsid w:val="00D316DE"/>
    <w:rsid w:val="00D327B7"/>
    <w:rsid w:val="00D32F8B"/>
    <w:rsid w:val="00D3353D"/>
    <w:rsid w:val="00D33C6D"/>
    <w:rsid w:val="00D34268"/>
    <w:rsid w:val="00D34794"/>
    <w:rsid w:val="00D34799"/>
    <w:rsid w:val="00D3494B"/>
    <w:rsid w:val="00D34D77"/>
    <w:rsid w:val="00D3551D"/>
    <w:rsid w:val="00D35C04"/>
    <w:rsid w:val="00D3622B"/>
    <w:rsid w:val="00D37460"/>
    <w:rsid w:val="00D37A61"/>
    <w:rsid w:val="00D418E7"/>
    <w:rsid w:val="00D41BFE"/>
    <w:rsid w:val="00D426EC"/>
    <w:rsid w:val="00D42783"/>
    <w:rsid w:val="00D43BE7"/>
    <w:rsid w:val="00D462B2"/>
    <w:rsid w:val="00D47ABA"/>
    <w:rsid w:val="00D47B36"/>
    <w:rsid w:val="00D47E0F"/>
    <w:rsid w:val="00D507C0"/>
    <w:rsid w:val="00D51208"/>
    <w:rsid w:val="00D5205B"/>
    <w:rsid w:val="00D52D17"/>
    <w:rsid w:val="00D54815"/>
    <w:rsid w:val="00D55AD2"/>
    <w:rsid w:val="00D55FAE"/>
    <w:rsid w:val="00D56B80"/>
    <w:rsid w:val="00D57B4C"/>
    <w:rsid w:val="00D60EF7"/>
    <w:rsid w:val="00D61E25"/>
    <w:rsid w:val="00D620B0"/>
    <w:rsid w:val="00D62915"/>
    <w:rsid w:val="00D62D5F"/>
    <w:rsid w:val="00D63ACE"/>
    <w:rsid w:val="00D651F1"/>
    <w:rsid w:val="00D700E5"/>
    <w:rsid w:val="00D706E7"/>
    <w:rsid w:val="00D70B27"/>
    <w:rsid w:val="00D70C92"/>
    <w:rsid w:val="00D70DFA"/>
    <w:rsid w:val="00D7117E"/>
    <w:rsid w:val="00D718E9"/>
    <w:rsid w:val="00D71EE7"/>
    <w:rsid w:val="00D73405"/>
    <w:rsid w:val="00D74045"/>
    <w:rsid w:val="00D757B5"/>
    <w:rsid w:val="00D76044"/>
    <w:rsid w:val="00D7770C"/>
    <w:rsid w:val="00D77939"/>
    <w:rsid w:val="00D77D35"/>
    <w:rsid w:val="00D80C90"/>
    <w:rsid w:val="00D81150"/>
    <w:rsid w:val="00D811E4"/>
    <w:rsid w:val="00D819FC"/>
    <w:rsid w:val="00D81D1C"/>
    <w:rsid w:val="00D8211F"/>
    <w:rsid w:val="00D8392F"/>
    <w:rsid w:val="00D83FC5"/>
    <w:rsid w:val="00D85012"/>
    <w:rsid w:val="00D87182"/>
    <w:rsid w:val="00D8769F"/>
    <w:rsid w:val="00D87F86"/>
    <w:rsid w:val="00D903BB"/>
    <w:rsid w:val="00D9127F"/>
    <w:rsid w:val="00D92F38"/>
    <w:rsid w:val="00D92F54"/>
    <w:rsid w:val="00D931D1"/>
    <w:rsid w:val="00D933CF"/>
    <w:rsid w:val="00D93975"/>
    <w:rsid w:val="00D93D09"/>
    <w:rsid w:val="00D93DDD"/>
    <w:rsid w:val="00D93E86"/>
    <w:rsid w:val="00D93F94"/>
    <w:rsid w:val="00D95A4B"/>
    <w:rsid w:val="00D95D1D"/>
    <w:rsid w:val="00D9624F"/>
    <w:rsid w:val="00D97533"/>
    <w:rsid w:val="00DA015F"/>
    <w:rsid w:val="00DA0E63"/>
    <w:rsid w:val="00DA126E"/>
    <w:rsid w:val="00DA170C"/>
    <w:rsid w:val="00DA1EAE"/>
    <w:rsid w:val="00DA2FAA"/>
    <w:rsid w:val="00DA44CA"/>
    <w:rsid w:val="00DA4B5C"/>
    <w:rsid w:val="00DA5388"/>
    <w:rsid w:val="00DA5F71"/>
    <w:rsid w:val="00DA67B2"/>
    <w:rsid w:val="00DA76DC"/>
    <w:rsid w:val="00DB160D"/>
    <w:rsid w:val="00DB36B8"/>
    <w:rsid w:val="00DB3956"/>
    <w:rsid w:val="00DB3B3E"/>
    <w:rsid w:val="00DB4F96"/>
    <w:rsid w:val="00DB5231"/>
    <w:rsid w:val="00DB5F58"/>
    <w:rsid w:val="00DB60F0"/>
    <w:rsid w:val="00DB78E5"/>
    <w:rsid w:val="00DB7D67"/>
    <w:rsid w:val="00DB7E57"/>
    <w:rsid w:val="00DC1072"/>
    <w:rsid w:val="00DC1231"/>
    <w:rsid w:val="00DC226C"/>
    <w:rsid w:val="00DC2882"/>
    <w:rsid w:val="00DC2F16"/>
    <w:rsid w:val="00DC49A9"/>
    <w:rsid w:val="00DC4EEE"/>
    <w:rsid w:val="00DC51A7"/>
    <w:rsid w:val="00DC5CD6"/>
    <w:rsid w:val="00DC6428"/>
    <w:rsid w:val="00DC6BF9"/>
    <w:rsid w:val="00DC6DDA"/>
    <w:rsid w:val="00DC7705"/>
    <w:rsid w:val="00DC78C7"/>
    <w:rsid w:val="00DC7B3C"/>
    <w:rsid w:val="00DD0337"/>
    <w:rsid w:val="00DD43DE"/>
    <w:rsid w:val="00DD52D1"/>
    <w:rsid w:val="00DD57CC"/>
    <w:rsid w:val="00DD5F3E"/>
    <w:rsid w:val="00DD644A"/>
    <w:rsid w:val="00DD75E7"/>
    <w:rsid w:val="00DE134B"/>
    <w:rsid w:val="00DE14C2"/>
    <w:rsid w:val="00DE167C"/>
    <w:rsid w:val="00DE1AD4"/>
    <w:rsid w:val="00DE382D"/>
    <w:rsid w:val="00DE4D39"/>
    <w:rsid w:val="00DE57EE"/>
    <w:rsid w:val="00DF0BD2"/>
    <w:rsid w:val="00DF21F3"/>
    <w:rsid w:val="00DF2AF5"/>
    <w:rsid w:val="00DF2EB4"/>
    <w:rsid w:val="00DF432C"/>
    <w:rsid w:val="00DF4334"/>
    <w:rsid w:val="00DF45FE"/>
    <w:rsid w:val="00DF4767"/>
    <w:rsid w:val="00DF48D9"/>
    <w:rsid w:val="00DF586A"/>
    <w:rsid w:val="00DF5C83"/>
    <w:rsid w:val="00DF7354"/>
    <w:rsid w:val="00DF757C"/>
    <w:rsid w:val="00DF76D0"/>
    <w:rsid w:val="00DF7BAA"/>
    <w:rsid w:val="00DF7EA1"/>
    <w:rsid w:val="00E00747"/>
    <w:rsid w:val="00E0084C"/>
    <w:rsid w:val="00E00B18"/>
    <w:rsid w:val="00E00DC4"/>
    <w:rsid w:val="00E0167C"/>
    <w:rsid w:val="00E021EE"/>
    <w:rsid w:val="00E02496"/>
    <w:rsid w:val="00E02C3B"/>
    <w:rsid w:val="00E043F0"/>
    <w:rsid w:val="00E051AC"/>
    <w:rsid w:val="00E0552D"/>
    <w:rsid w:val="00E05A79"/>
    <w:rsid w:val="00E05D6D"/>
    <w:rsid w:val="00E0697D"/>
    <w:rsid w:val="00E06C42"/>
    <w:rsid w:val="00E07766"/>
    <w:rsid w:val="00E07946"/>
    <w:rsid w:val="00E10853"/>
    <w:rsid w:val="00E1109E"/>
    <w:rsid w:val="00E116C7"/>
    <w:rsid w:val="00E13732"/>
    <w:rsid w:val="00E160D2"/>
    <w:rsid w:val="00E16FCE"/>
    <w:rsid w:val="00E17746"/>
    <w:rsid w:val="00E1776A"/>
    <w:rsid w:val="00E203A2"/>
    <w:rsid w:val="00E22051"/>
    <w:rsid w:val="00E2278A"/>
    <w:rsid w:val="00E2399F"/>
    <w:rsid w:val="00E23A35"/>
    <w:rsid w:val="00E2467C"/>
    <w:rsid w:val="00E26023"/>
    <w:rsid w:val="00E261E5"/>
    <w:rsid w:val="00E265B3"/>
    <w:rsid w:val="00E2675F"/>
    <w:rsid w:val="00E26D8E"/>
    <w:rsid w:val="00E278BB"/>
    <w:rsid w:val="00E30916"/>
    <w:rsid w:val="00E30940"/>
    <w:rsid w:val="00E313D0"/>
    <w:rsid w:val="00E318A3"/>
    <w:rsid w:val="00E31B08"/>
    <w:rsid w:val="00E31D92"/>
    <w:rsid w:val="00E32AAB"/>
    <w:rsid w:val="00E32F3C"/>
    <w:rsid w:val="00E3300D"/>
    <w:rsid w:val="00E33951"/>
    <w:rsid w:val="00E33B25"/>
    <w:rsid w:val="00E34C50"/>
    <w:rsid w:val="00E34DEF"/>
    <w:rsid w:val="00E3537D"/>
    <w:rsid w:val="00E35C90"/>
    <w:rsid w:val="00E36094"/>
    <w:rsid w:val="00E360FD"/>
    <w:rsid w:val="00E363F6"/>
    <w:rsid w:val="00E36904"/>
    <w:rsid w:val="00E36D1D"/>
    <w:rsid w:val="00E36F2F"/>
    <w:rsid w:val="00E37738"/>
    <w:rsid w:val="00E40592"/>
    <w:rsid w:val="00E417C0"/>
    <w:rsid w:val="00E41A90"/>
    <w:rsid w:val="00E41C62"/>
    <w:rsid w:val="00E41E8A"/>
    <w:rsid w:val="00E41F8D"/>
    <w:rsid w:val="00E423A1"/>
    <w:rsid w:val="00E4321C"/>
    <w:rsid w:val="00E4519D"/>
    <w:rsid w:val="00E45C40"/>
    <w:rsid w:val="00E46EC8"/>
    <w:rsid w:val="00E473A3"/>
    <w:rsid w:val="00E47514"/>
    <w:rsid w:val="00E4787A"/>
    <w:rsid w:val="00E51D9E"/>
    <w:rsid w:val="00E52EB6"/>
    <w:rsid w:val="00E53EEE"/>
    <w:rsid w:val="00E548FB"/>
    <w:rsid w:val="00E55364"/>
    <w:rsid w:val="00E5638D"/>
    <w:rsid w:val="00E56C03"/>
    <w:rsid w:val="00E57166"/>
    <w:rsid w:val="00E62D31"/>
    <w:rsid w:val="00E6375C"/>
    <w:rsid w:val="00E63A66"/>
    <w:rsid w:val="00E643F1"/>
    <w:rsid w:val="00E64ACD"/>
    <w:rsid w:val="00E665EF"/>
    <w:rsid w:val="00E67064"/>
    <w:rsid w:val="00E67891"/>
    <w:rsid w:val="00E7003B"/>
    <w:rsid w:val="00E70652"/>
    <w:rsid w:val="00E71670"/>
    <w:rsid w:val="00E7277D"/>
    <w:rsid w:val="00E7298C"/>
    <w:rsid w:val="00E7503D"/>
    <w:rsid w:val="00E75327"/>
    <w:rsid w:val="00E75405"/>
    <w:rsid w:val="00E76869"/>
    <w:rsid w:val="00E76C30"/>
    <w:rsid w:val="00E8030F"/>
    <w:rsid w:val="00E809C1"/>
    <w:rsid w:val="00E8227E"/>
    <w:rsid w:val="00E822FA"/>
    <w:rsid w:val="00E8283A"/>
    <w:rsid w:val="00E83355"/>
    <w:rsid w:val="00E855F1"/>
    <w:rsid w:val="00E85615"/>
    <w:rsid w:val="00E85E73"/>
    <w:rsid w:val="00E873BB"/>
    <w:rsid w:val="00E878DE"/>
    <w:rsid w:val="00E914EE"/>
    <w:rsid w:val="00E92831"/>
    <w:rsid w:val="00E92928"/>
    <w:rsid w:val="00E93ABA"/>
    <w:rsid w:val="00E941E2"/>
    <w:rsid w:val="00E94A7F"/>
    <w:rsid w:val="00E94BBA"/>
    <w:rsid w:val="00E94BE6"/>
    <w:rsid w:val="00E95571"/>
    <w:rsid w:val="00E95A03"/>
    <w:rsid w:val="00E96D27"/>
    <w:rsid w:val="00E97C62"/>
    <w:rsid w:val="00E97F20"/>
    <w:rsid w:val="00EA1818"/>
    <w:rsid w:val="00EA275E"/>
    <w:rsid w:val="00EA2F7F"/>
    <w:rsid w:val="00EA31E5"/>
    <w:rsid w:val="00EA4133"/>
    <w:rsid w:val="00EA4501"/>
    <w:rsid w:val="00EA5E84"/>
    <w:rsid w:val="00EA6CF9"/>
    <w:rsid w:val="00EA6DBE"/>
    <w:rsid w:val="00EB0824"/>
    <w:rsid w:val="00EB382F"/>
    <w:rsid w:val="00EB64DA"/>
    <w:rsid w:val="00EB6A31"/>
    <w:rsid w:val="00EC0175"/>
    <w:rsid w:val="00EC26C0"/>
    <w:rsid w:val="00EC3962"/>
    <w:rsid w:val="00EC3A49"/>
    <w:rsid w:val="00EC531F"/>
    <w:rsid w:val="00EC57BE"/>
    <w:rsid w:val="00EC64BE"/>
    <w:rsid w:val="00EC7480"/>
    <w:rsid w:val="00EC7AF4"/>
    <w:rsid w:val="00EC7F87"/>
    <w:rsid w:val="00ED00B6"/>
    <w:rsid w:val="00ED1022"/>
    <w:rsid w:val="00ED21A6"/>
    <w:rsid w:val="00ED21AA"/>
    <w:rsid w:val="00ED42C7"/>
    <w:rsid w:val="00ED703E"/>
    <w:rsid w:val="00ED7423"/>
    <w:rsid w:val="00ED7762"/>
    <w:rsid w:val="00ED7912"/>
    <w:rsid w:val="00EE0174"/>
    <w:rsid w:val="00EE0867"/>
    <w:rsid w:val="00EE0A12"/>
    <w:rsid w:val="00EE0B8E"/>
    <w:rsid w:val="00EE0F34"/>
    <w:rsid w:val="00EE18AE"/>
    <w:rsid w:val="00EE1F3C"/>
    <w:rsid w:val="00EE264A"/>
    <w:rsid w:val="00EE292B"/>
    <w:rsid w:val="00EE2DAE"/>
    <w:rsid w:val="00EE3263"/>
    <w:rsid w:val="00EE37D8"/>
    <w:rsid w:val="00EE4998"/>
    <w:rsid w:val="00EE52E1"/>
    <w:rsid w:val="00EE5500"/>
    <w:rsid w:val="00EE5FDD"/>
    <w:rsid w:val="00EE612C"/>
    <w:rsid w:val="00EF0174"/>
    <w:rsid w:val="00EF0631"/>
    <w:rsid w:val="00EF0AF4"/>
    <w:rsid w:val="00EF220C"/>
    <w:rsid w:val="00EF2644"/>
    <w:rsid w:val="00EF393A"/>
    <w:rsid w:val="00EF3DFC"/>
    <w:rsid w:val="00EF3E30"/>
    <w:rsid w:val="00EF3F84"/>
    <w:rsid w:val="00EF67DB"/>
    <w:rsid w:val="00EF694D"/>
    <w:rsid w:val="00EF7CCF"/>
    <w:rsid w:val="00F00832"/>
    <w:rsid w:val="00F0216C"/>
    <w:rsid w:val="00F0274E"/>
    <w:rsid w:val="00F036EA"/>
    <w:rsid w:val="00F03915"/>
    <w:rsid w:val="00F039F7"/>
    <w:rsid w:val="00F04014"/>
    <w:rsid w:val="00F048CC"/>
    <w:rsid w:val="00F04DD8"/>
    <w:rsid w:val="00F051E6"/>
    <w:rsid w:val="00F061F3"/>
    <w:rsid w:val="00F076EA"/>
    <w:rsid w:val="00F0787D"/>
    <w:rsid w:val="00F07F82"/>
    <w:rsid w:val="00F10FF5"/>
    <w:rsid w:val="00F1157F"/>
    <w:rsid w:val="00F11C66"/>
    <w:rsid w:val="00F12BE3"/>
    <w:rsid w:val="00F12DF2"/>
    <w:rsid w:val="00F1303D"/>
    <w:rsid w:val="00F1645F"/>
    <w:rsid w:val="00F2013C"/>
    <w:rsid w:val="00F209E7"/>
    <w:rsid w:val="00F20C20"/>
    <w:rsid w:val="00F20ECA"/>
    <w:rsid w:val="00F216AE"/>
    <w:rsid w:val="00F22084"/>
    <w:rsid w:val="00F239C1"/>
    <w:rsid w:val="00F24124"/>
    <w:rsid w:val="00F241C2"/>
    <w:rsid w:val="00F242C3"/>
    <w:rsid w:val="00F25DB0"/>
    <w:rsid w:val="00F26A23"/>
    <w:rsid w:val="00F27377"/>
    <w:rsid w:val="00F27742"/>
    <w:rsid w:val="00F27A8B"/>
    <w:rsid w:val="00F31003"/>
    <w:rsid w:val="00F356B6"/>
    <w:rsid w:val="00F35E60"/>
    <w:rsid w:val="00F362F1"/>
    <w:rsid w:val="00F37416"/>
    <w:rsid w:val="00F41799"/>
    <w:rsid w:val="00F42F0B"/>
    <w:rsid w:val="00F4344B"/>
    <w:rsid w:val="00F43CE5"/>
    <w:rsid w:val="00F43CF3"/>
    <w:rsid w:val="00F44E9A"/>
    <w:rsid w:val="00F45C9B"/>
    <w:rsid w:val="00F468E3"/>
    <w:rsid w:val="00F47A85"/>
    <w:rsid w:val="00F47D34"/>
    <w:rsid w:val="00F503BB"/>
    <w:rsid w:val="00F50FCB"/>
    <w:rsid w:val="00F51D13"/>
    <w:rsid w:val="00F52B2B"/>
    <w:rsid w:val="00F53BCA"/>
    <w:rsid w:val="00F552B4"/>
    <w:rsid w:val="00F555AE"/>
    <w:rsid w:val="00F55722"/>
    <w:rsid w:val="00F5582D"/>
    <w:rsid w:val="00F55FB3"/>
    <w:rsid w:val="00F5645C"/>
    <w:rsid w:val="00F565E4"/>
    <w:rsid w:val="00F56D91"/>
    <w:rsid w:val="00F57438"/>
    <w:rsid w:val="00F606C5"/>
    <w:rsid w:val="00F62465"/>
    <w:rsid w:val="00F62482"/>
    <w:rsid w:val="00F6249C"/>
    <w:rsid w:val="00F626C8"/>
    <w:rsid w:val="00F62749"/>
    <w:rsid w:val="00F62B8F"/>
    <w:rsid w:val="00F62CFE"/>
    <w:rsid w:val="00F63239"/>
    <w:rsid w:val="00F6347A"/>
    <w:rsid w:val="00F636BF"/>
    <w:rsid w:val="00F637D4"/>
    <w:rsid w:val="00F645DB"/>
    <w:rsid w:val="00F64AB5"/>
    <w:rsid w:val="00F64C10"/>
    <w:rsid w:val="00F64CE1"/>
    <w:rsid w:val="00F6649B"/>
    <w:rsid w:val="00F66CEB"/>
    <w:rsid w:val="00F67F4B"/>
    <w:rsid w:val="00F70586"/>
    <w:rsid w:val="00F70596"/>
    <w:rsid w:val="00F705E1"/>
    <w:rsid w:val="00F70D34"/>
    <w:rsid w:val="00F71461"/>
    <w:rsid w:val="00F719AD"/>
    <w:rsid w:val="00F7207B"/>
    <w:rsid w:val="00F7270A"/>
    <w:rsid w:val="00F7308B"/>
    <w:rsid w:val="00F73C7D"/>
    <w:rsid w:val="00F73E9F"/>
    <w:rsid w:val="00F74366"/>
    <w:rsid w:val="00F745C6"/>
    <w:rsid w:val="00F75673"/>
    <w:rsid w:val="00F764CF"/>
    <w:rsid w:val="00F76975"/>
    <w:rsid w:val="00F76B3B"/>
    <w:rsid w:val="00F8029A"/>
    <w:rsid w:val="00F8056D"/>
    <w:rsid w:val="00F81569"/>
    <w:rsid w:val="00F81B31"/>
    <w:rsid w:val="00F8257C"/>
    <w:rsid w:val="00F83C4E"/>
    <w:rsid w:val="00F84960"/>
    <w:rsid w:val="00F84CA8"/>
    <w:rsid w:val="00F915B2"/>
    <w:rsid w:val="00F92506"/>
    <w:rsid w:val="00F92D28"/>
    <w:rsid w:val="00F933AE"/>
    <w:rsid w:val="00F93AA8"/>
    <w:rsid w:val="00F9422B"/>
    <w:rsid w:val="00F96E17"/>
    <w:rsid w:val="00FA061B"/>
    <w:rsid w:val="00FA0C19"/>
    <w:rsid w:val="00FA12A2"/>
    <w:rsid w:val="00FA29FF"/>
    <w:rsid w:val="00FA36B2"/>
    <w:rsid w:val="00FA3A9F"/>
    <w:rsid w:val="00FA43DE"/>
    <w:rsid w:val="00FA4DAE"/>
    <w:rsid w:val="00FA5421"/>
    <w:rsid w:val="00FA66D7"/>
    <w:rsid w:val="00FA69E5"/>
    <w:rsid w:val="00FB0F76"/>
    <w:rsid w:val="00FB1306"/>
    <w:rsid w:val="00FB1472"/>
    <w:rsid w:val="00FB180B"/>
    <w:rsid w:val="00FB1814"/>
    <w:rsid w:val="00FB240B"/>
    <w:rsid w:val="00FB2DC0"/>
    <w:rsid w:val="00FB30E0"/>
    <w:rsid w:val="00FB33D9"/>
    <w:rsid w:val="00FB451E"/>
    <w:rsid w:val="00FB4F35"/>
    <w:rsid w:val="00FB56B0"/>
    <w:rsid w:val="00FB5823"/>
    <w:rsid w:val="00FB6543"/>
    <w:rsid w:val="00FC02A8"/>
    <w:rsid w:val="00FC0650"/>
    <w:rsid w:val="00FC164D"/>
    <w:rsid w:val="00FC16C4"/>
    <w:rsid w:val="00FC2028"/>
    <w:rsid w:val="00FC280D"/>
    <w:rsid w:val="00FC2A2C"/>
    <w:rsid w:val="00FC37D3"/>
    <w:rsid w:val="00FC3983"/>
    <w:rsid w:val="00FC42C0"/>
    <w:rsid w:val="00FC61C1"/>
    <w:rsid w:val="00FC6F68"/>
    <w:rsid w:val="00FC6FEA"/>
    <w:rsid w:val="00FC743D"/>
    <w:rsid w:val="00FD005A"/>
    <w:rsid w:val="00FD16AF"/>
    <w:rsid w:val="00FD2432"/>
    <w:rsid w:val="00FD2EF3"/>
    <w:rsid w:val="00FD2F97"/>
    <w:rsid w:val="00FD4D99"/>
    <w:rsid w:val="00FD511B"/>
    <w:rsid w:val="00FD5269"/>
    <w:rsid w:val="00FD551E"/>
    <w:rsid w:val="00FD5BAE"/>
    <w:rsid w:val="00FD5FAB"/>
    <w:rsid w:val="00FD6D78"/>
    <w:rsid w:val="00FD77F1"/>
    <w:rsid w:val="00FE07C0"/>
    <w:rsid w:val="00FE0D1E"/>
    <w:rsid w:val="00FE1067"/>
    <w:rsid w:val="00FE1861"/>
    <w:rsid w:val="00FE1C60"/>
    <w:rsid w:val="00FE231F"/>
    <w:rsid w:val="00FE2B96"/>
    <w:rsid w:val="00FE2C2F"/>
    <w:rsid w:val="00FE46B6"/>
    <w:rsid w:val="00FE5295"/>
    <w:rsid w:val="00FE59FC"/>
    <w:rsid w:val="00FE5E71"/>
    <w:rsid w:val="00FE5F24"/>
    <w:rsid w:val="00FE6DF7"/>
    <w:rsid w:val="00FF1812"/>
    <w:rsid w:val="00FF26F8"/>
    <w:rsid w:val="00FF36EC"/>
    <w:rsid w:val="00FF4734"/>
    <w:rsid w:val="00FF5606"/>
    <w:rsid w:val="00FF66B9"/>
    <w:rsid w:val="00FF6872"/>
    <w:rsid w:val="00FF6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9B774"/>
  <w15:docId w15:val="{EA5F5FA3-197C-4DA1-8F43-5162EDB7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8B"/>
    <w:rPr>
      <w:rFonts w:ascii="Tahoma" w:hAnsi="Tahoma"/>
      <w:sz w:val="18"/>
    </w:rPr>
  </w:style>
  <w:style w:type="paragraph" w:styleId="Heading1">
    <w:name w:val="heading 1"/>
    <w:basedOn w:val="Normal"/>
    <w:next w:val="Normal"/>
    <w:link w:val="Heading1Char"/>
    <w:uiPriority w:val="9"/>
    <w:qFormat/>
    <w:rsid w:val="00A57E8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A57E8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57E8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57E8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A57E8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A57E8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A57E8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A57E8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A57E8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perlink_ECDC,EC-Hyperlink"/>
    <w:basedOn w:val="DefaultParagraphFont"/>
    <w:uiPriority w:val="99"/>
    <w:unhideWhenUsed/>
    <w:rsid w:val="0024556A"/>
    <w:rPr>
      <w:rFonts w:ascii="Tahoma" w:hAnsi="Tahoma"/>
      <w:color w:val="69AE23"/>
      <w:sz w:val="16"/>
    </w:rPr>
  </w:style>
  <w:style w:type="character" w:customStyle="1" w:styleId="FootnoteTextChar">
    <w:name w:val="Footnote Text Char"/>
    <w:aliases w:val="ft Char,Footnote Char,Char Char,Footnote Text Char Char Char,Char Char Char Char1,Char Char Char Char Char,Char Char Char Char Char Char Char,Geneva 9 Char,Font: Geneva 9 Char,Boston 10 Char,f Char,single space Char,otnote Text Char"/>
    <w:basedOn w:val="DefaultParagraphFont"/>
    <w:link w:val="FootnoteText"/>
    <w:uiPriority w:val="99"/>
    <w:locked/>
    <w:rsid w:val="004B523C"/>
    <w:rPr>
      <w:rFonts w:ascii="Times New Roman" w:eastAsiaTheme="minorEastAsia" w:hAnsi="Times New Roman" w:cs="Times New Roman"/>
      <w:sz w:val="20"/>
      <w:szCs w:val="20"/>
      <w:lang w:val="en-US" w:bidi="en-US"/>
    </w:rPr>
  </w:style>
  <w:style w:type="paragraph" w:styleId="FootnoteText">
    <w:name w:val="footnote text"/>
    <w:aliases w:val="ft,Footnote,Char,Footnote Text Char Char,Char Char Char,Char Char Char Char,Char Char Char Char Char Char,Geneva 9,Font: Geneva 9,Boston 10,f,single space,otnote Text,Fußnote,fn"/>
    <w:basedOn w:val="Normal"/>
    <w:link w:val="FootnoteTextChar"/>
    <w:uiPriority w:val="99"/>
    <w:unhideWhenUsed/>
    <w:rsid w:val="004B523C"/>
    <w:rPr>
      <w:rFonts w:ascii="Times New Roman" w:hAnsi="Times New Roman"/>
      <w:sz w:val="20"/>
      <w:szCs w:val="20"/>
      <w:lang w:val="en-US" w:bidi="en-US"/>
    </w:rPr>
  </w:style>
  <w:style w:type="character" w:customStyle="1" w:styleId="FootnoteTextChar1">
    <w:name w:val="Footnote Text Char1"/>
    <w:basedOn w:val="DefaultParagraphFont"/>
    <w:uiPriority w:val="99"/>
    <w:semiHidden/>
    <w:rsid w:val="004B523C"/>
    <w:rPr>
      <w:rFonts w:ascii="Tahoma" w:eastAsia="Batang" w:hAnsi="Tahoma" w:cs="Times New Roman"/>
      <w:sz w:val="20"/>
      <w:szCs w:val="20"/>
      <w:lang w:eastAsia="ko-KR"/>
    </w:rPr>
  </w:style>
  <w:style w:type="paragraph" w:styleId="CommentText">
    <w:name w:val="annotation text"/>
    <w:basedOn w:val="Normal"/>
    <w:link w:val="CommentTextChar"/>
    <w:unhideWhenUsed/>
    <w:rsid w:val="004B523C"/>
    <w:pPr>
      <w:spacing w:after="200"/>
    </w:pPr>
    <w:rPr>
      <w:sz w:val="20"/>
      <w:szCs w:val="20"/>
      <w:lang w:eastAsia="en-GB"/>
    </w:rPr>
  </w:style>
  <w:style w:type="character" w:customStyle="1" w:styleId="CommentTextChar">
    <w:name w:val="Comment Text Char"/>
    <w:basedOn w:val="DefaultParagraphFont"/>
    <w:link w:val="CommentText"/>
    <w:rsid w:val="004B523C"/>
    <w:rPr>
      <w:rFonts w:eastAsiaTheme="minorEastAsia"/>
      <w:sz w:val="20"/>
      <w:szCs w:val="20"/>
      <w:lang w:eastAsia="en-GB"/>
    </w:rPr>
  </w:style>
  <w:style w:type="paragraph" w:styleId="ListBullet">
    <w:name w:val="List Bullet"/>
    <w:basedOn w:val="BodyText"/>
    <w:uiPriority w:val="99"/>
    <w:unhideWhenUsed/>
    <w:rsid w:val="004B523C"/>
    <w:pPr>
      <w:numPr>
        <w:numId w:val="2"/>
      </w:numPr>
      <w:tabs>
        <w:tab w:val="clear" w:pos="510"/>
        <w:tab w:val="num" w:pos="360"/>
      </w:tabs>
      <w:spacing w:before="120" w:line="240" w:lineRule="atLeast"/>
      <w:ind w:left="0" w:firstLine="0"/>
    </w:pPr>
    <w:rPr>
      <w:rFonts w:eastAsiaTheme="minorHAnsi" w:cs="Tahoma"/>
      <w:sz w:val="20"/>
    </w:rPr>
  </w:style>
  <w:style w:type="paragraph" w:styleId="ListBullet2">
    <w:name w:val="List Bullet 2"/>
    <w:basedOn w:val="ListBullet"/>
    <w:uiPriority w:val="99"/>
    <w:unhideWhenUsed/>
    <w:rsid w:val="004B523C"/>
    <w:pPr>
      <w:numPr>
        <w:ilvl w:val="1"/>
      </w:numPr>
      <w:tabs>
        <w:tab w:val="clear" w:pos="1021"/>
        <w:tab w:val="num" w:pos="360"/>
      </w:tabs>
      <w:ind w:left="2007" w:hanging="360"/>
    </w:pPr>
  </w:style>
  <w:style w:type="paragraph" w:styleId="ListBullet3">
    <w:name w:val="List Bullet 3"/>
    <w:basedOn w:val="ListBullet"/>
    <w:uiPriority w:val="99"/>
    <w:unhideWhenUsed/>
    <w:rsid w:val="004B523C"/>
    <w:pPr>
      <w:numPr>
        <w:ilvl w:val="2"/>
      </w:numPr>
      <w:tabs>
        <w:tab w:val="clear" w:pos="1531"/>
        <w:tab w:val="num" w:pos="360"/>
      </w:tabs>
      <w:ind w:left="2727" w:hanging="360"/>
    </w:pPr>
  </w:style>
  <w:style w:type="paragraph" w:styleId="ListBullet4">
    <w:name w:val="List Bullet 4"/>
    <w:basedOn w:val="Normal"/>
    <w:uiPriority w:val="99"/>
    <w:unhideWhenUsed/>
    <w:rsid w:val="004B523C"/>
    <w:pPr>
      <w:numPr>
        <w:ilvl w:val="3"/>
        <w:numId w:val="2"/>
      </w:numPr>
      <w:spacing w:before="120" w:after="80" w:line="240" w:lineRule="atLeast"/>
      <w:contextualSpacing/>
    </w:pPr>
    <w:rPr>
      <w:rFonts w:eastAsiaTheme="minorHAnsi"/>
      <w:sz w:val="20"/>
    </w:rPr>
  </w:style>
  <w:style w:type="paragraph" w:styleId="ListBullet5">
    <w:name w:val="List Bullet 5"/>
    <w:basedOn w:val="BodyText"/>
    <w:uiPriority w:val="99"/>
    <w:unhideWhenUsed/>
    <w:rsid w:val="004B523C"/>
    <w:pPr>
      <w:numPr>
        <w:ilvl w:val="4"/>
        <w:numId w:val="2"/>
      </w:numPr>
      <w:tabs>
        <w:tab w:val="clear" w:pos="340"/>
        <w:tab w:val="num" w:pos="360"/>
      </w:tabs>
      <w:spacing w:before="20" w:after="40" w:line="200" w:lineRule="atLeast"/>
      <w:ind w:left="0" w:firstLine="0"/>
    </w:pPr>
    <w:rPr>
      <w:rFonts w:eastAsiaTheme="minorHAnsi" w:cs="Tahoma"/>
      <w:sz w:val="20"/>
    </w:rPr>
  </w:style>
  <w:style w:type="paragraph" w:styleId="ListParagraph">
    <w:name w:val="List Paragraph"/>
    <w:aliases w:val="ECDC AF Paragraph"/>
    <w:basedOn w:val="Normal"/>
    <w:link w:val="ListParagraphChar"/>
    <w:uiPriority w:val="34"/>
    <w:qFormat/>
    <w:rsid w:val="004B523C"/>
    <w:pPr>
      <w:ind w:left="720"/>
      <w:contextualSpacing/>
    </w:pPr>
  </w:style>
  <w:style w:type="character" w:customStyle="1" w:styleId="EC-Title-6CharChar">
    <w:name w:val="EC-Title-6 Char Char"/>
    <w:link w:val="EC-Title-6"/>
    <w:uiPriority w:val="99"/>
    <w:locked/>
    <w:rsid w:val="004B523C"/>
    <w:rPr>
      <w:rFonts w:ascii="Tahoma" w:eastAsia="Batang" w:hAnsi="Tahoma" w:cs="Times New Roman"/>
      <w:b/>
      <w:bCs/>
      <w:color w:val="69AE23"/>
      <w:sz w:val="26"/>
      <w:szCs w:val="26"/>
    </w:rPr>
  </w:style>
  <w:style w:type="paragraph" w:customStyle="1" w:styleId="EC-Para">
    <w:name w:val="EC-Para"/>
    <w:link w:val="EC-ParaCharChar"/>
    <w:rsid w:val="004B523C"/>
    <w:pPr>
      <w:kinsoku w:val="0"/>
      <w:autoSpaceDE w:val="0"/>
      <w:autoSpaceDN w:val="0"/>
      <w:adjustRightInd w:val="0"/>
      <w:spacing w:after="120" w:line="200" w:lineRule="atLeast"/>
    </w:pPr>
    <w:rPr>
      <w:rFonts w:ascii="Tahoma" w:eastAsia="Arial Unicode MS" w:hAnsi="Tahoma" w:cs="Times New Roman"/>
      <w:kern w:val="22"/>
      <w:sz w:val="18"/>
      <w:szCs w:val="18"/>
      <w:lang w:eastAsia="ko-KR"/>
    </w:rPr>
  </w:style>
  <w:style w:type="paragraph" w:customStyle="1" w:styleId="EC-Title-6">
    <w:name w:val="EC-Title-6"/>
    <w:next w:val="EC-Para"/>
    <w:link w:val="EC-Title-6CharChar"/>
    <w:uiPriority w:val="99"/>
    <w:rsid w:val="004B523C"/>
    <w:pPr>
      <w:widowControl w:val="0"/>
      <w:spacing w:before="120" w:after="120" w:line="240" w:lineRule="auto"/>
      <w:outlineLvl w:val="2"/>
    </w:pPr>
    <w:rPr>
      <w:rFonts w:ascii="Tahoma" w:eastAsia="Batang" w:hAnsi="Tahoma" w:cs="Times New Roman"/>
      <w:b/>
      <w:bCs/>
      <w:color w:val="69AE23"/>
      <w:sz w:val="26"/>
      <w:szCs w:val="26"/>
    </w:rPr>
  </w:style>
  <w:style w:type="character" w:customStyle="1" w:styleId="EC-Title-5CharChar">
    <w:name w:val="EC-Title-5 Char Char"/>
    <w:basedOn w:val="DefaultParagraphFont"/>
    <w:link w:val="EC-Title-5"/>
    <w:uiPriority w:val="99"/>
    <w:locked/>
    <w:rsid w:val="004B523C"/>
    <w:rPr>
      <w:rFonts w:ascii="Tahoma" w:eastAsia="Batang" w:hAnsi="Tahoma" w:cs="Tahoma"/>
      <w:b/>
      <w:bCs/>
      <w:color w:val="69AE23"/>
      <w:sz w:val="30"/>
      <w:szCs w:val="30"/>
    </w:rPr>
  </w:style>
  <w:style w:type="paragraph" w:customStyle="1" w:styleId="EC-Title-5">
    <w:name w:val="EC-Title-5"/>
    <w:next w:val="EC-Para"/>
    <w:link w:val="EC-Title-5CharChar"/>
    <w:uiPriority w:val="99"/>
    <w:rsid w:val="004B523C"/>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ParaCharChar">
    <w:name w:val="EC-Para Char Char"/>
    <w:basedOn w:val="DefaultParagraphFont"/>
    <w:link w:val="EC-Para"/>
    <w:locked/>
    <w:rsid w:val="004B523C"/>
    <w:rPr>
      <w:rFonts w:ascii="Tahoma" w:eastAsia="Arial Unicode MS" w:hAnsi="Tahoma" w:cs="Times New Roman"/>
      <w:kern w:val="22"/>
      <w:sz w:val="18"/>
      <w:szCs w:val="18"/>
      <w:lang w:eastAsia="ko-KR"/>
    </w:rPr>
  </w:style>
  <w:style w:type="paragraph" w:customStyle="1" w:styleId="Default">
    <w:name w:val="Default"/>
    <w:rsid w:val="004B523C"/>
    <w:pPr>
      <w:widowControl w:val="0"/>
      <w:autoSpaceDE w:val="0"/>
      <w:autoSpaceDN w:val="0"/>
      <w:adjustRightInd w:val="0"/>
      <w:spacing w:after="0" w:line="240" w:lineRule="auto"/>
    </w:pPr>
    <w:rPr>
      <w:rFonts w:ascii="Cambria" w:eastAsia="Times New Roman" w:hAnsi="Cambria" w:cs="Cambria"/>
      <w:color w:val="000000"/>
      <w:sz w:val="24"/>
      <w:szCs w:val="24"/>
      <w:lang w:eastAsia="en-GB"/>
    </w:rPr>
  </w:style>
  <w:style w:type="paragraph" w:customStyle="1" w:styleId="CM4">
    <w:name w:val="CM4"/>
    <w:basedOn w:val="Default"/>
    <w:next w:val="Default"/>
    <w:uiPriority w:val="99"/>
    <w:rsid w:val="004B523C"/>
    <w:pPr>
      <w:widowControl/>
    </w:pPr>
    <w:rPr>
      <w:rFonts w:ascii="EUAlbertina" w:eastAsiaTheme="minorHAnsi" w:hAnsi="EUAlbertina" w:cs="Times New Roman"/>
      <w:color w:val="auto"/>
      <w:lang w:eastAsia="en-US"/>
    </w:rPr>
  </w:style>
  <w:style w:type="character" w:styleId="FootnoteReference">
    <w:name w:val="footnote reference"/>
    <w:aliases w:val="Rimando nota a pièdi pagina1,Footnote symbol"/>
    <w:basedOn w:val="DefaultParagraphFont"/>
    <w:uiPriority w:val="99"/>
    <w:unhideWhenUsed/>
    <w:rsid w:val="004B523C"/>
    <w:rPr>
      <w:vertAlign w:val="superscript"/>
    </w:rPr>
  </w:style>
  <w:style w:type="character" w:styleId="CommentReference">
    <w:name w:val="annotation reference"/>
    <w:basedOn w:val="DefaultParagraphFont"/>
    <w:uiPriority w:val="99"/>
    <w:unhideWhenUsed/>
    <w:rsid w:val="004B523C"/>
    <w:rPr>
      <w:sz w:val="16"/>
      <w:szCs w:val="16"/>
    </w:rPr>
  </w:style>
  <w:style w:type="table" w:styleId="TableGrid">
    <w:name w:val="Table Grid"/>
    <w:basedOn w:val="TableNormal"/>
    <w:rsid w:val="004B523C"/>
    <w:pPr>
      <w:spacing w:after="0" w:line="240" w:lineRule="auto"/>
    </w:pPr>
    <w:rPr>
      <w:rFonts w:ascii="Tahoma" w:eastAsia="Batang" w:hAnsi="Tahom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cl-Bullets">
    <w:name w:val="ecl-Bullets"/>
    <w:uiPriority w:val="99"/>
    <w:rsid w:val="004B523C"/>
    <w:pPr>
      <w:numPr>
        <w:numId w:val="2"/>
      </w:numPr>
    </w:pPr>
  </w:style>
  <w:style w:type="character" w:styleId="Emphasis">
    <w:name w:val="Emphasis"/>
    <w:basedOn w:val="DefaultParagraphFont"/>
    <w:uiPriority w:val="20"/>
    <w:qFormat/>
    <w:rsid w:val="00A57E8E"/>
    <w:rPr>
      <w:i/>
      <w:iCs/>
    </w:rPr>
  </w:style>
  <w:style w:type="paragraph" w:styleId="BodyText">
    <w:name w:val="Body Text"/>
    <w:basedOn w:val="Normal"/>
    <w:link w:val="BodyTextChar"/>
    <w:uiPriority w:val="99"/>
    <w:semiHidden/>
    <w:unhideWhenUsed/>
    <w:rsid w:val="004B523C"/>
    <w:pPr>
      <w:spacing w:after="120"/>
    </w:pPr>
  </w:style>
  <w:style w:type="character" w:customStyle="1" w:styleId="BodyTextChar">
    <w:name w:val="Body Text Char"/>
    <w:basedOn w:val="DefaultParagraphFont"/>
    <w:link w:val="BodyText"/>
    <w:uiPriority w:val="99"/>
    <w:semiHidden/>
    <w:rsid w:val="004B523C"/>
    <w:rPr>
      <w:rFonts w:ascii="Tahoma" w:eastAsia="Batang" w:hAnsi="Tahoma" w:cs="Times New Roman"/>
      <w:sz w:val="14"/>
      <w:szCs w:val="24"/>
      <w:lang w:eastAsia="ko-KR"/>
    </w:rPr>
  </w:style>
  <w:style w:type="paragraph" w:styleId="BalloonText">
    <w:name w:val="Balloon Text"/>
    <w:basedOn w:val="Normal"/>
    <w:link w:val="BalloonTextChar"/>
    <w:uiPriority w:val="99"/>
    <w:unhideWhenUsed/>
    <w:rsid w:val="004B523C"/>
    <w:rPr>
      <w:rFonts w:cs="Tahoma"/>
      <w:sz w:val="16"/>
      <w:szCs w:val="16"/>
    </w:rPr>
  </w:style>
  <w:style w:type="character" w:customStyle="1" w:styleId="BalloonTextChar">
    <w:name w:val="Balloon Text Char"/>
    <w:basedOn w:val="DefaultParagraphFont"/>
    <w:link w:val="BalloonText"/>
    <w:uiPriority w:val="99"/>
    <w:rsid w:val="004B523C"/>
    <w:rPr>
      <w:rFonts w:ascii="Tahoma" w:eastAsia="Batang" w:hAnsi="Tahoma" w:cs="Tahoma"/>
      <w:sz w:val="16"/>
      <w:szCs w:val="16"/>
      <w:lang w:eastAsia="ko-KR"/>
    </w:rPr>
  </w:style>
  <w:style w:type="character" w:customStyle="1" w:styleId="st1">
    <w:name w:val="st1"/>
    <w:basedOn w:val="DefaultParagraphFont"/>
    <w:rsid w:val="00F44E9A"/>
  </w:style>
  <w:style w:type="paragraph" w:customStyle="1" w:styleId="CM1">
    <w:name w:val="CM1"/>
    <w:basedOn w:val="Default"/>
    <w:next w:val="Default"/>
    <w:uiPriority w:val="99"/>
    <w:rsid w:val="008F0C94"/>
    <w:pPr>
      <w:widowControl/>
    </w:pPr>
    <w:rPr>
      <w:rFonts w:ascii="EUAlbertina" w:eastAsiaTheme="minorHAnsi" w:hAnsi="EUAlbertina" w:cstheme="minorBidi"/>
      <w:color w:val="auto"/>
      <w:lang w:eastAsia="en-US"/>
    </w:rPr>
  </w:style>
  <w:style w:type="paragraph" w:customStyle="1" w:styleId="CM3">
    <w:name w:val="CM3"/>
    <w:basedOn w:val="Default"/>
    <w:next w:val="Default"/>
    <w:uiPriority w:val="99"/>
    <w:rsid w:val="008F0C94"/>
    <w:pPr>
      <w:widowControl/>
    </w:pPr>
    <w:rPr>
      <w:rFonts w:ascii="EUAlbertina" w:eastAsiaTheme="minorHAnsi" w:hAnsi="EUAlbertina" w:cstheme="minorBidi"/>
      <w:color w:val="auto"/>
      <w:lang w:eastAsia="en-US"/>
    </w:rPr>
  </w:style>
  <w:style w:type="character" w:customStyle="1" w:styleId="apple-converted-space">
    <w:name w:val="apple-converted-space"/>
    <w:basedOn w:val="DefaultParagraphFont"/>
    <w:rsid w:val="00FD2EF3"/>
  </w:style>
  <w:style w:type="character" w:styleId="FollowedHyperlink">
    <w:name w:val="FollowedHyperlink"/>
    <w:basedOn w:val="DefaultParagraphFont"/>
    <w:uiPriority w:val="99"/>
    <w:unhideWhenUsed/>
    <w:rsid w:val="002F09DE"/>
    <w:rPr>
      <w:color w:val="800080" w:themeColor="followedHyperlink"/>
      <w:u w:val="single"/>
    </w:rPr>
  </w:style>
  <w:style w:type="paragraph" w:styleId="CommentSubject">
    <w:name w:val="annotation subject"/>
    <w:basedOn w:val="CommentText"/>
    <w:next w:val="CommentText"/>
    <w:link w:val="CommentSubjectChar"/>
    <w:uiPriority w:val="99"/>
    <w:unhideWhenUsed/>
    <w:rsid w:val="00176A61"/>
    <w:pPr>
      <w:spacing w:after="0"/>
    </w:pPr>
    <w:rPr>
      <w:rFonts w:eastAsia="Batang" w:cs="Times New Roman"/>
      <w:b/>
      <w:bCs/>
      <w:lang w:eastAsia="ko-KR"/>
    </w:rPr>
  </w:style>
  <w:style w:type="character" w:customStyle="1" w:styleId="CommentSubjectChar">
    <w:name w:val="Comment Subject Char"/>
    <w:basedOn w:val="CommentTextChar"/>
    <w:link w:val="CommentSubject"/>
    <w:uiPriority w:val="99"/>
    <w:rsid w:val="00176A61"/>
    <w:rPr>
      <w:rFonts w:ascii="Tahoma" w:eastAsia="Batang" w:hAnsi="Tahoma" w:cs="Times New Roman"/>
      <w:b/>
      <w:bCs/>
      <w:sz w:val="20"/>
      <w:szCs w:val="20"/>
      <w:lang w:eastAsia="ko-KR"/>
    </w:rPr>
  </w:style>
  <w:style w:type="paragraph" w:customStyle="1" w:styleId="CSRTitle-FigureTrichinella">
    <w:name w:val="CSR Title - Figure (Trichinella)"/>
    <w:basedOn w:val="Normal"/>
    <w:rsid w:val="00C82DDE"/>
    <w:pPr>
      <w:numPr>
        <w:numId w:val="9"/>
      </w:numPr>
      <w:suppressAutoHyphens/>
      <w:spacing w:before="360" w:after="120"/>
      <w:jc w:val="both"/>
    </w:pPr>
    <w:rPr>
      <w:rFonts w:ascii="Arial" w:eastAsia="Times New Roman" w:hAnsi="Arial" w:cs="Arial"/>
      <w:b/>
      <w:bCs/>
      <w:i/>
      <w:color w:val="004495"/>
      <w:sz w:val="20"/>
      <w:szCs w:val="20"/>
      <w:lang w:val="en-US"/>
    </w:rPr>
  </w:style>
  <w:style w:type="paragraph" w:styleId="Header">
    <w:name w:val="header"/>
    <w:basedOn w:val="Normal"/>
    <w:link w:val="HeaderChar"/>
    <w:uiPriority w:val="99"/>
    <w:unhideWhenUsed/>
    <w:rsid w:val="005157F5"/>
    <w:pPr>
      <w:tabs>
        <w:tab w:val="center" w:pos="4513"/>
        <w:tab w:val="right" w:pos="9026"/>
      </w:tabs>
    </w:pPr>
  </w:style>
  <w:style w:type="character" w:customStyle="1" w:styleId="HeaderChar">
    <w:name w:val="Header Char"/>
    <w:basedOn w:val="DefaultParagraphFont"/>
    <w:link w:val="Header"/>
    <w:uiPriority w:val="99"/>
    <w:rsid w:val="005157F5"/>
    <w:rPr>
      <w:rFonts w:ascii="Tahoma" w:eastAsia="Batang" w:hAnsi="Tahoma" w:cs="Times New Roman"/>
      <w:sz w:val="14"/>
      <w:szCs w:val="24"/>
      <w:lang w:eastAsia="ko-KR"/>
    </w:rPr>
  </w:style>
  <w:style w:type="paragraph" w:styleId="Footer">
    <w:name w:val="footer"/>
    <w:basedOn w:val="Normal"/>
    <w:link w:val="FooterChar"/>
    <w:uiPriority w:val="99"/>
    <w:unhideWhenUsed/>
    <w:rsid w:val="005157F5"/>
    <w:pPr>
      <w:tabs>
        <w:tab w:val="center" w:pos="4513"/>
        <w:tab w:val="right" w:pos="9026"/>
      </w:tabs>
    </w:pPr>
  </w:style>
  <w:style w:type="character" w:customStyle="1" w:styleId="FooterChar">
    <w:name w:val="Footer Char"/>
    <w:basedOn w:val="DefaultParagraphFont"/>
    <w:link w:val="Footer"/>
    <w:uiPriority w:val="99"/>
    <w:rsid w:val="005157F5"/>
    <w:rPr>
      <w:rFonts w:ascii="Tahoma" w:eastAsia="Batang" w:hAnsi="Tahoma" w:cs="Times New Roman"/>
      <w:sz w:val="14"/>
      <w:szCs w:val="24"/>
      <w:lang w:eastAsia="ko-KR"/>
    </w:rPr>
  </w:style>
  <w:style w:type="paragraph" w:styleId="TOC2">
    <w:name w:val="toc 2"/>
    <w:basedOn w:val="Normal"/>
    <w:next w:val="Normal"/>
    <w:autoRedefine/>
    <w:uiPriority w:val="39"/>
    <w:unhideWhenUsed/>
    <w:rsid w:val="00F239C1"/>
    <w:pPr>
      <w:spacing w:after="100"/>
      <w:ind w:left="140"/>
    </w:pPr>
  </w:style>
  <w:style w:type="paragraph" w:styleId="TOC1">
    <w:name w:val="toc 1"/>
    <w:basedOn w:val="Normal"/>
    <w:next w:val="Normal"/>
    <w:autoRedefine/>
    <w:uiPriority w:val="39"/>
    <w:unhideWhenUsed/>
    <w:rsid w:val="00E8227E"/>
    <w:pPr>
      <w:tabs>
        <w:tab w:val="right" w:leader="dot" w:pos="9040"/>
      </w:tabs>
      <w:spacing w:after="100"/>
    </w:pPr>
  </w:style>
  <w:style w:type="character" w:customStyle="1" w:styleId="Heading1Char">
    <w:name w:val="Heading 1 Char"/>
    <w:basedOn w:val="DefaultParagraphFont"/>
    <w:link w:val="Heading1"/>
    <w:uiPriority w:val="9"/>
    <w:rsid w:val="00A57E8E"/>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A57E8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A57E8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A57E8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A57E8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A57E8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A57E8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A57E8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A57E8E"/>
    <w:rPr>
      <w:rFonts w:asciiTheme="majorHAnsi" w:eastAsiaTheme="majorEastAsia" w:hAnsiTheme="majorHAnsi" w:cstheme="majorBidi"/>
      <w:i/>
      <w:iCs/>
      <w:color w:val="244061" w:themeColor="accent1" w:themeShade="80"/>
    </w:rPr>
  </w:style>
  <w:style w:type="numbering" w:customStyle="1" w:styleId="NoList1">
    <w:name w:val="No List1"/>
    <w:next w:val="NoList"/>
    <w:uiPriority w:val="99"/>
    <w:semiHidden/>
    <w:unhideWhenUsed/>
    <w:rsid w:val="00A229CE"/>
  </w:style>
  <w:style w:type="paragraph" w:customStyle="1" w:styleId="EC-Title-4-body-text-outline-level">
    <w:name w:val="EC-Title-4-body-text-outline-level"/>
    <w:next w:val="EC-Para"/>
    <w:uiPriority w:val="99"/>
    <w:rsid w:val="00A229CE"/>
    <w:pPr>
      <w:spacing w:after="240" w:line="240" w:lineRule="auto"/>
    </w:pPr>
    <w:rPr>
      <w:rFonts w:ascii="Tahoma" w:eastAsia="ヒラギノ角ゴ Pro W3" w:hAnsi="Tahoma" w:cs="Tahoma"/>
      <w:b/>
      <w:bCs/>
      <w:color w:val="69AE23"/>
      <w:sz w:val="40"/>
      <w:szCs w:val="40"/>
    </w:rPr>
  </w:style>
  <w:style w:type="paragraph" w:customStyle="1" w:styleId="EC-Title-4">
    <w:name w:val="EC-Title-4"/>
    <w:next w:val="EC-Para"/>
    <w:link w:val="EC-Title-4CharChar"/>
    <w:rsid w:val="00A229CE"/>
    <w:pPr>
      <w:autoSpaceDE w:val="0"/>
      <w:autoSpaceDN w:val="0"/>
      <w:adjustRightInd w:val="0"/>
      <w:spacing w:after="240" w:line="240" w:lineRule="auto"/>
      <w:outlineLvl w:val="0"/>
    </w:pPr>
    <w:rPr>
      <w:rFonts w:ascii="Tahoma" w:eastAsia="Batang" w:hAnsi="Tahoma" w:cs="Tahoma"/>
      <w:b/>
      <w:bCs/>
      <w:color w:val="69AE23"/>
      <w:sz w:val="40"/>
      <w:szCs w:val="40"/>
    </w:rPr>
  </w:style>
  <w:style w:type="character" w:customStyle="1" w:styleId="EC-Title-4CharChar">
    <w:name w:val="EC-Title-4 Char Char"/>
    <w:basedOn w:val="DefaultParagraphFont"/>
    <w:link w:val="EC-Title-4"/>
    <w:rsid w:val="00A229CE"/>
    <w:rPr>
      <w:rFonts w:ascii="Tahoma" w:eastAsia="Batang" w:hAnsi="Tahoma" w:cs="Tahoma"/>
      <w:b/>
      <w:bCs/>
      <w:color w:val="69AE23"/>
      <w:sz w:val="40"/>
      <w:szCs w:val="40"/>
    </w:rPr>
  </w:style>
  <w:style w:type="paragraph" w:customStyle="1" w:styleId="EC-Title-7">
    <w:name w:val="EC-Title-7"/>
    <w:next w:val="EC-Para"/>
    <w:link w:val="EC-Title-7Char"/>
    <w:rsid w:val="00A229CE"/>
    <w:pPr>
      <w:spacing w:before="120" w:after="0" w:line="240" w:lineRule="auto"/>
      <w:outlineLvl w:val="3"/>
    </w:pPr>
    <w:rPr>
      <w:rFonts w:ascii="Tahoma" w:eastAsia="Times New Roman" w:hAnsi="Tahoma" w:cs="Tahoma"/>
      <w:b/>
      <w:bCs/>
      <w:i/>
      <w:color w:val="69AE23"/>
    </w:rPr>
  </w:style>
  <w:style w:type="paragraph" w:customStyle="1" w:styleId="EC-List1">
    <w:name w:val="EC-List1"/>
    <w:next w:val="EC-Para"/>
    <w:link w:val="EC-List1Char"/>
    <w:uiPriority w:val="99"/>
    <w:rsid w:val="00A229CE"/>
    <w:pPr>
      <w:numPr>
        <w:numId w:val="33"/>
      </w:numPr>
      <w:tabs>
        <w:tab w:val="left" w:pos="567"/>
      </w:tabs>
      <w:spacing w:after="0" w:line="200" w:lineRule="atLeast"/>
      <w:ind w:left="567" w:hanging="567"/>
    </w:pPr>
    <w:rPr>
      <w:rFonts w:ascii="Tahoma" w:eastAsia="Batang" w:hAnsi="Tahoma" w:cs="Times New Roman"/>
      <w:kern w:val="22"/>
      <w:sz w:val="18"/>
      <w:szCs w:val="18"/>
      <w:lang w:eastAsia="ko-KR"/>
    </w:rPr>
  </w:style>
  <w:style w:type="character" w:customStyle="1" w:styleId="EC-List1Char">
    <w:name w:val="EC-List1 Char"/>
    <w:basedOn w:val="EC-ParaCharChar"/>
    <w:link w:val="EC-List1"/>
    <w:uiPriority w:val="99"/>
    <w:rsid w:val="00A229CE"/>
    <w:rPr>
      <w:rFonts w:ascii="Tahoma" w:eastAsia="Batang" w:hAnsi="Tahoma" w:cs="Times New Roman"/>
      <w:kern w:val="22"/>
      <w:sz w:val="18"/>
      <w:szCs w:val="18"/>
      <w:lang w:eastAsia="ko-KR"/>
    </w:rPr>
  </w:style>
  <w:style w:type="paragraph" w:customStyle="1" w:styleId="EC-List1end">
    <w:name w:val="EC-List1end"/>
    <w:basedOn w:val="EC-List1"/>
    <w:next w:val="EC-Para"/>
    <w:link w:val="EC-List1endCharChar"/>
    <w:uiPriority w:val="99"/>
    <w:rsid w:val="00A229CE"/>
    <w:pPr>
      <w:spacing w:after="120"/>
    </w:pPr>
  </w:style>
  <w:style w:type="character" w:customStyle="1" w:styleId="EC-List1endCharChar">
    <w:name w:val="EC-List1end Char Char"/>
    <w:basedOn w:val="EC-List1Char"/>
    <w:link w:val="EC-List1end"/>
    <w:uiPriority w:val="99"/>
    <w:rsid w:val="00A229CE"/>
    <w:rPr>
      <w:rFonts w:ascii="Tahoma" w:eastAsia="Batang" w:hAnsi="Tahoma" w:cs="Times New Roman"/>
      <w:kern w:val="22"/>
      <w:sz w:val="18"/>
      <w:szCs w:val="18"/>
      <w:lang w:eastAsia="ko-KR"/>
    </w:rPr>
  </w:style>
  <w:style w:type="paragraph" w:customStyle="1" w:styleId="EC-Refs">
    <w:name w:val="EC-Refs"/>
    <w:basedOn w:val="EC-Para"/>
    <w:rsid w:val="00A229CE"/>
    <w:pPr>
      <w:tabs>
        <w:tab w:val="left" w:pos="284"/>
      </w:tabs>
      <w:ind w:left="284" w:hanging="284"/>
    </w:pPr>
    <w:rPr>
      <w:szCs w:val="16"/>
    </w:rPr>
  </w:style>
  <w:style w:type="paragraph" w:customStyle="1" w:styleId="EC-TOC1">
    <w:name w:val="EC-TOC_1"/>
    <w:basedOn w:val="Normal"/>
    <w:rsid w:val="00A229CE"/>
    <w:pPr>
      <w:kinsoku w:val="0"/>
      <w:autoSpaceDE w:val="0"/>
      <w:autoSpaceDN w:val="0"/>
      <w:adjustRightInd w:val="0"/>
      <w:spacing w:after="40"/>
    </w:pPr>
    <w:rPr>
      <w:rFonts w:eastAsia="ヒラギノ角ゴ Pro W3"/>
      <w:noProof/>
      <w:color w:val="080808"/>
      <w:kern w:val="22"/>
      <w:szCs w:val="18"/>
    </w:rPr>
  </w:style>
  <w:style w:type="paragraph" w:customStyle="1" w:styleId="EC-List2">
    <w:name w:val="EC-List2"/>
    <w:basedOn w:val="EC-List1"/>
    <w:link w:val="EC-List2Char"/>
    <w:rsid w:val="00A229CE"/>
    <w:pPr>
      <w:numPr>
        <w:numId w:val="34"/>
      </w:numPr>
      <w:ind w:left="1134" w:hanging="567"/>
    </w:pPr>
    <w:rPr>
      <w:rFonts w:cs="Tahoma"/>
    </w:rPr>
  </w:style>
  <w:style w:type="character" w:customStyle="1" w:styleId="EC-List2Char">
    <w:name w:val="EC-List2 Char"/>
    <w:basedOn w:val="DefaultParagraphFont"/>
    <w:link w:val="EC-List2"/>
    <w:rsid w:val="00A229CE"/>
    <w:rPr>
      <w:rFonts w:ascii="Tahoma" w:eastAsia="Batang" w:hAnsi="Tahoma" w:cs="Tahoma"/>
      <w:kern w:val="22"/>
      <w:sz w:val="18"/>
      <w:szCs w:val="18"/>
      <w:lang w:eastAsia="ko-KR"/>
    </w:rPr>
  </w:style>
  <w:style w:type="paragraph" w:customStyle="1" w:styleId="EC-List2end">
    <w:name w:val="EC-List2end"/>
    <w:basedOn w:val="EC-List2"/>
    <w:link w:val="EC-List2endCharChar"/>
    <w:rsid w:val="00A229CE"/>
    <w:pPr>
      <w:spacing w:after="120"/>
    </w:pPr>
  </w:style>
  <w:style w:type="character" w:customStyle="1" w:styleId="EC-List2endCharChar">
    <w:name w:val="EC-List2end Char Char"/>
    <w:basedOn w:val="EC-List2Char"/>
    <w:link w:val="EC-List2end"/>
    <w:rsid w:val="00A229CE"/>
    <w:rPr>
      <w:rFonts w:ascii="Tahoma" w:eastAsia="Batang" w:hAnsi="Tahoma" w:cs="Tahoma"/>
      <w:kern w:val="22"/>
      <w:sz w:val="18"/>
      <w:szCs w:val="18"/>
      <w:lang w:eastAsia="ko-KR"/>
    </w:rPr>
  </w:style>
  <w:style w:type="table" w:customStyle="1" w:styleId="ECTable">
    <w:name w:val="EC Table"/>
    <w:basedOn w:val="TableNormal"/>
    <w:rsid w:val="00A229CE"/>
    <w:pPr>
      <w:widowControl w:val="0"/>
      <w:kinsoku w:val="0"/>
      <w:overflowPunct w:val="0"/>
      <w:autoSpaceDE w:val="0"/>
      <w:autoSpaceDN w:val="0"/>
      <w:spacing w:after="0" w:line="216" w:lineRule="auto"/>
    </w:pPr>
    <w:rPr>
      <w:rFonts w:ascii="Tahoma" w:eastAsia="Batang" w:hAnsi="Tahoma" w:cs="Times New Roman"/>
      <w:color w:val="000000"/>
      <w:spacing w:val="-2"/>
      <w:sz w:val="16"/>
      <w:szCs w:val="16"/>
      <w:lang w:eastAsia="en-GB"/>
    </w:rPr>
    <w:tblPr>
      <w:tblInd w:w="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blStylePr w:type="firstRow">
      <w:rPr>
        <w:rFonts w:ascii="Tahoma" w:hAnsi="Tahoma"/>
        <w:b/>
        <w:color w:val="FFFFFF"/>
        <w:sz w:val="16"/>
      </w:rPr>
      <w:tblPr/>
      <w:tcPr>
        <w:shd w:val="clear" w:color="auto" w:fill="69AE23"/>
      </w:tcPr>
    </w:tblStylePr>
  </w:style>
  <w:style w:type="paragraph" w:customStyle="1" w:styleId="EC-Footnote">
    <w:name w:val="EC-Footnote"/>
    <w:basedOn w:val="Normal"/>
    <w:rsid w:val="00A229CE"/>
    <w:pPr>
      <w:widowControl w:val="0"/>
      <w:kinsoku w:val="0"/>
      <w:autoSpaceDE w:val="0"/>
      <w:autoSpaceDN w:val="0"/>
      <w:adjustRightInd w:val="0"/>
      <w:spacing w:after="60" w:line="200" w:lineRule="atLeast"/>
    </w:pPr>
    <w:rPr>
      <w:rFonts w:eastAsia="Arial Unicode MS"/>
      <w:kern w:val="22"/>
      <w:sz w:val="16"/>
      <w:szCs w:val="18"/>
    </w:rPr>
  </w:style>
  <w:style w:type="paragraph" w:customStyle="1" w:styleId="EC-Caption-Source">
    <w:name w:val="EC-Caption-Source"/>
    <w:basedOn w:val="EC-Para"/>
    <w:next w:val="EC-Para"/>
    <w:rsid w:val="00A229CE"/>
    <w:pPr>
      <w:spacing w:before="120"/>
    </w:pPr>
    <w:rPr>
      <w:i/>
      <w:sz w:val="16"/>
      <w:szCs w:val="16"/>
    </w:rPr>
  </w:style>
  <w:style w:type="numbering" w:customStyle="1" w:styleId="EC-TOC">
    <w:name w:val="EC-TOC"/>
    <w:basedOn w:val="NoList"/>
    <w:rsid w:val="00A229CE"/>
    <w:pPr>
      <w:numPr>
        <w:numId w:val="32"/>
      </w:numPr>
    </w:pPr>
  </w:style>
  <w:style w:type="paragraph" w:customStyle="1" w:styleId="EC-PageNo">
    <w:name w:val="EC-PageNo"/>
    <w:basedOn w:val="Normal"/>
    <w:rsid w:val="00A229CE"/>
    <w:rPr>
      <w:sz w:val="20"/>
      <w:szCs w:val="20"/>
    </w:rPr>
  </w:style>
  <w:style w:type="paragraph" w:customStyle="1" w:styleId="EC-Title-8">
    <w:name w:val="EC-Title-8"/>
    <w:basedOn w:val="EC-Para"/>
    <w:link w:val="EC-Title-8Char"/>
    <w:autoRedefine/>
    <w:rsid w:val="00A229CE"/>
    <w:pPr>
      <w:spacing w:before="120" w:after="0"/>
    </w:pPr>
    <w:rPr>
      <w:b/>
      <w:color w:val="69AE23"/>
    </w:rPr>
  </w:style>
  <w:style w:type="character" w:customStyle="1" w:styleId="EC-Title-8Char">
    <w:name w:val="EC-Title-8 Char"/>
    <w:basedOn w:val="EC-ParaCharChar"/>
    <w:link w:val="EC-Title-8"/>
    <w:rsid w:val="00A229CE"/>
    <w:rPr>
      <w:rFonts w:ascii="Tahoma" w:eastAsia="Arial Unicode MS" w:hAnsi="Tahoma" w:cs="Times New Roman"/>
      <w:b/>
      <w:color w:val="69AE23"/>
      <w:kern w:val="22"/>
      <w:sz w:val="18"/>
      <w:szCs w:val="18"/>
      <w:lang w:eastAsia="ko-KR"/>
    </w:rPr>
  </w:style>
  <w:style w:type="paragraph" w:customStyle="1" w:styleId="EC-Para-no-6pt">
    <w:name w:val="EC-Para-no-6pt"/>
    <w:basedOn w:val="Normal"/>
    <w:uiPriority w:val="99"/>
    <w:rsid w:val="00A229CE"/>
    <w:pPr>
      <w:pBdr>
        <w:top w:val="single" w:sz="4" w:space="1" w:color="auto"/>
      </w:pBdr>
      <w:kinsoku w:val="0"/>
      <w:autoSpaceDE w:val="0"/>
      <w:autoSpaceDN w:val="0"/>
      <w:adjustRightInd w:val="0"/>
      <w:spacing w:line="200" w:lineRule="atLeast"/>
    </w:pPr>
    <w:rPr>
      <w:rFonts w:eastAsia="Arial Unicode MS"/>
      <w:kern w:val="22"/>
      <w:szCs w:val="18"/>
    </w:rPr>
  </w:style>
  <w:style w:type="paragraph" w:customStyle="1" w:styleId="EC-Paraline">
    <w:name w:val="EC-Para_line"/>
    <w:basedOn w:val="EC-Para"/>
    <w:rsid w:val="00A229CE"/>
    <w:pPr>
      <w:pBdr>
        <w:top w:val="single" w:sz="4" w:space="1" w:color="auto"/>
      </w:pBdr>
      <w:spacing w:after="0"/>
    </w:pPr>
  </w:style>
  <w:style w:type="character" w:customStyle="1" w:styleId="EC-Title-7Char">
    <w:name w:val="EC-Title-7 Char"/>
    <w:basedOn w:val="DefaultParagraphFont"/>
    <w:link w:val="EC-Title-7"/>
    <w:rsid w:val="00A229CE"/>
    <w:rPr>
      <w:rFonts w:ascii="Tahoma" w:eastAsia="Times New Roman" w:hAnsi="Tahoma" w:cs="Tahoma"/>
      <w:b/>
      <w:bCs/>
      <w:i/>
      <w:color w:val="69AE23"/>
    </w:rPr>
  </w:style>
  <w:style w:type="paragraph" w:styleId="TOC3">
    <w:name w:val="toc 3"/>
    <w:basedOn w:val="Normal"/>
    <w:next w:val="Normal"/>
    <w:autoRedefine/>
    <w:uiPriority w:val="39"/>
    <w:rsid w:val="00A229CE"/>
    <w:pPr>
      <w:ind w:left="510"/>
    </w:pPr>
  </w:style>
  <w:style w:type="paragraph" w:customStyle="1" w:styleId="EC-Title-Box">
    <w:name w:val="EC-Title-Box"/>
    <w:basedOn w:val="EC-Title-6"/>
    <w:rsid w:val="00A229CE"/>
    <w:pPr>
      <w:outlineLvl w:val="9"/>
    </w:pPr>
  </w:style>
  <w:style w:type="paragraph" w:customStyle="1" w:styleId="EC-Para-topspace">
    <w:name w:val="EC-Para-topspace"/>
    <w:basedOn w:val="EC-Para"/>
    <w:next w:val="EC-Para"/>
    <w:rsid w:val="00A229CE"/>
    <w:pPr>
      <w:spacing w:before="120"/>
    </w:pPr>
  </w:style>
  <w:style w:type="paragraph" w:customStyle="1" w:styleId="EC-TopPadding4EC-Title-4">
    <w:name w:val="EC-TopPadding_4_EC-Title-4"/>
    <w:basedOn w:val="EC-Title-4"/>
    <w:next w:val="EC-Title-4"/>
    <w:rsid w:val="00A229CE"/>
    <w:pPr>
      <w:spacing w:after="0" w:line="120" w:lineRule="auto"/>
      <w:outlineLvl w:val="9"/>
    </w:pPr>
    <w:rPr>
      <w:b w:val="0"/>
      <w:noProof/>
      <w:color w:val="A6A6A6" w:themeColor="background1" w:themeShade="A6"/>
      <w:sz w:val="4"/>
      <w:szCs w:val="4"/>
    </w:rPr>
  </w:style>
  <w:style w:type="paragraph" w:customStyle="1" w:styleId="EC-List1-table">
    <w:name w:val="EC-List1-table"/>
    <w:basedOn w:val="EC-List1"/>
    <w:rsid w:val="00A229CE"/>
    <w:pPr>
      <w:widowControl w:val="0"/>
      <w:numPr>
        <w:numId w:val="35"/>
      </w:numPr>
      <w:tabs>
        <w:tab w:val="clear" w:pos="567"/>
        <w:tab w:val="left" w:pos="205"/>
      </w:tabs>
      <w:kinsoku w:val="0"/>
      <w:overflowPunct w:val="0"/>
      <w:autoSpaceDE w:val="0"/>
      <w:autoSpaceDN w:val="0"/>
      <w:spacing w:line="216" w:lineRule="auto"/>
      <w:ind w:left="204" w:hanging="204"/>
    </w:pPr>
    <w:rPr>
      <w:color w:val="000000"/>
      <w:spacing w:val="-2"/>
      <w:sz w:val="16"/>
    </w:rPr>
  </w:style>
  <w:style w:type="paragraph" w:customStyle="1" w:styleId="EC-List1-tableend">
    <w:name w:val="EC-List1-table_end"/>
    <w:basedOn w:val="EC-List1-table"/>
    <w:rsid w:val="00A229CE"/>
    <w:pPr>
      <w:spacing w:after="80"/>
    </w:pPr>
  </w:style>
  <w:style w:type="paragraph" w:styleId="TableofFigures">
    <w:name w:val="table of figures"/>
    <w:basedOn w:val="Normal"/>
    <w:next w:val="Normal"/>
    <w:uiPriority w:val="99"/>
    <w:rsid w:val="00A229CE"/>
  </w:style>
  <w:style w:type="paragraph" w:customStyle="1" w:styleId="EC-Table-top">
    <w:name w:val="EC-Table-top"/>
    <w:basedOn w:val="EC-Para"/>
    <w:link w:val="EC-Table-topChar"/>
    <w:rsid w:val="00A229CE"/>
    <w:pPr>
      <w:outlineLvl w:val="7"/>
    </w:pPr>
    <w:rPr>
      <w:b/>
      <w:color w:val="000000" w:themeColor="text1"/>
    </w:rPr>
  </w:style>
  <w:style w:type="paragraph" w:customStyle="1" w:styleId="EC-Table-top-green">
    <w:name w:val="EC-Table-top-green"/>
    <w:basedOn w:val="EC-Para"/>
    <w:next w:val="EC-Para"/>
    <w:link w:val="EC-Table-top-greenChar"/>
    <w:rsid w:val="00A229CE"/>
    <w:rPr>
      <w:b/>
      <w:color w:val="69AE23"/>
    </w:rPr>
  </w:style>
  <w:style w:type="character" w:customStyle="1" w:styleId="EC-Table-topChar">
    <w:name w:val="EC-Table-top Char"/>
    <w:basedOn w:val="DefaultParagraphFont"/>
    <w:link w:val="EC-Table-top"/>
    <w:rsid w:val="00A229CE"/>
    <w:rPr>
      <w:rFonts w:ascii="Tahoma" w:eastAsia="Arial Unicode MS" w:hAnsi="Tahoma" w:cs="Times New Roman"/>
      <w:b/>
      <w:color w:val="000000" w:themeColor="text1"/>
      <w:kern w:val="22"/>
      <w:sz w:val="18"/>
      <w:szCs w:val="18"/>
      <w:lang w:eastAsia="ko-KR"/>
    </w:rPr>
  </w:style>
  <w:style w:type="character" w:customStyle="1" w:styleId="EC-Table-top-greenChar">
    <w:name w:val="EC-Table-top-green Char"/>
    <w:basedOn w:val="EC-Table-topChar"/>
    <w:link w:val="EC-Table-top-green"/>
    <w:rsid w:val="00A229CE"/>
    <w:rPr>
      <w:rFonts w:ascii="Tahoma" w:eastAsia="Arial Unicode MS" w:hAnsi="Tahoma" w:cs="Times New Roman"/>
      <w:b/>
      <w:color w:val="69AE23"/>
      <w:kern w:val="22"/>
      <w:sz w:val="18"/>
      <w:szCs w:val="18"/>
      <w:lang w:eastAsia="ko-KR"/>
    </w:rPr>
  </w:style>
  <w:style w:type="paragraph" w:customStyle="1" w:styleId="EC-Figure-top">
    <w:name w:val="EC-Figure-top"/>
    <w:basedOn w:val="EC-Para"/>
    <w:link w:val="EC-Figure-topChar"/>
    <w:autoRedefine/>
    <w:rsid w:val="00A229CE"/>
    <w:pPr>
      <w:spacing w:before="120" w:after="240"/>
    </w:pPr>
    <w:rPr>
      <w:b/>
      <w:color w:val="000000" w:themeColor="text1"/>
      <w:lang w:eastAsia="en-GB"/>
    </w:rPr>
  </w:style>
  <w:style w:type="paragraph" w:customStyle="1" w:styleId="EC-Figure-top-green">
    <w:name w:val="EC-Figure-top-green"/>
    <w:basedOn w:val="EC-Figure-top"/>
    <w:link w:val="EC-Figure-top-greenChar"/>
    <w:rsid w:val="00A229CE"/>
    <w:rPr>
      <w:color w:val="69AE23"/>
    </w:rPr>
  </w:style>
  <w:style w:type="character" w:customStyle="1" w:styleId="EC-Figure-topChar">
    <w:name w:val="EC-Figure-top Char"/>
    <w:basedOn w:val="EC-ParaCharChar"/>
    <w:link w:val="EC-Figure-top"/>
    <w:rsid w:val="00A229CE"/>
    <w:rPr>
      <w:rFonts w:ascii="Tahoma" w:eastAsia="Arial Unicode MS" w:hAnsi="Tahoma" w:cs="Times New Roman"/>
      <w:b/>
      <w:color w:val="000000" w:themeColor="text1"/>
      <w:kern w:val="22"/>
      <w:sz w:val="18"/>
      <w:szCs w:val="18"/>
      <w:lang w:eastAsia="en-GB"/>
    </w:rPr>
  </w:style>
  <w:style w:type="character" w:customStyle="1" w:styleId="EC-Figure-top-greenChar">
    <w:name w:val="EC-Figure-top-green Char"/>
    <w:basedOn w:val="EC-Figure-topChar"/>
    <w:link w:val="EC-Figure-top-green"/>
    <w:rsid w:val="00A229CE"/>
    <w:rPr>
      <w:rFonts w:ascii="Tahoma" w:eastAsia="Arial Unicode MS" w:hAnsi="Tahoma" w:cs="Times New Roman"/>
      <w:b/>
      <w:color w:val="69AE23"/>
      <w:kern w:val="22"/>
      <w:sz w:val="18"/>
      <w:szCs w:val="18"/>
      <w:lang w:eastAsia="en-GB"/>
    </w:rPr>
  </w:style>
  <w:style w:type="paragraph" w:styleId="TOC4">
    <w:name w:val="toc 4"/>
    <w:basedOn w:val="Normal"/>
    <w:next w:val="Normal"/>
    <w:autoRedefine/>
    <w:uiPriority w:val="39"/>
    <w:unhideWhenUsed/>
    <w:rsid w:val="00A229CE"/>
    <w:pPr>
      <w:spacing w:after="100" w:line="276" w:lineRule="auto"/>
      <w:ind w:left="660"/>
    </w:pPr>
    <w:rPr>
      <w:lang w:eastAsia="en-GB"/>
    </w:rPr>
  </w:style>
  <w:style w:type="paragraph" w:styleId="TOC5">
    <w:name w:val="toc 5"/>
    <w:basedOn w:val="Normal"/>
    <w:next w:val="Normal"/>
    <w:autoRedefine/>
    <w:uiPriority w:val="39"/>
    <w:unhideWhenUsed/>
    <w:rsid w:val="00A229CE"/>
    <w:pPr>
      <w:spacing w:after="100" w:line="276" w:lineRule="auto"/>
      <w:ind w:left="880"/>
    </w:pPr>
    <w:rPr>
      <w:lang w:eastAsia="en-GB"/>
    </w:rPr>
  </w:style>
  <w:style w:type="paragraph" w:styleId="TOC6">
    <w:name w:val="toc 6"/>
    <w:basedOn w:val="Normal"/>
    <w:next w:val="Normal"/>
    <w:autoRedefine/>
    <w:uiPriority w:val="39"/>
    <w:unhideWhenUsed/>
    <w:rsid w:val="00A229CE"/>
    <w:pPr>
      <w:spacing w:after="100" w:line="276" w:lineRule="auto"/>
      <w:ind w:left="1100"/>
    </w:pPr>
    <w:rPr>
      <w:lang w:eastAsia="en-GB"/>
    </w:rPr>
  </w:style>
  <w:style w:type="paragraph" w:styleId="TOC7">
    <w:name w:val="toc 7"/>
    <w:basedOn w:val="Normal"/>
    <w:next w:val="Normal"/>
    <w:autoRedefine/>
    <w:uiPriority w:val="39"/>
    <w:unhideWhenUsed/>
    <w:rsid w:val="00A229CE"/>
    <w:pPr>
      <w:spacing w:after="100" w:line="276" w:lineRule="auto"/>
      <w:ind w:left="1320"/>
    </w:pPr>
    <w:rPr>
      <w:lang w:eastAsia="en-GB"/>
    </w:rPr>
  </w:style>
  <w:style w:type="paragraph" w:styleId="TOC8">
    <w:name w:val="toc 8"/>
    <w:basedOn w:val="Normal"/>
    <w:next w:val="Normal"/>
    <w:autoRedefine/>
    <w:uiPriority w:val="39"/>
    <w:unhideWhenUsed/>
    <w:rsid w:val="00A229CE"/>
    <w:pPr>
      <w:spacing w:after="100" w:line="276" w:lineRule="auto"/>
      <w:ind w:left="1540"/>
    </w:pPr>
    <w:rPr>
      <w:lang w:eastAsia="en-GB"/>
    </w:rPr>
  </w:style>
  <w:style w:type="paragraph" w:styleId="TOC9">
    <w:name w:val="toc 9"/>
    <w:basedOn w:val="Normal"/>
    <w:next w:val="Normal"/>
    <w:autoRedefine/>
    <w:uiPriority w:val="39"/>
    <w:unhideWhenUsed/>
    <w:rsid w:val="00A229CE"/>
    <w:pPr>
      <w:spacing w:after="100" w:line="276" w:lineRule="auto"/>
      <w:ind w:left="1760"/>
    </w:pPr>
    <w:rPr>
      <w:lang w:eastAsia="en-GB"/>
    </w:rPr>
  </w:style>
  <w:style w:type="character" w:styleId="Strong">
    <w:name w:val="Strong"/>
    <w:basedOn w:val="DefaultParagraphFont"/>
    <w:uiPriority w:val="22"/>
    <w:qFormat/>
    <w:rsid w:val="00A57E8E"/>
    <w:rPr>
      <w:b/>
      <w:bCs/>
    </w:rPr>
  </w:style>
  <w:style w:type="paragraph" w:styleId="DocumentMap">
    <w:name w:val="Document Map"/>
    <w:basedOn w:val="Normal"/>
    <w:link w:val="DocumentMapChar"/>
    <w:uiPriority w:val="99"/>
    <w:rsid w:val="00A229CE"/>
    <w:rPr>
      <w:rFonts w:cs="Tahoma"/>
      <w:sz w:val="16"/>
      <w:szCs w:val="16"/>
    </w:rPr>
  </w:style>
  <w:style w:type="character" w:customStyle="1" w:styleId="DocumentMapChar">
    <w:name w:val="Document Map Char"/>
    <w:basedOn w:val="DefaultParagraphFont"/>
    <w:link w:val="DocumentMap"/>
    <w:uiPriority w:val="99"/>
    <w:rsid w:val="00A229CE"/>
    <w:rPr>
      <w:rFonts w:ascii="Tahoma" w:eastAsia="Batang" w:hAnsi="Tahoma" w:cs="Tahoma"/>
      <w:sz w:val="16"/>
      <w:szCs w:val="16"/>
      <w:lang w:eastAsia="ko-KR"/>
    </w:rPr>
  </w:style>
  <w:style w:type="paragraph" w:customStyle="1" w:styleId="BasicParagraph">
    <w:name w:val="[Basic Paragraph]"/>
    <w:basedOn w:val="Normal"/>
    <w:uiPriority w:val="99"/>
    <w:rsid w:val="00A229CE"/>
    <w:pPr>
      <w:autoSpaceDE w:val="0"/>
      <w:autoSpaceDN w:val="0"/>
      <w:adjustRightInd w:val="0"/>
      <w:spacing w:line="288" w:lineRule="auto"/>
      <w:textAlignment w:val="center"/>
    </w:pPr>
    <w:rPr>
      <w:rFonts w:ascii="Times New Roman" w:eastAsia="Times New Roman" w:hAnsi="Times New Roman"/>
      <w:sz w:val="24"/>
      <w:lang w:eastAsia="en-GB"/>
    </w:rPr>
  </w:style>
  <w:style w:type="paragraph" w:customStyle="1" w:styleId="HeadlinesectionHeadlines">
    <w:name w:val="Headline section (Headlines)"/>
    <w:basedOn w:val="Normal"/>
    <w:uiPriority w:val="99"/>
    <w:rsid w:val="00A229CE"/>
    <w:pPr>
      <w:keepNext/>
      <w:keepLines/>
      <w:suppressAutoHyphens/>
      <w:autoSpaceDE w:val="0"/>
      <w:autoSpaceDN w:val="0"/>
      <w:adjustRightInd w:val="0"/>
      <w:spacing w:line="500" w:lineRule="atLeast"/>
      <w:textAlignment w:val="center"/>
    </w:pPr>
    <w:rPr>
      <w:rFonts w:ascii="MetaPro-Bold" w:eastAsia="Times New Roman" w:hAnsi="MetaPro-Bold" w:cs="MetaPro-Bold"/>
      <w:b/>
      <w:bCs/>
      <w:color w:val="61BB46"/>
      <w:sz w:val="46"/>
      <w:szCs w:val="46"/>
      <w:lang w:eastAsia="en-GB"/>
    </w:rPr>
  </w:style>
  <w:style w:type="paragraph" w:customStyle="1" w:styleId="TextText">
    <w:name w:val="Text (Text)"/>
    <w:basedOn w:val="Normal"/>
    <w:uiPriority w:val="99"/>
    <w:rsid w:val="00A229CE"/>
    <w:pPr>
      <w:tabs>
        <w:tab w:val="left" w:pos="227"/>
      </w:tabs>
      <w:autoSpaceDE w:val="0"/>
      <w:autoSpaceDN w:val="0"/>
      <w:adjustRightInd w:val="0"/>
      <w:spacing w:before="113" w:after="57" w:line="200" w:lineRule="atLeast"/>
      <w:jc w:val="both"/>
      <w:textAlignment w:val="center"/>
    </w:pPr>
    <w:rPr>
      <w:rFonts w:ascii="MetaPro-Book" w:eastAsia="Times New Roman" w:hAnsi="MetaPro-Book" w:cs="MetaPro-Book"/>
      <w:color w:val="58585B"/>
      <w:sz w:val="17"/>
      <w:szCs w:val="17"/>
      <w:lang w:eastAsia="en-GB"/>
    </w:rPr>
  </w:style>
  <w:style w:type="paragraph" w:customStyle="1" w:styleId="SeparatorHeadlines">
    <w:name w:val="Separator (Headlines)"/>
    <w:basedOn w:val="Normal"/>
    <w:uiPriority w:val="99"/>
    <w:rsid w:val="00A229CE"/>
    <w:pPr>
      <w:suppressAutoHyphens/>
      <w:autoSpaceDE w:val="0"/>
      <w:autoSpaceDN w:val="0"/>
      <w:adjustRightInd w:val="0"/>
      <w:spacing w:line="288" w:lineRule="auto"/>
      <w:jc w:val="right"/>
      <w:textAlignment w:val="center"/>
    </w:pPr>
    <w:rPr>
      <w:rFonts w:ascii="MetaPro-Bold" w:eastAsia="Times New Roman" w:hAnsi="MetaPro-Bold" w:cs="MetaPro-Bold"/>
      <w:b/>
      <w:bCs/>
      <w:color w:val="58585B"/>
      <w:sz w:val="50"/>
      <w:szCs w:val="50"/>
      <w:lang w:eastAsia="en-GB"/>
    </w:rPr>
  </w:style>
  <w:style w:type="paragraph" w:customStyle="1" w:styleId="Headline1Headlines">
    <w:name w:val="Headline1 (Headlines)"/>
    <w:basedOn w:val="Normal"/>
    <w:uiPriority w:val="99"/>
    <w:rsid w:val="00A229CE"/>
    <w:pPr>
      <w:keepNext/>
      <w:keepLines/>
      <w:suppressAutoHyphens/>
      <w:autoSpaceDE w:val="0"/>
      <w:autoSpaceDN w:val="0"/>
      <w:adjustRightInd w:val="0"/>
      <w:spacing w:before="170" w:line="300" w:lineRule="atLeast"/>
      <w:textAlignment w:val="center"/>
    </w:pPr>
    <w:rPr>
      <w:rFonts w:ascii="MetaPro-Bold" w:eastAsia="Times New Roman" w:hAnsi="MetaPro-Bold" w:cs="MetaPro-Bold"/>
      <w:b/>
      <w:bCs/>
      <w:color w:val="61BB46"/>
      <w:sz w:val="30"/>
      <w:szCs w:val="30"/>
      <w:lang w:eastAsia="en-GB"/>
    </w:rPr>
  </w:style>
  <w:style w:type="paragraph" w:customStyle="1" w:styleId="FootnotetextText">
    <w:name w:val="Footnote text (Text)"/>
    <w:basedOn w:val="TextText"/>
    <w:uiPriority w:val="99"/>
    <w:rsid w:val="00A229CE"/>
  </w:style>
  <w:style w:type="character" w:customStyle="1" w:styleId="Footnoteintext">
    <w:name w:val="Footnote in text"/>
    <w:uiPriority w:val="99"/>
    <w:rsid w:val="00A229CE"/>
    <w:rPr>
      <w:caps/>
      <w:vertAlign w:val="superscript"/>
    </w:rPr>
  </w:style>
  <w:style w:type="paragraph" w:customStyle="1" w:styleId="textbulletText">
    <w:name w:val="text bullet (Text)"/>
    <w:basedOn w:val="TextText"/>
    <w:uiPriority w:val="99"/>
    <w:rsid w:val="00A229CE"/>
  </w:style>
  <w:style w:type="paragraph" w:customStyle="1" w:styleId="Headline2Headlines">
    <w:name w:val="Headline2 (Headlines)"/>
    <w:basedOn w:val="Headline1Headlines"/>
    <w:uiPriority w:val="99"/>
    <w:rsid w:val="00A229CE"/>
  </w:style>
  <w:style w:type="paragraph" w:customStyle="1" w:styleId="Headline3Headlines">
    <w:name w:val="Headline3 (Headlines)"/>
    <w:basedOn w:val="Headline2Headlines"/>
    <w:uiPriority w:val="99"/>
    <w:rsid w:val="00A229CE"/>
    <w:pPr>
      <w:spacing w:line="200" w:lineRule="atLeast"/>
    </w:pPr>
    <w:rPr>
      <w:color w:val="58585B"/>
      <w:sz w:val="17"/>
      <w:szCs w:val="17"/>
    </w:rPr>
  </w:style>
  <w:style w:type="paragraph" w:customStyle="1" w:styleId="TextohneabsobText">
    <w:name w:val="Text ohne abs ob (Text)"/>
    <w:basedOn w:val="TextText"/>
    <w:uiPriority w:val="99"/>
    <w:rsid w:val="00A229CE"/>
  </w:style>
  <w:style w:type="paragraph" w:customStyle="1" w:styleId="ContentstablesContents">
    <w:name w:val="Contents tables (Contents)"/>
    <w:basedOn w:val="Normal"/>
    <w:uiPriority w:val="99"/>
    <w:rsid w:val="00A229CE"/>
    <w:pPr>
      <w:tabs>
        <w:tab w:val="right" w:pos="9071"/>
      </w:tabs>
      <w:suppressAutoHyphens/>
      <w:autoSpaceDE w:val="0"/>
      <w:autoSpaceDN w:val="0"/>
      <w:adjustRightInd w:val="0"/>
      <w:spacing w:before="40" w:after="28" w:line="170" w:lineRule="atLeast"/>
      <w:ind w:right="567"/>
      <w:jc w:val="both"/>
      <w:textAlignment w:val="center"/>
    </w:pPr>
    <w:rPr>
      <w:rFonts w:ascii="MetaPro-Normal" w:eastAsia="Times New Roman" w:hAnsi="MetaPro-Normal" w:cs="MetaPro-Normal"/>
      <w:color w:val="58585B"/>
      <w:szCs w:val="14"/>
      <w:lang w:eastAsia="en-GB"/>
    </w:rPr>
  </w:style>
  <w:style w:type="character" w:customStyle="1" w:styleId="BOLD">
    <w:name w:val="BOLD"/>
    <w:uiPriority w:val="99"/>
    <w:rsid w:val="00A229CE"/>
    <w:rPr>
      <w:b/>
      <w:bCs/>
    </w:rPr>
  </w:style>
  <w:style w:type="character" w:customStyle="1" w:styleId="DotsContents">
    <w:name w:val="Dots (Contents)"/>
    <w:uiPriority w:val="99"/>
    <w:rsid w:val="00A229CE"/>
    <w:rPr>
      <w:rFonts w:ascii="MetaPro-Normal" w:hAnsi="MetaPro-Normal" w:cs="MetaPro-Normal"/>
      <w:color w:val="000000"/>
      <w:sz w:val="10"/>
      <w:szCs w:val="10"/>
    </w:rPr>
  </w:style>
  <w:style w:type="character" w:customStyle="1" w:styleId="NumberContents">
    <w:name w:val="Number (Contents)"/>
    <w:uiPriority w:val="99"/>
    <w:rsid w:val="00A229CE"/>
    <w:rPr>
      <w:rFonts w:ascii="MetaPro-Normal" w:hAnsi="MetaPro-Normal" w:cs="MetaPro-Normal"/>
      <w:color w:val="58585B"/>
      <w:sz w:val="17"/>
      <w:szCs w:val="17"/>
    </w:rPr>
  </w:style>
  <w:style w:type="character" w:customStyle="1" w:styleId="BookItalic">
    <w:name w:val="Book Italic"/>
    <w:uiPriority w:val="99"/>
    <w:rsid w:val="00A229CE"/>
    <w:rPr>
      <w:i/>
      <w:iCs/>
    </w:rPr>
  </w:style>
  <w:style w:type="paragraph" w:customStyle="1" w:styleId="3xHeadlines">
    <w:name w:val="3.x (Headlines)"/>
    <w:basedOn w:val="Normal"/>
    <w:uiPriority w:val="99"/>
    <w:rsid w:val="00A229CE"/>
    <w:pPr>
      <w:suppressAutoHyphens/>
      <w:autoSpaceDE w:val="0"/>
      <w:autoSpaceDN w:val="0"/>
      <w:adjustRightInd w:val="0"/>
      <w:spacing w:line="288" w:lineRule="auto"/>
      <w:textAlignment w:val="center"/>
    </w:pPr>
    <w:rPr>
      <w:rFonts w:ascii="MetaPro-Bold" w:eastAsia="Times New Roman" w:hAnsi="MetaPro-Bold" w:cs="MetaPro-Bold"/>
      <w:b/>
      <w:bCs/>
      <w:color w:val="FFFFFF"/>
      <w:sz w:val="50"/>
      <w:szCs w:val="50"/>
      <w:lang w:eastAsia="en-GB"/>
    </w:rPr>
  </w:style>
  <w:style w:type="paragraph" w:customStyle="1" w:styleId="ReferencesText">
    <w:name w:val="References (Text)"/>
    <w:basedOn w:val="Normal"/>
    <w:uiPriority w:val="99"/>
    <w:rsid w:val="00A229CE"/>
    <w:pPr>
      <w:autoSpaceDE w:val="0"/>
      <w:autoSpaceDN w:val="0"/>
      <w:adjustRightInd w:val="0"/>
      <w:spacing w:before="57" w:line="140" w:lineRule="atLeast"/>
      <w:ind w:left="283" w:hanging="283"/>
      <w:jc w:val="both"/>
      <w:textAlignment w:val="center"/>
    </w:pPr>
    <w:rPr>
      <w:rFonts w:ascii="MetaPro-Normal" w:eastAsia="Times New Roman" w:hAnsi="MetaPro-Normal" w:cs="MetaPro-Normal"/>
      <w:color w:val="58585B"/>
      <w:sz w:val="13"/>
      <w:szCs w:val="13"/>
      <w:lang w:eastAsia="en-GB"/>
    </w:rPr>
  </w:style>
  <w:style w:type="character" w:customStyle="1" w:styleId="BOLDITALIC">
    <w:name w:val="BOLD ITALIC"/>
    <w:uiPriority w:val="99"/>
    <w:rsid w:val="00A229CE"/>
    <w:rPr>
      <w:b/>
      <w:bCs/>
      <w:i/>
      <w:iCs/>
    </w:rPr>
  </w:style>
  <w:style w:type="character" w:customStyle="1" w:styleId="BoldItalic0">
    <w:name w:val="Bold+Italic"/>
    <w:uiPriority w:val="99"/>
    <w:rsid w:val="00A229CE"/>
    <w:rPr>
      <w:b/>
      <w:bCs/>
      <w:i/>
      <w:iCs/>
    </w:rPr>
  </w:style>
  <w:style w:type="paragraph" w:customStyle="1" w:styleId="TitleTable">
    <w:name w:val="Title (Table)"/>
    <w:basedOn w:val="TextText"/>
    <w:uiPriority w:val="99"/>
    <w:rsid w:val="00A229CE"/>
  </w:style>
  <w:style w:type="paragraph" w:customStyle="1" w:styleId="FootnotetablesText">
    <w:name w:val="Footnote tables (Text)"/>
    <w:basedOn w:val="Normal"/>
    <w:uiPriority w:val="99"/>
    <w:rsid w:val="00A229CE"/>
    <w:pPr>
      <w:tabs>
        <w:tab w:val="left" w:pos="227"/>
      </w:tabs>
      <w:suppressAutoHyphens/>
      <w:autoSpaceDE w:val="0"/>
      <w:autoSpaceDN w:val="0"/>
      <w:adjustRightInd w:val="0"/>
      <w:spacing w:line="120" w:lineRule="atLeast"/>
      <w:ind w:left="113" w:hanging="113"/>
      <w:textAlignment w:val="center"/>
    </w:pPr>
    <w:rPr>
      <w:rFonts w:ascii="MetaPro-Normal" w:eastAsia="Times New Roman" w:hAnsi="MetaPro-Normal" w:cs="MetaPro-Normal"/>
      <w:sz w:val="12"/>
      <w:szCs w:val="12"/>
      <w:lang w:eastAsia="en-GB"/>
    </w:rPr>
  </w:style>
  <w:style w:type="paragraph" w:customStyle="1" w:styleId="TexttableTable">
    <w:name w:val="Text table (Table)"/>
    <w:basedOn w:val="TextText"/>
    <w:uiPriority w:val="99"/>
    <w:rsid w:val="00A229CE"/>
  </w:style>
  <w:style w:type="paragraph" w:customStyle="1" w:styleId="TexttableheaderTable">
    <w:name w:val="Text table header (Table)"/>
    <w:basedOn w:val="TexttableTable"/>
    <w:uiPriority w:val="99"/>
    <w:rsid w:val="00A229CE"/>
  </w:style>
  <w:style w:type="character" w:customStyle="1" w:styleId="TitleTableFigureTable">
    <w:name w:val="Title Table/Figure (Table)"/>
    <w:uiPriority w:val="99"/>
    <w:rsid w:val="00A229CE"/>
    <w:rPr>
      <w:color w:val="61BB46"/>
    </w:rPr>
  </w:style>
  <w:style w:type="character" w:customStyle="1" w:styleId="Teksttiltoppen">
    <w:name w:val="Tekst til toppen"/>
    <w:uiPriority w:val="99"/>
    <w:rsid w:val="00A229CE"/>
    <w:rPr>
      <w:rFonts w:ascii="MetaPro-Bold" w:hAnsi="MetaPro-Bold" w:cs="MetaPro-Bold"/>
      <w:b/>
      <w:bCs/>
      <w:sz w:val="50"/>
      <w:szCs w:val="50"/>
    </w:rPr>
  </w:style>
  <w:style w:type="paragraph" w:styleId="Revision">
    <w:name w:val="Revision"/>
    <w:hidden/>
    <w:uiPriority w:val="99"/>
    <w:semiHidden/>
    <w:rsid w:val="00A229CE"/>
    <w:pPr>
      <w:spacing w:after="0" w:line="240" w:lineRule="auto"/>
    </w:pPr>
    <w:rPr>
      <w:rFonts w:ascii="Tahoma" w:eastAsia="Batang" w:hAnsi="Tahoma" w:cs="Times New Roman"/>
      <w:sz w:val="14"/>
      <w:szCs w:val="24"/>
      <w:lang w:eastAsia="ko-KR"/>
    </w:rPr>
  </w:style>
  <w:style w:type="character" w:customStyle="1" w:styleId="BOLDITALI">
    <w:name w:val="BOLD+ITALI"/>
    <w:uiPriority w:val="99"/>
    <w:rsid w:val="00A229CE"/>
    <w:rPr>
      <w:b/>
      <w:bCs/>
      <w:i/>
      <w:iCs/>
    </w:rPr>
  </w:style>
  <w:style w:type="paragraph" w:customStyle="1" w:styleId="ECFootnote">
    <w:name w:val="EC Footnote"/>
    <w:basedOn w:val="Normal"/>
    <w:rsid w:val="00A229CE"/>
    <w:pPr>
      <w:widowControl w:val="0"/>
      <w:kinsoku w:val="0"/>
      <w:autoSpaceDE w:val="0"/>
      <w:autoSpaceDN w:val="0"/>
      <w:adjustRightInd w:val="0"/>
      <w:spacing w:after="60" w:line="200" w:lineRule="atLeast"/>
    </w:pPr>
    <w:rPr>
      <w:rFonts w:eastAsia="Arial Unicode MS"/>
      <w:kern w:val="22"/>
      <w:sz w:val="16"/>
      <w:szCs w:val="18"/>
    </w:rPr>
  </w:style>
  <w:style w:type="paragraph" w:customStyle="1" w:styleId="Figurehead">
    <w:name w:val="Figure head"/>
    <w:basedOn w:val="Heading4"/>
    <w:link w:val="FigureheadChar"/>
    <w:rsid w:val="00A229CE"/>
    <w:pPr>
      <w:jc w:val="both"/>
    </w:pPr>
    <w:rPr>
      <w:rFonts w:ascii="Arial" w:eastAsia="Times New Roman" w:hAnsi="Arial"/>
      <w:sz w:val="20"/>
    </w:rPr>
  </w:style>
  <w:style w:type="character" w:customStyle="1" w:styleId="FigureheadChar">
    <w:name w:val="Figure head Char"/>
    <w:basedOn w:val="DefaultParagraphFont"/>
    <w:link w:val="Figurehead"/>
    <w:rsid w:val="00A229CE"/>
    <w:rPr>
      <w:rFonts w:ascii="Arial" w:eastAsia="Times New Roman" w:hAnsi="Arial" w:cs="Times New Roman"/>
      <w:b/>
      <w:bCs/>
      <w:sz w:val="20"/>
      <w:szCs w:val="28"/>
    </w:rPr>
  </w:style>
  <w:style w:type="paragraph" w:styleId="EndnoteText">
    <w:name w:val="endnote text"/>
    <w:basedOn w:val="Normal"/>
    <w:link w:val="EndnoteTextChar"/>
    <w:uiPriority w:val="99"/>
    <w:semiHidden/>
    <w:rsid w:val="00A229CE"/>
    <w:rPr>
      <w:sz w:val="20"/>
      <w:szCs w:val="20"/>
    </w:rPr>
  </w:style>
  <w:style w:type="character" w:customStyle="1" w:styleId="EndnoteTextChar">
    <w:name w:val="Endnote Text Char"/>
    <w:basedOn w:val="DefaultParagraphFont"/>
    <w:link w:val="EndnoteText"/>
    <w:uiPriority w:val="99"/>
    <w:semiHidden/>
    <w:rsid w:val="00A229CE"/>
    <w:rPr>
      <w:rFonts w:ascii="Tahoma" w:eastAsia="Batang" w:hAnsi="Tahoma" w:cs="Times New Roman"/>
      <w:sz w:val="20"/>
      <w:szCs w:val="20"/>
      <w:lang w:eastAsia="ko-KR"/>
    </w:rPr>
  </w:style>
  <w:style w:type="character" w:styleId="EndnoteReference">
    <w:name w:val="endnote reference"/>
    <w:basedOn w:val="DefaultParagraphFont"/>
    <w:uiPriority w:val="99"/>
    <w:rsid w:val="00A229CE"/>
    <w:rPr>
      <w:vertAlign w:val="superscript"/>
    </w:rPr>
  </w:style>
  <w:style w:type="paragraph" w:customStyle="1" w:styleId="NoParagraphStyle">
    <w:name w:val="[No Paragraph Style]"/>
    <w:rsid w:val="00A229C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Heading71">
    <w:name w:val="Heading 71"/>
    <w:basedOn w:val="Normal"/>
    <w:next w:val="Normal"/>
    <w:locked/>
    <w:rsid w:val="00A229CE"/>
    <w:pPr>
      <w:keepNext/>
      <w:keepLines/>
      <w:spacing w:before="200"/>
      <w:outlineLvl w:val="6"/>
    </w:pPr>
    <w:rPr>
      <w:rFonts w:ascii="Cambria" w:eastAsia="Times New Roman" w:hAnsi="Cambria"/>
      <w:i/>
      <w:iCs/>
      <w:color w:val="404040"/>
    </w:rPr>
  </w:style>
  <w:style w:type="paragraph" w:customStyle="1" w:styleId="Heading81">
    <w:name w:val="Heading 81"/>
    <w:basedOn w:val="Normal"/>
    <w:next w:val="Normal"/>
    <w:locked/>
    <w:rsid w:val="00A229CE"/>
    <w:pPr>
      <w:keepNext/>
      <w:keepLines/>
      <w:spacing w:before="200"/>
      <w:outlineLvl w:val="7"/>
    </w:pPr>
    <w:rPr>
      <w:rFonts w:ascii="Cambria" w:eastAsia="Times New Roman" w:hAnsi="Cambria"/>
      <w:color w:val="404040"/>
      <w:sz w:val="20"/>
      <w:szCs w:val="20"/>
    </w:rPr>
  </w:style>
  <w:style w:type="paragraph" w:customStyle="1" w:styleId="Heading91">
    <w:name w:val="Heading 91"/>
    <w:basedOn w:val="Normal"/>
    <w:next w:val="Normal"/>
    <w:locked/>
    <w:rsid w:val="00A229CE"/>
    <w:pPr>
      <w:keepNext/>
      <w:keepLines/>
      <w:spacing w:before="200"/>
      <w:outlineLvl w:val="8"/>
    </w:pPr>
    <w:rPr>
      <w:rFonts w:ascii="Cambria" w:eastAsia="Times New Roman" w:hAnsi="Cambria"/>
      <w:i/>
      <w:iCs/>
      <w:color w:val="404040"/>
      <w:sz w:val="20"/>
      <w:szCs w:val="20"/>
    </w:rPr>
  </w:style>
  <w:style w:type="numbering" w:customStyle="1" w:styleId="NoList11">
    <w:name w:val="No List11"/>
    <w:next w:val="NoList"/>
    <w:uiPriority w:val="99"/>
    <w:semiHidden/>
    <w:unhideWhenUsed/>
    <w:rsid w:val="00A229CE"/>
  </w:style>
  <w:style w:type="character" w:customStyle="1" w:styleId="FollowedHyperlink1">
    <w:name w:val="FollowedHyperlink1"/>
    <w:basedOn w:val="DefaultParagraphFont"/>
    <w:locked/>
    <w:rsid w:val="00A229CE"/>
    <w:rPr>
      <w:rFonts w:ascii="Tahoma" w:hAnsi="Tahoma"/>
      <w:color w:val="76923C"/>
      <w:sz w:val="18"/>
      <w:u w:val="single"/>
    </w:rPr>
  </w:style>
  <w:style w:type="paragraph" w:customStyle="1" w:styleId="TOC41">
    <w:name w:val="TOC 41"/>
    <w:basedOn w:val="Normal"/>
    <w:next w:val="Normal"/>
    <w:autoRedefine/>
    <w:uiPriority w:val="39"/>
    <w:unhideWhenUsed/>
    <w:locked/>
    <w:rsid w:val="00A229CE"/>
    <w:pPr>
      <w:spacing w:after="100" w:line="276" w:lineRule="auto"/>
      <w:ind w:left="660"/>
    </w:pPr>
    <w:rPr>
      <w:rFonts w:eastAsia="Times New Roman"/>
      <w:lang w:eastAsia="en-GB"/>
    </w:rPr>
  </w:style>
  <w:style w:type="paragraph" w:customStyle="1" w:styleId="TOC51">
    <w:name w:val="TOC 51"/>
    <w:basedOn w:val="Normal"/>
    <w:next w:val="Normal"/>
    <w:autoRedefine/>
    <w:uiPriority w:val="39"/>
    <w:unhideWhenUsed/>
    <w:locked/>
    <w:rsid w:val="00A229CE"/>
    <w:pPr>
      <w:spacing w:after="100" w:line="276" w:lineRule="auto"/>
      <w:ind w:left="880"/>
    </w:pPr>
    <w:rPr>
      <w:rFonts w:eastAsia="Times New Roman"/>
      <w:lang w:eastAsia="en-GB"/>
    </w:rPr>
  </w:style>
  <w:style w:type="paragraph" w:customStyle="1" w:styleId="TOC61">
    <w:name w:val="TOC 61"/>
    <w:basedOn w:val="Normal"/>
    <w:next w:val="Normal"/>
    <w:autoRedefine/>
    <w:uiPriority w:val="39"/>
    <w:unhideWhenUsed/>
    <w:locked/>
    <w:rsid w:val="00A229CE"/>
    <w:pPr>
      <w:spacing w:after="100" w:line="276" w:lineRule="auto"/>
      <w:ind w:left="1100"/>
    </w:pPr>
    <w:rPr>
      <w:rFonts w:eastAsia="Times New Roman"/>
      <w:lang w:eastAsia="en-GB"/>
    </w:rPr>
  </w:style>
  <w:style w:type="paragraph" w:customStyle="1" w:styleId="TOC71">
    <w:name w:val="TOC 71"/>
    <w:basedOn w:val="Normal"/>
    <w:next w:val="Normal"/>
    <w:autoRedefine/>
    <w:uiPriority w:val="39"/>
    <w:unhideWhenUsed/>
    <w:locked/>
    <w:rsid w:val="00A229CE"/>
    <w:pPr>
      <w:spacing w:after="100" w:line="276" w:lineRule="auto"/>
      <w:ind w:left="1320"/>
    </w:pPr>
    <w:rPr>
      <w:rFonts w:eastAsia="Times New Roman"/>
      <w:lang w:eastAsia="en-GB"/>
    </w:rPr>
  </w:style>
  <w:style w:type="paragraph" w:customStyle="1" w:styleId="TOC81">
    <w:name w:val="TOC 81"/>
    <w:basedOn w:val="Normal"/>
    <w:next w:val="Normal"/>
    <w:autoRedefine/>
    <w:uiPriority w:val="39"/>
    <w:unhideWhenUsed/>
    <w:locked/>
    <w:rsid w:val="00A229CE"/>
    <w:pPr>
      <w:spacing w:after="100" w:line="276" w:lineRule="auto"/>
      <w:ind w:left="1540"/>
    </w:pPr>
    <w:rPr>
      <w:rFonts w:eastAsia="Times New Roman"/>
      <w:lang w:eastAsia="en-GB"/>
    </w:rPr>
  </w:style>
  <w:style w:type="paragraph" w:customStyle="1" w:styleId="TOC91">
    <w:name w:val="TOC 91"/>
    <w:basedOn w:val="Normal"/>
    <w:next w:val="Normal"/>
    <w:autoRedefine/>
    <w:uiPriority w:val="39"/>
    <w:unhideWhenUsed/>
    <w:locked/>
    <w:rsid w:val="00A229CE"/>
    <w:pPr>
      <w:spacing w:after="100" w:line="276" w:lineRule="auto"/>
      <w:ind w:left="1760"/>
    </w:pPr>
    <w:rPr>
      <w:rFonts w:eastAsia="Times New Roman"/>
      <w:lang w:eastAsia="en-GB"/>
    </w:rPr>
  </w:style>
  <w:style w:type="paragraph" w:customStyle="1" w:styleId="FootnoteText1">
    <w:name w:val="Footnote Text1"/>
    <w:basedOn w:val="Normal"/>
    <w:next w:val="FootnoteText"/>
    <w:uiPriority w:val="99"/>
    <w:unhideWhenUsed/>
    <w:locked/>
    <w:rsid w:val="00A229CE"/>
    <w:rPr>
      <w:rFonts w:ascii="Calibri" w:eastAsia="Times New Roman" w:hAnsi="Calibri"/>
      <w:lang w:val="en-US" w:bidi="en-US"/>
    </w:rPr>
  </w:style>
  <w:style w:type="character" w:customStyle="1" w:styleId="Heading7Char1">
    <w:name w:val="Heading 7 Char1"/>
    <w:basedOn w:val="DefaultParagraphFont"/>
    <w:uiPriority w:val="9"/>
    <w:semiHidden/>
    <w:rsid w:val="00A229CE"/>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A229CE"/>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A229CE"/>
    <w:rPr>
      <w:rFonts w:asciiTheme="majorHAnsi" w:eastAsiaTheme="majorEastAsia" w:hAnsiTheme="majorHAnsi" w:cstheme="majorBidi"/>
      <w:i/>
      <w:iCs/>
      <w:color w:val="404040" w:themeColor="text1" w:themeTint="BF"/>
      <w:sz w:val="20"/>
      <w:szCs w:val="20"/>
    </w:rPr>
  </w:style>
  <w:style w:type="paragraph" w:customStyle="1" w:styleId="EC-Title-3">
    <w:name w:val="EC-Title-3"/>
    <w:basedOn w:val="EC-Title-4"/>
    <w:rsid w:val="00A229CE"/>
    <w:rPr>
      <w:sz w:val="72"/>
    </w:rPr>
  </w:style>
  <w:style w:type="character" w:customStyle="1" w:styleId="citation-publication-date">
    <w:name w:val="citation-publication-date"/>
    <w:basedOn w:val="DefaultParagraphFont"/>
    <w:rsid w:val="00A229CE"/>
  </w:style>
  <w:style w:type="character" w:customStyle="1" w:styleId="citation-volume">
    <w:name w:val="citation-volume"/>
    <w:basedOn w:val="DefaultParagraphFont"/>
    <w:rsid w:val="00A229CE"/>
  </w:style>
  <w:style w:type="character" w:customStyle="1" w:styleId="citation-flpages">
    <w:name w:val="citation-flpages"/>
    <w:basedOn w:val="DefaultParagraphFont"/>
    <w:rsid w:val="00A229CE"/>
  </w:style>
  <w:style w:type="character" w:customStyle="1" w:styleId="fm-vol-iss-date">
    <w:name w:val="fm-vol-iss-date"/>
    <w:basedOn w:val="DefaultParagraphFont"/>
    <w:rsid w:val="00A229CE"/>
  </w:style>
  <w:style w:type="character" w:customStyle="1" w:styleId="doi1">
    <w:name w:val="doi1"/>
    <w:basedOn w:val="DefaultParagraphFont"/>
    <w:rsid w:val="00A229CE"/>
  </w:style>
  <w:style w:type="paragraph" w:styleId="NormalWeb">
    <w:name w:val="Normal (Web)"/>
    <w:basedOn w:val="Normal"/>
    <w:uiPriority w:val="99"/>
    <w:unhideWhenUsed/>
    <w:rsid w:val="00A229CE"/>
    <w:pPr>
      <w:spacing w:after="180" w:line="276" w:lineRule="auto"/>
    </w:pPr>
    <w:rPr>
      <w:rFonts w:ascii="Times New Roman" w:eastAsia="Times New Roman" w:hAnsi="Times New Roman"/>
      <w:sz w:val="24"/>
      <w:lang w:eastAsia="en-GB"/>
    </w:rPr>
  </w:style>
  <w:style w:type="character" w:customStyle="1" w:styleId="Svagfremhvning2">
    <w:name w:val="Svag fremhævning2"/>
    <w:basedOn w:val="DefaultParagraphFont"/>
    <w:uiPriority w:val="19"/>
    <w:rsid w:val="00A229CE"/>
    <w:rPr>
      <w:i/>
      <w:iCs/>
      <w:color w:val="808080"/>
    </w:rPr>
  </w:style>
  <w:style w:type="paragraph" w:customStyle="1" w:styleId="CSRtext">
    <w:name w:val="CSR text"/>
    <w:basedOn w:val="Normal"/>
    <w:rsid w:val="00A229CE"/>
    <w:pPr>
      <w:suppressAutoHyphens/>
      <w:spacing w:after="240"/>
      <w:jc w:val="both"/>
    </w:pPr>
    <w:rPr>
      <w:rFonts w:ascii="Arial" w:eastAsia="Times New Roman" w:hAnsi="Arial" w:cs="Arial"/>
      <w:iCs/>
      <w:sz w:val="20"/>
      <w:szCs w:val="20"/>
    </w:rPr>
  </w:style>
  <w:style w:type="character" w:customStyle="1" w:styleId="source-item">
    <w:name w:val="source-item"/>
    <w:basedOn w:val="DefaultParagraphFont"/>
    <w:rsid w:val="00A229CE"/>
  </w:style>
  <w:style w:type="character" w:customStyle="1" w:styleId="doi2">
    <w:name w:val="doi2"/>
    <w:basedOn w:val="DefaultParagraphFont"/>
    <w:rsid w:val="00A229CE"/>
    <w:rPr>
      <w:color w:val="666666"/>
    </w:rPr>
  </w:style>
  <w:style w:type="paragraph" w:customStyle="1" w:styleId="citationline5">
    <w:name w:val="citationline5"/>
    <w:basedOn w:val="Normal"/>
    <w:rsid w:val="00A229CE"/>
    <w:pPr>
      <w:spacing w:after="150" w:line="360" w:lineRule="atLeast"/>
    </w:pPr>
    <w:rPr>
      <w:rFonts w:ascii="Times New Roman" w:eastAsia="Times New Roman" w:hAnsi="Times New Roman"/>
      <w:color w:val="666666"/>
      <w:sz w:val="17"/>
      <w:szCs w:val="17"/>
      <w:lang w:eastAsia="en-GB"/>
    </w:rPr>
  </w:style>
  <w:style w:type="character" w:customStyle="1" w:styleId="citation">
    <w:name w:val="citation"/>
    <w:basedOn w:val="DefaultParagraphFont"/>
    <w:rsid w:val="00A229CE"/>
  </w:style>
  <w:style w:type="character" w:customStyle="1" w:styleId="EC-Title-4Char">
    <w:name w:val="EC-Title-4 Char"/>
    <w:basedOn w:val="DefaultParagraphFont"/>
    <w:rsid w:val="00A229CE"/>
    <w:rPr>
      <w:rFonts w:ascii="Tahoma" w:eastAsia="Times New Roman" w:hAnsi="Tahoma" w:cs="Tahoma"/>
      <w:b/>
      <w:bCs/>
      <w:color w:val="669900"/>
      <w:sz w:val="40"/>
      <w:szCs w:val="40"/>
      <w:lang w:eastAsia="en-GB"/>
    </w:rPr>
  </w:style>
  <w:style w:type="paragraph" w:customStyle="1" w:styleId="Title1">
    <w:name w:val="Title1"/>
    <w:basedOn w:val="Normal"/>
    <w:uiPriority w:val="99"/>
    <w:rsid w:val="00A229CE"/>
    <w:pPr>
      <w:spacing w:before="100" w:beforeAutospacing="1" w:after="100" w:afterAutospacing="1"/>
    </w:pPr>
    <w:rPr>
      <w:rFonts w:ascii="Times New Roman" w:eastAsia="Times New Roman" w:hAnsi="Times New Roman"/>
      <w:sz w:val="24"/>
      <w:lang w:eastAsia="en-GB"/>
    </w:rPr>
  </w:style>
  <w:style w:type="character" w:customStyle="1" w:styleId="jrnl">
    <w:name w:val="jrnl"/>
    <w:basedOn w:val="DefaultParagraphFont"/>
    <w:uiPriority w:val="99"/>
    <w:rsid w:val="00A229CE"/>
  </w:style>
  <w:style w:type="character" w:customStyle="1" w:styleId="Svagfremhvning1">
    <w:name w:val="Svag fremhævning1"/>
    <w:uiPriority w:val="19"/>
    <w:rsid w:val="00A229CE"/>
    <w:rPr>
      <w:rFonts w:cs="Times New Roman"/>
      <w:i/>
      <w:iCs/>
      <w:color w:val="808080"/>
    </w:rPr>
  </w:style>
  <w:style w:type="character" w:customStyle="1" w:styleId="cdc-decorated">
    <w:name w:val="cdc-decorated"/>
    <w:basedOn w:val="DefaultParagraphFont"/>
    <w:rsid w:val="00A229CE"/>
  </w:style>
  <w:style w:type="character" w:styleId="SubtleEmphasis">
    <w:name w:val="Subtle Emphasis"/>
    <w:basedOn w:val="DefaultParagraphFont"/>
    <w:uiPriority w:val="19"/>
    <w:qFormat/>
    <w:rsid w:val="00A57E8E"/>
    <w:rPr>
      <w:i/>
      <w:iCs/>
      <w:color w:val="595959" w:themeColor="text1" w:themeTint="A6"/>
    </w:rPr>
  </w:style>
  <w:style w:type="paragraph" w:styleId="Caption">
    <w:name w:val="caption"/>
    <w:basedOn w:val="Normal"/>
    <w:next w:val="Normal"/>
    <w:uiPriority w:val="35"/>
    <w:unhideWhenUsed/>
    <w:qFormat/>
    <w:rsid w:val="00A57E8E"/>
    <w:pPr>
      <w:spacing w:line="240" w:lineRule="auto"/>
    </w:pPr>
    <w:rPr>
      <w:b/>
      <w:bCs/>
      <w:smallCaps/>
      <w:color w:val="1F497D" w:themeColor="text2"/>
    </w:rPr>
  </w:style>
  <w:style w:type="paragraph" w:styleId="Bibliography">
    <w:name w:val="Bibliography"/>
    <w:basedOn w:val="Normal"/>
    <w:next w:val="Normal"/>
    <w:uiPriority w:val="37"/>
    <w:unhideWhenUsed/>
    <w:rsid w:val="00A229CE"/>
    <w:pPr>
      <w:spacing w:after="200" w:line="276" w:lineRule="auto"/>
    </w:pPr>
    <w:rPr>
      <w:rFonts w:ascii="Calibri" w:eastAsia="Calibri" w:hAnsi="Calibri"/>
    </w:rPr>
  </w:style>
  <w:style w:type="character" w:customStyle="1" w:styleId="highlight">
    <w:name w:val="highlight"/>
    <w:basedOn w:val="DefaultParagraphFont"/>
    <w:uiPriority w:val="99"/>
    <w:rsid w:val="00A229CE"/>
  </w:style>
  <w:style w:type="paragraph" w:customStyle="1" w:styleId="details">
    <w:name w:val="details"/>
    <w:basedOn w:val="Normal"/>
    <w:rsid w:val="00A229CE"/>
    <w:pPr>
      <w:spacing w:before="100" w:beforeAutospacing="1" w:after="100" w:afterAutospacing="1"/>
    </w:pPr>
    <w:rPr>
      <w:rFonts w:ascii="Times New Roman" w:eastAsia="Times New Roman" w:hAnsi="Times New Roman"/>
      <w:sz w:val="24"/>
      <w:lang w:eastAsia="en-GB"/>
    </w:rPr>
  </w:style>
  <w:style w:type="paragraph" w:styleId="PlainText">
    <w:name w:val="Plain Text"/>
    <w:basedOn w:val="Normal"/>
    <w:link w:val="PlainTextChar"/>
    <w:uiPriority w:val="99"/>
    <w:unhideWhenUsed/>
    <w:rsid w:val="00A229CE"/>
    <w:rPr>
      <w:rFonts w:ascii="Consolas" w:eastAsia="Calibri" w:hAnsi="Consolas"/>
      <w:sz w:val="21"/>
      <w:szCs w:val="21"/>
    </w:rPr>
  </w:style>
  <w:style w:type="character" w:customStyle="1" w:styleId="PlainTextChar">
    <w:name w:val="Plain Text Char"/>
    <w:basedOn w:val="DefaultParagraphFont"/>
    <w:link w:val="PlainText"/>
    <w:uiPriority w:val="99"/>
    <w:rsid w:val="00A229CE"/>
    <w:rPr>
      <w:rFonts w:ascii="Consolas" w:eastAsia="Calibri" w:hAnsi="Consolas" w:cs="Times New Roman"/>
      <w:sz w:val="21"/>
      <w:szCs w:val="21"/>
    </w:rPr>
  </w:style>
  <w:style w:type="character" w:customStyle="1" w:styleId="hps">
    <w:name w:val="hps"/>
    <w:basedOn w:val="DefaultParagraphFont"/>
    <w:rsid w:val="00A229CE"/>
  </w:style>
  <w:style w:type="character" w:customStyle="1" w:styleId="CommentSubjectChar1">
    <w:name w:val="Comment Subject Char1"/>
    <w:basedOn w:val="CommentTextChar"/>
    <w:uiPriority w:val="99"/>
    <w:rsid w:val="00A229CE"/>
    <w:rPr>
      <w:rFonts w:asciiTheme="minorHAnsi" w:eastAsia="Times New Roman" w:hAnsiTheme="minorHAnsi" w:cstheme="minorBidi"/>
      <w:b/>
      <w:bCs/>
      <w:color w:val="000000"/>
      <w:sz w:val="20"/>
      <w:szCs w:val="20"/>
      <w:lang w:eastAsia="en-US"/>
    </w:rPr>
  </w:style>
  <w:style w:type="character" w:customStyle="1" w:styleId="journal">
    <w:name w:val="journal"/>
    <w:basedOn w:val="DefaultParagraphFont"/>
    <w:rsid w:val="00A229CE"/>
  </w:style>
  <w:style w:type="character" w:customStyle="1" w:styleId="xml-surname">
    <w:name w:val="xml-surname"/>
    <w:basedOn w:val="DefaultParagraphFont"/>
    <w:rsid w:val="00A229CE"/>
  </w:style>
  <w:style w:type="character" w:customStyle="1" w:styleId="xml-given-names">
    <w:name w:val="xml-given-names"/>
    <w:basedOn w:val="DefaultParagraphFont"/>
    <w:rsid w:val="00A229CE"/>
  </w:style>
  <w:style w:type="character" w:customStyle="1" w:styleId="xml-article-title">
    <w:name w:val="xml-article-title"/>
    <w:basedOn w:val="DefaultParagraphFont"/>
    <w:rsid w:val="00A229CE"/>
  </w:style>
  <w:style w:type="character" w:customStyle="1" w:styleId="xml-source">
    <w:name w:val="xml-source"/>
    <w:basedOn w:val="DefaultParagraphFont"/>
    <w:rsid w:val="00A229CE"/>
  </w:style>
  <w:style w:type="character" w:customStyle="1" w:styleId="xml-year">
    <w:name w:val="xml-year"/>
    <w:basedOn w:val="DefaultParagraphFont"/>
    <w:rsid w:val="00A229CE"/>
  </w:style>
  <w:style w:type="character" w:customStyle="1" w:styleId="xml-volume">
    <w:name w:val="xml-volume"/>
    <w:basedOn w:val="DefaultParagraphFont"/>
    <w:rsid w:val="00A229CE"/>
  </w:style>
  <w:style w:type="character" w:customStyle="1" w:styleId="xml-fpage">
    <w:name w:val="xml-fpage"/>
    <w:basedOn w:val="DefaultParagraphFont"/>
    <w:rsid w:val="00A229CE"/>
  </w:style>
  <w:style w:type="character" w:customStyle="1" w:styleId="text-underline">
    <w:name w:val="text-underline"/>
    <w:basedOn w:val="DefaultParagraphFont"/>
    <w:rsid w:val="00A229CE"/>
  </w:style>
  <w:style w:type="character" w:customStyle="1" w:styleId="web">
    <w:name w:val="web"/>
    <w:basedOn w:val="DefaultParagraphFont"/>
    <w:rsid w:val="00A229CE"/>
  </w:style>
  <w:style w:type="paragraph" w:customStyle="1" w:styleId="xl70">
    <w:name w:val="xl70"/>
    <w:basedOn w:val="Normal"/>
    <w:rsid w:val="00A229CE"/>
    <w:pPr>
      <w:pBdr>
        <w:right w:val="single" w:sz="4" w:space="0" w:color="auto"/>
      </w:pBdr>
      <w:spacing w:before="100" w:beforeAutospacing="1" w:after="100" w:afterAutospacing="1"/>
      <w:jc w:val="center"/>
    </w:pPr>
    <w:rPr>
      <w:rFonts w:ascii="Arial" w:eastAsia="Times New Roman" w:hAnsi="Arial" w:cs="Arial"/>
      <w:sz w:val="20"/>
      <w:szCs w:val="20"/>
      <w:lang w:eastAsia="en-GB"/>
    </w:rPr>
  </w:style>
  <w:style w:type="paragraph" w:customStyle="1" w:styleId="xl71">
    <w:name w:val="xl71"/>
    <w:basedOn w:val="Normal"/>
    <w:rsid w:val="00A229CE"/>
    <w:pPr>
      <w:pBdr>
        <w:left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en-GB"/>
    </w:rPr>
  </w:style>
  <w:style w:type="paragraph" w:customStyle="1" w:styleId="xl72">
    <w:name w:val="xl72"/>
    <w:basedOn w:val="Normal"/>
    <w:rsid w:val="00A229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24"/>
      <w:lang w:eastAsia="en-GB"/>
    </w:rPr>
  </w:style>
  <w:style w:type="paragraph" w:customStyle="1" w:styleId="xl73">
    <w:name w:val="xl73"/>
    <w:basedOn w:val="Normal"/>
    <w:rsid w:val="00A229CE"/>
    <w:pPr>
      <w:pBdr>
        <w:left w:val="single" w:sz="8" w:space="0" w:color="auto"/>
        <w:right w:val="single" w:sz="8" w:space="0" w:color="auto"/>
      </w:pBdr>
      <w:spacing w:before="100" w:beforeAutospacing="1" w:after="100" w:afterAutospacing="1"/>
    </w:pPr>
    <w:rPr>
      <w:rFonts w:ascii="Arial" w:eastAsia="Times New Roman" w:hAnsi="Arial" w:cs="Arial"/>
      <w:sz w:val="20"/>
      <w:szCs w:val="20"/>
      <w:lang w:eastAsia="en-GB"/>
    </w:rPr>
  </w:style>
  <w:style w:type="paragraph" w:customStyle="1" w:styleId="xl74">
    <w:name w:val="xl74"/>
    <w:basedOn w:val="Normal"/>
    <w:rsid w:val="00A229C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b/>
      <w:bCs/>
      <w:sz w:val="24"/>
      <w:lang w:eastAsia="en-GB"/>
    </w:rPr>
  </w:style>
  <w:style w:type="paragraph" w:customStyle="1" w:styleId="xl75">
    <w:name w:val="xl75"/>
    <w:basedOn w:val="Normal"/>
    <w:rsid w:val="00A229C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4"/>
      <w:lang w:eastAsia="en-GB"/>
    </w:rPr>
  </w:style>
  <w:style w:type="paragraph" w:customStyle="1" w:styleId="xl76">
    <w:name w:val="xl76"/>
    <w:basedOn w:val="Normal"/>
    <w:rsid w:val="00A229C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24"/>
      <w:lang w:eastAsia="en-GB"/>
    </w:rPr>
  </w:style>
  <w:style w:type="paragraph" w:customStyle="1" w:styleId="xl77">
    <w:name w:val="xl77"/>
    <w:basedOn w:val="Normal"/>
    <w:rsid w:val="00A229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78">
    <w:name w:val="xl78"/>
    <w:basedOn w:val="Normal"/>
    <w:rsid w:val="00A229CE"/>
    <w:pPr>
      <w:pBdr>
        <w:left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en-GB"/>
    </w:rPr>
  </w:style>
  <w:style w:type="paragraph" w:customStyle="1" w:styleId="xl79">
    <w:name w:val="xl79"/>
    <w:basedOn w:val="Normal"/>
    <w:rsid w:val="00A229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80">
    <w:name w:val="xl80"/>
    <w:basedOn w:val="Normal"/>
    <w:rsid w:val="00A229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81">
    <w:name w:val="xl81"/>
    <w:basedOn w:val="Normal"/>
    <w:rsid w:val="00A229CE"/>
    <w:pPr>
      <w:pBdr>
        <w:left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en-GB"/>
    </w:rPr>
  </w:style>
  <w:style w:type="paragraph" w:customStyle="1" w:styleId="xl82">
    <w:name w:val="xl82"/>
    <w:basedOn w:val="Normal"/>
    <w:rsid w:val="00A229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24"/>
      <w:lang w:eastAsia="en-GB"/>
    </w:rPr>
  </w:style>
  <w:style w:type="paragraph" w:customStyle="1" w:styleId="xl83">
    <w:name w:val="xl83"/>
    <w:basedOn w:val="Normal"/>
    <w:rsid w:val="00A229C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24"/>
      <w:lang w:eastAsia="en-GB"/>
    </w:rPr>
  </w:style>
  <w:style w:type="paragraph" w:customStyle="1" w:styleId="xl84">
    <w:name w:val="xl84"/>
    <w:basedOn w:val="Normal"/>
    <w:rsid w:val="00A229CE"/>
    <w:pPr>
      <w:pBdr>
        <w:left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en-GB"/>
    </w:rPr>
  </w:style>
  <w:style w:type="paragraph" w:customStyle="1" w:styleId="xl85">
    <w:name w:val="xl85"/>
    <w:basedOn w:val="Normal"/>
    <w:rsid w:val="00A229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86">
    <w:name w:val="xl86"/>
    <w:basedOn w:val="Normal"/>
    <w:rsid w:val="00A229C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87">
    <w:name w:val="xl87"/>
    <w:basedOn w:val="Normal"/>
    <w:rsid w:val="00A229CE"/>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sz w:val="24"/>
      <w:lang w:eastAsia="en-GB"/>
    </w:rPr>
  </w:style>
  <w:style w:type="paragraph" w:customStyle="1" w:styleId="xl88">
    <w:name w:val="xl88"/>
    <w:basedOn w:val="Normal"/>
    <w:rsid w:val="00A229CE"/>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sz w:val="24"/>
      <w:lang w:eastAsia="en-GB"/>
    </w:rPr>
  </w:style>
  <w:style w:type="paragraph" w:customStyle="1" w:styleId="xl89">
    <w:name w:val="xl89"/>
    <w:basedOn w:val="Normal"/>
    <w:rsid w:val="00A229CE"/>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b/>
      <w:bCs/>
      <w:sz w:val="24"/>
      <w:lang w:eastAsia="en-GB"/>
    </w:rPr>
  </w:style>
  <w:style w:type="paragraph" w:customStyle="1" w:styleId="xl90">
    <w:name w:val="xl90"/>
    <w:basedOn w:val="Normal"/>
    <w:rsid w:val="00A229CE"/>
    <w:pPr>
      <w:pBdr>
        <w:left w:val="single" w:sz="8" w:space="0" w:color="auto"/>
        <w:right w:val="single" w:sz="8" w:space="0" w:color="auto"/>
      </w:pBdr>
      <w:spacing w:before="100" w:beforeAutospacing="1" w:after="100" w:afterAutospacing="1"/>
    </w:pPr>
    <w:rPr>
      <w:rFonts w:ascii="Arial" w:eastAsia="Times New Roman" w:hAnsi="Arial" w:cs="Arial"/>
      <w:b/>
      <w:bCs/>
      <w:sz w:val="24"/>
      <w:lang w:eastAsia="en-GB"/>
    </w:rPr>
  </w:style>
  <w:style w:type="paragraph" w:customStyle="1" w:styleId="xl91">
    <w:name w:val="xl91"/>
    <w:basedOn w:val="Normal"/>
    <w:rsid w:val="00A229CE"/>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b/>
      <w:bCs/>
      <w:sz w:val="24"/>
      <w:lang w:eastAsia="en-GB"/>
    </w:rPr>
  </w:style>
  <w:style w:type="paragraph" w:customStyle="1" w:styleId="xl92">
    <w:name w:val="xl92"/>
    <w:basedOn w:val="Normal"/>
    <w:rsid w:val="00A229C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93">
    <w:name w:val="xl93"/>
    <w:basedOn w:val="Normal"/>
    <w:rsid w:val="00A229C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94">
    <w:name w:val="xl94"/>
    <w:basedOn w:val="Normal"/>
    <w:rsid w:val="00A229C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95">
    <w:name w:val="xl95"/>
    <w:basedOn w:val="Normal"/>
    <w:rsid w:val="00A229C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96">
    <w:name w:val="xl96"/>
    <w:basedOn w:val="Normal"/>
    <w:rsid w:val="00A229CE"/>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97">
    <w:name w:val="xl97"/>
    <w:basedOn w:val="Normal"/>
    <w:rsid w:val="00A229CE"/>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98">
    <w:name w:val="xl98"/>
    <w:basedOn w:val="Normal"/>
    <w:rsid w:val="00A229C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paragraph" w:customStyle="1" w:styleId="xl99">
    <w:name w:val="xl99"/>
    <w:basedOn w:val="Normal"/>
    <w:rsid w:val="00A229C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lang w:eastAsia="en-GB"/>
    </w:rPr>
  </w:style>
  <w:style w:type="character" w:customStyle="1" w:styleId="citation-issue">
    <w:name w:val="citation-issue"/>
    <w:basedOn w:val="DefaultParagraphFont"/>
    <w:rsid w:val="00A229CE"/>
  </w:style>
  <w:style w:type="paragraph" w:styleId="Title">
    <w:name w:val="Title"/>
    <w:basedOn w:val="Normal"/>
    <w:next w:val="Normal"/>
    <w:link w:val="TitleChar"/>
    <w:uiPriority w:val="10"/>
    <w:qFormat/>
    <w:rsid w:val="00A57E8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57E8E"/>
    <w:rPr>
      <w:rFonts w:asciiTheme="majorHAnsi" w:eastAsiaTheme="majorEastAsia" w:hAnsiTheme="majorHAnsi" w:cstheme="majorBidi"/>
      <w:caps/>
      <w:color w:val="1F497D" w:themeColor="text2"/>
      <w:spacing w:val="-15"/>
      <w:sz w:val="72"/>
      <w:szCs w:val="72"/>
    </w:rPr>
  </w:style>
  <w:style w:type="character" w:customStyle="1" w:styleId="fulltext-it">
    <w:name w:val="fulltext-it"/>
    <w:basedOn w:val="DefaultParagraphFont"/>
    <w:rsid w:val="00A229CE"/>
  </w:style>
  <w:style w:type="paragraph" w:customStyle="1" w:styleId="fulltext-author">
    <w:name w:val="fulltext-author"/>
    <w:basedOn w:val="Normal"/>
    <w:rsid w:val="00A229CE"/>
    <w:pPr>
      <w:spacing w:before="100" w:beforeAutospacing="1" w:after="360"/>
    </w:pPr>
    <w:rPr>
      <w:rFonts w:ascii="Times New Roman" w:eastAsia="Times New Roman" w:hAnsi="Times New Roman"/>
      <w:sz w:val="24"/>
      <w:lang w:eastAsia="en-GB"/>
    </w:rPr>
  </w:style>
  <w:style w:type="paragraph" w:styleId="z-TopofForm">
    <w:name w:val="HTML Top of Form"/>
    <w:basedOn w:val="Normal"/>
    <w:next w:val="Normal"/>
    <w:link w:val="z-TopofFormChar"/>
    <w:hidden/>
    <w:uiPriority w:val="99"/>
    <w:rsid w:val="00A229CE"/>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rsid w:val="00A229C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rsid w:val="00A229CE"/>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A229CE"/>
    <w:rPr>
      <w:rFonts w:ascii="Arial" w:eastAsia="Times New Roman" w:hAnsi="Arial" w:cs="Arial"/>
      <w:vanish/>
      <w:sz w:val="16"/>
      <w:szCs w:val="16"/>
      <w:lang w:eastAsia="en-GB"/>
    </w:rPr>
  </w:style>
  <w:style w:type="character" w:customStyle="1" w:styleId="tttucvisiblefields1">
    <w:name w:val="ttt_uc_visiblefields1"/>
    <w:basedOn w:val="DefaultParagraphFont"/>
    <w:rsid w:val="00A229CE"/>
    <w:rPr>
      <w:rFonts w:ascii="Verdana" w:hAnsi="Verdana" w:hint="default"/>
      <w:vanish w:val="0"/>
      <w:webHidden w:val="0"/>
      <w:sz w:val="16"/>
      <w:szCs w:val="16"/>
      <w:specVanish w:val="0"/>
    </w:rPr>
  </w:style>
  <w:style w:type="character" w:customStyle="1" w:styleId="tttuchiddenfields1">
    <w:name w:val="ttt_uc_hiddenfields1"/>
    <w:basedOn w:val="DefaultParagraphFont"/>
    <w:rsid w:val="00A229CE"/>
    <w:rPr>
      <w:vanish/>
      <w:webHidden w:val="0"/>
      <w:specVanish w:val="0"/>
    </w:rPr>
  </w:style>
  <w:style w:type="character" w:customStyle="1" w:styleId="tttucvisiblefields2">
    <w:name w:val="ttt_uc_visiblefields2"/>
    <w:basedOn w:val="DefaultParagraphFont"/>
    <w:rsid w:val="00A229CE"/>
    <w:rPr>
      <w:rFonts w:ascii="Verdana" w:hAnsi="Verdana" w:hint="default"/>
      <w:vanish w:val="0"/>
      <w:webHidden w:val="0"/>
      <w:sz w:val="16"/>
      <w:szCs w:val="16"/>
      <w:specVanish w:val="0"/>
    </w:rPr>
  </w:style>
  <w:style w:type="character" w:customStyle="1" w:styleId="tttuchiddenfields2">
    <w:name w:val="ttt_uc_hiddenfields2"/>
    <w:basedOn w:val="DefaultParagraphFont"/>
    <w:rsid w:val="00A229CE"/>
    <w:rPr>
      <w:vanish/>
      <w:webHidden w:val="0"/>
      <w:specVanish w:val="0"/>
    </w:rPr>
  </w:style>
  <w:style w:type="paragraph" w:customStyle="1" w:styleId="xl68">
    <w:name w:val="xl68"/>
    <w:basedOn w:val="Normal"/>
    <w:rsid w:val="00A229CE"/>
    <w:pPr>
      <w:spacing w:before="100" w:beforeAutospacing="1" w:after="100" w:afterAutospacing="1"/>
      <w:jc w:val="center"/>
    </w:pPr>
    <w:rPr>
      <w:rFonts w:ascii="Times New Roman" w:eastAsia="Times New Roman" w:hAnsi="Times New Roman"/>
      <w:sz w:val="24"/>
      <w:lang w:eastAsia="en-GB"/>
    </w:rPr>
  </w:style>
  <w:style w:type="paragraph" w:customStyle="1" w:styleId="xl69">
    <w:name w:val="xl69"/>
    <w:basedOn w:val="Normal"/>
    <w:rsid w:val="00A229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font5">
    <w:name w:val="font5"/>
    <w:basedOn w:val="Normal"/>
    <w:rsid w:val="00A229CE"/>
    <w:pPr>
      <w:spacing w:before="100" w:beforeAutospacing="1" w:after="100" w:afterAutospacing="1"/>
    </w:pPr>
    <w:rPr>
      <w:rFonts w:eastAsia="Times New Roman" w:cs="Tahoma"/>
      <w:color w:val="000000"/>
      <w:sz w:val="16"/>
      <w:szCs w:val="16"/>
      <w:lang w:eastAsia="en-GB"/>
    </w:rPr>
  </w:style>
  <w:style w:type="paragraph" w:customStyle="1" w:styleId="font6">
    <w:name w:val="font6"/>
    <w:basedOn w:val="Normal"/>
    <w:rsid w:val="00A229CE"/>
    <w:pPr>
      <w:spacing w:before="100" w:beforeAutospacing="1" w:after="100" w:afterAutospacing="1"/>
    </w:pPr>
    <w:rPr>
      <w:rFonts w:eastAsia="Times New Roman" w:cs="Tahoma"/>
      <w:b/>
      <w:bCs/>
      <w:color w:val="000000"/>
      <w:sz w:val="16"/>
      <w:szCs w:val="16"/>
      <w:lang w:eastAsia="en-GB"/>
    </w:rPr>
  </w:style>
  <w:style w:type="paragraph" w:customStyle="1" w:styleId="font7">
    <w:name w:val="font7"/>
    <w:basedOn w:val="Normal"/>
    <w:rsid w:val="00A229CE"/>
    <w:pPr>
      <w:spacing w:before="100" w:beforeAutospacing="1" w:after="100" w:afterAutospacing="1"/>
    </w:pPr>
    <w:rPr>
      <w:rFonts w:eastAsia="Times New Roman" w:cs="Tahoma"/>
      <w:b/>
      <w:bCs/>
      <w:color w:val="000000"/>
      <w:sz w:val="16"/>
      <w:szCs w:val="16"/>
      <w:lang w:eastAsia="en-GB"/>
    </w:rPr>
  </w:style>
  <w:style w:type="paragraph" w:customStyle="1" w:styleId="font8">
    <w:name w:val="font8"/>
    <w:basedOn w:val="Normal"/>
    <w:rsid w:val="00A229CE"/>
    <w:pPr>
      <w:spacing w:before="100" w:beforeAutospacing="1" w:after="100" w:afterAutospacing="1"/>
    </w:pPr>
    <w:rPr>
      <w:rFonts w:eastAsia="Times New Roman" w:cs="Tahoma"/>
      <w:color w:val="000000"/>
      <w:sz w:val="16"/>
      <w:szCs w:val="16"/>
      <w:lang w:eastAsia="en-GB"/>
    </w:rPr>
  </w:style>
  <w:style w:type="paragraph" w:customStyle="1" w:styleId="xl100">
    <w:name w:val="xl100"/>
    <w:basedOn w:val="Normal"/>
    <w:rsid w:val="00A229C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xl101">
    <w:name w:val="xl101"/>
    <w:basedOn w:val="Normal"/>
    <w:rsid w:val="00A229C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xl102">
    <w:name w:val="xl102"/>
    <w:basedOn w:val="Normal"/>
    <w:rsid w:val="00A229C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xl103">
    <w:name w:val="xl103"/>
    <w:basedOn w:val="Normal"/>
    <w:rsid w:val="00A229C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xl104">
    <w:name w:val="xl104"/>
    <w:basedOn w:val="Normal"/>
    <w:rsid w:val="00A229C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xl105">
    <w:name w:val="xl105"/>
    <w:basedOn w:val="Normal"/>
    <w:rsid w:val="00A229C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xl106">
    <w:name w:val="xl106"/>
    <w:basedOn w:val="Normal"/>
    <w:rsid w:val="00A229CE"/>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xl107">
    <w:name w:val="xl107"/>
    <w:basedOn w:val="Normal"/>
    <w:rsid w:val="00A229CE"/>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b/>
      <w:bCs/>
      <w:lang w:eastAsia="en-GB"/>
    </w:rPr>
  </w:style>
  <w:style w:type="paragraph" w:customStyle="1" w:styleId="xl108">
    <w:name w:val="xl108"/>
    <w:basedOn w:val="Normal"/>
    <w:rsid w:val="00A229CE"/>
    <w:pPr>
      <w:pBdr>
        <w:left w:val="single" w:sz="8" w:space="0" w:color="auto"/>
        <w:right w:val="single" w:sz="8" w:space="0" w:color="auto"/>
      </w:pBdr>
      <w:spacing w:before="100" w:beforeAutospacing="1" w:after="100" w:afterAutospacing="1"/>
    </w:pPr>
    <w:rPr>
      <w:rFonts w:ascii="Arial" w:eastAsia="Times New Roman" w:hAnsi="Arial" w:cs="Arial"/>
      <w:b/>
      <w:bCs/>
      <w:lang w:eastAsia="en-GB"/>
    </w:rPr>
  </w:style>
  <w:style w:type="paragraph" w:customStyle="1" w:styleId="xl109">
    <w:name w:val="xl109"/>
    <w:basedOn w:val="Normal"/>
    <w:rsid w:val="00A229CE"/>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b/>
      <w:bCs/>
      <w:lang w:eastAsia="en-GB"/>
    </w:rPr>
  </w:style>
  <w:style w:type="paragraph" w:customStyle="1" w:styleId="xl110">
    <w:name w:val="xl110"/>
    <w:basedOn w:val="Normal"/>
    <w:rsid w:val="00A229CE"/>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xl66">
    <w:name w:val="xl66"/>
    <w:basedOn w:val="Normal"/>
    <w:rsid w:val="00A229CE"/>
    <w:pPr>
      <w:spacing w:before="100" w:beforeAutospacing="1" w:after="100" w:afterAutospacing="1"/>
      <w:jc w:val="center"/>
    </w:pPr>
    <w:rPr>
      <w:rFonts w:ascii="Times New Roman" w:eastAsia="Times New Roman" w:hAnsi="Times New Roman"/>
      <w:sz w:val="24"/>
      <w:lang w:eastAsia="en-GB"/>
    </w:rPr>
  </w:style>
  <w:style w:type="paragraph" w:customStyle="1" w:styleId="xl67">
    <w:name w:val="xl67"/>
    <w:basedOn w:val="Normal"/>
    <w:rsid w:val="00A229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GB"/>
    </w:rPr>
  </w:style>
  <w:style w:type="paragraph" w:customStyle="1" w:styleId="Style1">
    <w:name w:val="Style1"/>
    <w:basedOn w:val="Heading1"/>
    <w:rsid w:val="00A229CE"/>
    <w:pPr>
      <w:spacing w:before="480" w:after="0" w:line="264" w:lineRule="exact"/>
    </w:pPr>
    <w:rPr>
      <w:rFonts w:ascii="Tahoma" w:hAnsi="Tahoma"/>
      <w:color w:val="69AE23"/>
      <w:szCs w:val="28"/>
    </w:rPr>
  </w:style>
  <w:style w:type="table" w:styleId="LightShading">
    <w:name w:val="Light Shading"/>
    <w:basedOn w:val="TableNormal"/>
    <w:uiPriority w:val="60"/>
    <w:rsid w:val="00A229CE"/>
    <w:pPr>
      <w:spacing w:after="0" w:line="240" w:lineRule="auto"/>
    </w:pPr>
    <w:rPr>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ubtleEmphasis1">
    <w:name w:val="Subtle Emphasis1"/>
    <w:basedOn w:val="DefaultParagraphFont"/>
    <w:uiPriority w:val="19"/>
    <w:rsid w:val="00A229CE"/>
    <w:rPr>
      <w:i/>
      <w:iCs/>
      <w:color w:val="808080"/>
    </w:rPr>
  </w:style>
  <w:style w:type="paragraph" w:styleId="HTMLAddress">
    <w:name w:val="HTML Address"/>
    <w:basedOn w:val="Normal"/>
    <w:link w:val="HTMLAddressChar"/>
    <w:uiPriority w:val="99"/>
    <w:unhideWhenUsed/>
    <w:rsid w:val="00A229CE"/>
    <w:rPr>
      <w:rFonts w:ascii="Times New Roman" w:eastAsia="Times New Roman" w:hAnsi="Times New Roman"/>
      <w:i/>
      <w:iCs/>
      <w:sz w:val="24"/>
      <w:lang w:eastAsia="en-GB"/>
    </w:rPr>
  </w:style>
  <w:style w:type="character" w:customStyle="1" w:styleId="HTMLAddressChar">
    <w:name w:val="HTML Address Char"/>
    <w:basedOn w:val="DefaultParagraphFont"/>
    <w:link w:val="HTMLAddress"/>
    <w:uiPriority w:val="99"/>
    <w:rsid w:val="00A229CE"/>
    <w:rPr>
      <w:rFonts w:ascii="Times New Roman" w:eastAsia="Times New Roman" w:hAnsi="Times New Roman" w:cs="Times New Roman"/>
      <w:i/>
      <w:iCs/>
      <w:sz w:val="24"/>
      <w:szCs w:val="24"/>
      <w:lang w:eastAsia="en-GB"/>
    </w:rPr>
  </w:style>
  <w:style w:type="paragraph" w:styleId="Subtitle">
    <w:name w:val="Subtitle"/>
    <w:basedOn w:val="Normal"/>
    <w:next w:val="Normal"/>
    <w:link w:val="SubtitleChar"/>
    <w:uiPriority w:val="11"/>
    <w:qFormat/>
    <w:rsid w:val="00A57E8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57E8E"/>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A57E8E"/>
    <w:rPr>
      <w:b/>
      <w:bCs/>
      <w:i/>
      <w:iCs/>
    </w:rPr>
  </w:style>
  <w:style w:type="paragraph" w:customStyle="1" w:styleId="Lists">
    <w:name w:val="Lists"/>
    <w:basedOn w:val="Normal"/>
    <w:rsid w:val="00A229CE"/>
    <w:pPr>
      <w:tabs>
        <w:tab w:val="left" w:pos="567"/>
        <w:tab w:val="left" w:pos="1134"/>
      </w:tabs>
      <w:autoSpaceDE w:val="0"/>
      <w:autoSpaceDN w:val="0"/>
      <w:adjustRightInd w:val="0"/>
      <w:spacing w:before="120" w:after="120" w:line="264" w:lineRule="atLeast"/>
      <w:ind w:left="567" w:hanging="567"/>
    </w:pPr>
    <w:rPr>
      <w:rFonts w:ascii="Arial" w:hAnsi="Arial"/>
      <w:kern w:val="22"/>
      <w:sz w:val="20"/>
      <w:lang w:val="de-DE"/>
    </w:rPr>
  </w:style>
  <w:style w:type="paragraph" w:customStyle="1" w:styleId="Fighead">
    <w:name w:val="Fig head"/>
    <w:basedOn w:val="Normal"/>
    <w:rsid w:val="00A229CE"/>
    <w:pPr>
      <w:spacing w:before="120" w:after="120"/>
    </w:pPr>
    <w:rPr>
      <w:rFonts w:ascii="Arial" w:eastAsia="Times New Roman" w:hAnsi="Arial"/>
      <w:b/>
      <w:sz w:val="20"/>
    </w:rPr>
  </w:style>
  <w:style w:type="paragraph" w:customStyle="1" w:styleId="Notes">
    <w:name w:val="Notes"/>
    <w:basedOn w:val="Normal"/>
    <w:link w:val="NotesChar"/>
    <w:rsid w:val="00A229CE"/>
    <w:pPr>
      <w:spacing w:before="120" w:after="120"/>
    </w:pPr>
    <w:rPr>
      <w:rFonts w:ascii="Arial" w:eastAsia="Times New Roman" w:hAnsi="Arial"/>
    </w:rPr>
  </w:style>
  <w:style w:type="character" w:customStyle="1" w:styleId="NotesChar">
    <w:name w:val="Notes Char"/>
    <w:basedOn w:val="DefaultParagraphFont"/>
    <w:link w:val="Notes"/>
    <w:rsid w:val="00A229CE"/>
    <w:rPr>
      <w:rFonts w:ascii="Arial" w:eastAsia="Times New Roman" w:hAnsi="Arial" w:cs="Times New Roman"/>
      <w:sz w:val="18"/>
      <w:szCs w:val="24"/>
    </w:rPr>
  </w:style>
  <w:style w:type="character" w:customStyle="1" w:styleId="Italic">
    <w:name w:val="Italic"/>
    <w:uiPriority w:val="99"/>
    <w:rsid w:val="00A229CE"/>
    <w:rPr>
      <w:i/>
    </w:rPr>
  </w:style>
  <w:style w:type="paragraph" w:customStyle="1" w:styleId="CSRText0">
    <w:name w:val="CSR Text"/>
    <w:basedOn w:val="Normal"/>
    <w:rsid w:val="00A229CE"/>
    <w:pPr>
      <w:suppressAutoHyphens/>
      <w:spacing w:after="240"/>
      <w:jc w:val="both"/>
    </w:pPr>
    <w:rPr>
      <w:rFonts w:ascii="Arial" w:eastAsia="Times New Roman" w:hAnsi="Arial" w:cs="Arial"/>
      <w:sz w:val="20"/>
      <w:szCs w:val="20"/>
    </w:rPr>
  </w:style>
  <w:style w:type="paragraph" w:customStyle="1" w:styleId="CSRTitle-FigureSummary">
    <w:name w:val="CSR Title - Figure (Summary)"/>
    <w:basedOn w:val="Normal"/>
    <w:next w:val="CSRText0"/>
    <w:rsid w:val="00A229CE"/>
    <w:pPr>
      <w:suppressAutoHyphens/>
      <w:spacing w:before="360" w:after="120"/>
      <w:jc w:val="both"/>
    </w:pPr>
    <w:rPr>
      <w:rFonts w:ascii="Arial" w:eastAsia="Times New Roman" w:hAnsi="Arial" w:cs="Arial"/>
      <w:b/>
      <w:bCs/>
      <w:i/>
      <w:color w:val="004495"/>
      <w:szCs w:val="20"/>
      <w:lang w:val="en-US"/>
    </w:rPr>
  </w:style>
  <w:style w:type="paragraph" w:customStyle="1" w:styleId="CSRTitle-FigureEchinococcus">
    <w:name w:val="CSR Title - Figure (Echinococcus)"/>
    <w:basedOn w:val="CSRTitle-FigureSummary"/>
    <w:rsid w:val="00A229CE"/>
    <w:rPr>
      <w:sz w:val="20"/>
    </w:rPr>
  </w:style>
  <w:style w:type="paragraph" w:customStyle="1" w:styleId="rprtbody1">
    <w:name w:val="rprtbody1"/>
    <w:basedOn w:val="Normal"/>
    <w:rsid w:val="00A229CE"/>
    <w:pPr>
      <w:spacing w:before="34" w:after="34"/>
    </w:pPr>
    <w:rPr>
      <w:rFonts w:ascii="Times New Roman" w:eastAsia="Times New Roman" w:hAnsi="Times New Roman"/>
      <w:sz w:val="28"/>
      <w:szCs w:val="28"/>
      <w:lang w:eastAsia="en-GB"/>
    </w:rPr>
  </w:style>
  <w:style w:type="character" w:customStyle="1" w:styleId="src1">
    <w:name w:val="src1"/>
    <w:basedOn w:val="DefaultParagraphFont"/>
    <w:rsid w:val="00A229CE"/>
    <w:rPr>
      <w:vanish w:val="0"/>
      <w:webHidden w:val="0"/>
      <w:specVanish w:val="0"/>
    </w:rPr>
  </w:style>
  <w:style w:type="paragraph" w:styleId="BodyText2">
    <w:name w:val="Body Text 2"/>
    <w:basedOn w:val="Normal"/>
    <w:link w:val="BodyText2Char"/>
    <w:uiPriority w:val="99"/>
    <w:unhideWhenUsed/>
    <w:rsid w:val="00A229CE"/>
    <w:pPr>
      <w:spacing w:after="120" w:line="480" w:lineRule="auto"/>
    </w:pPr>
    <w:rPr>
      <w:rFonts w:eastAsiaTheme="minorHAnsi"/>
    </w:rPr>
  </w:style>
  <w:style w:type="character" w:customStyle="1" w:styleId="BodyText2Char">
    <w:name w:val="Body Text 2 Char"/>
    <w:basedOn w:val="DefaultParagraphFont"/>
    <w:link w:val="BodyText2"/>
    <w:uiPriority w:val="99"/>
    <w:rsid w:val="00A229CE"/>
  </w:style>
  <w:style w:type="paragraph" w:styleId="HTMLPreformatted">
    <w:name w:val="HTML Preformatted"/>
    <w:basedOn w:val="Normal"/>
    <w:link w:val="HTMLPreformattedChar"/>
    <w:rsid w:val="00A22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val="fr-FR" w:eastAsia="fr-FR"/>
    </w:rPr>
  </w:style>
  <w:style w:type="character" w:customStyle="1" w:styleId="HTMLPreformattedChar">
    <w:name w:val="HTML Preformatted Char"/>
    <w:basedOn w:val="DefaultParagraphFont"/>
    <w:link w:val="HTMLPreformatted"/>
    <w:rsid w:val="00A229CE"/>
    <w:rPr>
      <w:rFonts w:ascii="Courier New" w:eastAsia="Times New Roman" w:hAnsi="Courier New" w:cs="Courier New"/>
      <w:color w:val="000000"/>
      <w:sz w:val="20"/>
      <w:szCs w:val="20"/>
      <w:lang w:val="fr-FR" w:eastAsia="fr-FR"/>
    </w:rPr>
  </w:style>
  <w:style w:type="character" w:customStyle="1" w:styleId="shorttext1">
    <w:name w:val="short_text1"/>
    <w:basedOn w:val="DefaultParagraphFont"/>
    <w:rsid w:val="00A229CE"/>
    <w:rPr>
      <w:sz w:val="24"/>
      <w:szCs w:val="24"/>
    </w:rPr>
  </w:style>
  <w:style w:type="character" w:customStyle="1" w:styleId="cit-auth">
    <w:name w:val="cit-auth"/>
    <w:basedOn w:val="DefaultParagraphFont"/>
    <w:rsid w:val="00A229CE"/>
  </w:style>
  <w:style w:type="character" w:customStyle="1" w:styleId="cit-source">
    <w:name w:val="cit-source"/>
    <w:basedOn w:val="DefaultParagraphFont"/>
    <w:rsid w:val="00A229CE"/>
  </w:style>
  <w:style w:type="character" w:customStyle="1" w:styleId="cit-pub-date">
    <w:name w:val="cit-pub-date"/>
    <w:basedOn w:val="DefaultParagraphFont"/>
    <w:rsid w:val="00A229CE"/>
  </w:style>
  <w:style w:type="character" w:customStyle="1" w:styleId="cit-article-title">
    <w:name w:val="cit-article-title"/>
    <w:basedOn w:val="DefaultParagraphFont"/>
    <w:rsid w:val="00A229CE"/>
  </w:style>
  <w:style w:type="character" w:customStyle="1" w:styleId="cit-comment">
    <w:name w:val="cit-comment"/>
    <w:basedOn w:val="DefaultParagraphFont"/>
    <w:rsid w:val="00A229CE"/>
  </w:style>
  <w:style w:type="character" w:customStyle="1" w:styleId="z-TopofFormChar1">
    <w:name w:val="z-Top of Form Char1"/>
    <w:uiPriority w:val="99"/>
    <w:rsid w:val="00A229CE"/>
    <w:rPr>
      <w:rFonts w:ascii="Arial" w:hAnsi="Arial" w:cs="Arial"/>
      <w:vanish/>
      <w:sz w:val="16"/>
      <w:szCs w:val="16"/>
      <w:lang w:val="en-GB" w:eastAsia="en-GB"/>
    </w:rPr>
  </w:style>
  <w:style w:type="character" w:customStyle="1" w:styleId="DocumentMapChar1">
    <w:name w:val="Document Map Char1"/>
    <w:uiPriority w:val="99"/>
    <w:rsid w:val="00A229CE"/>
    <w:rPr>
      <w:rFonts w:ascii="Times New Roman" w:hAnsi="Times New Roman"/>
      <w:sz w:val="0"/>
      <w:szCs w:val="0"/>
      <w:lang w:val="en-GB" w:eastAsia="en-GB"/>
    </w:rPr>
  </w:style>
  <w:style w:type="character" w:customStyle="1" w:styleId="EC-Caption-Green">
    <w:name w:val="EC-Caption-Green"/>
    <w:uiPriority w:val="99"/>
    <w:rsid w:val="00A229CE"/>
    <w:rPr>
      <w:rFonts w:ascii="Tahoma" w:hAnsi="Tahoma"/>
      <w:color w:val="69AE23"/>
      <w:sz w:val="18"/>
      <w:effect w:val="none"/>
      <w:vertAlign w:val="baseline"/>
    </w:rPr>
  </w:style>
  <w:style w:type="paragraph" w:customStyle="1" w:styleId="ECDC-Caption">
    <w:name w:val="ECDC-Caption"/>
    <w:basedOn w:val="Normal"/>
    <w:link w:val="ECDC-CaptionChar"/>
    <w:uiPriority w:val="99"/>
    <w:rsid w:val="00A229CE"/>
    <w:pPr>
      <w:autoSpaceDE w:val="0"/>
      <w:autoSpaceDN w:val="0"/>
      <w:adjustRightInd w:val="0"/>
      <w:spacing w:before="60" w:after="120" w:line="200" w:lineRule="atLeast"/>
    </w:pPr>
    <w:rPr>
      <w:rFonts w:cs="Tahoma"/>
      <w:b/>
      <w:bCs/>
      <w:color w:val="000000"/>
      <w:kern w:val="22"/>
      <w:szCs w:val="18"/>
    </w:rPr>
  </w:style>
  <w:style w:type="character" w:customStyle="1" w:styleId="ECDC-CaptionChar">
    <w:name w:val="ECDC-Caption Char"/>
    <w:link w:val="ECDC-Caption"/>
    <w:uiPriority w:val="99"/>
    <w:locked/>
    <w:rsid w:val="00A229CE"/>
    <w:rPr>
      <w:rFonts w:ascii="Tahoma" w:eastAsia="Batang" w:hAnsi="Tahoma" w:cs="Tahoma"/>
      <w:b/>
      <w:bCs/>
      <w:color w:val="000000"/>
      <w:kern w:val="22"/>
      <w:sz w:val="18"/>
      <w:szCs w:val="18"/>
      <w:lang w:eastAsia="ko-KR"/>
    </w:rPr>
  </w:style>
  <w:style w:type="character" w:customStyle="1" w:styleId="CharChar8">
    <w:name w:val="Char Char8"/>
    <w:uiPriority w:val="99"/>
    <w:locked/>
    <w:rsid w:val="00A229CE"/>
    <w:rPr>
      <w:rFonts w:ascii="Calibri" w:hAnsi="Calibri"/>
      <w:sz w:val="22"/>
      <w:lang w:val="en-GB" w:eastAsia="en-US"/>
    </w:rPr>
  </w:style>
  <w:style w:type="character" w:customStyle="1" w:styleId="CharChar1">
    <w:name w:val="Char Char1"/>
    <w:uiPriority w:val="99"/>
    <w:locked/>
    <w:rsid w:val="00A229CE"/>
    <w:rPr>
      <w:rFonts w:ascii="Arial" w:hAnsi="Arial"/>
      <w:vanish/>
      <w:sz w:val="16"/>
      <w:lang w:val="en-GB" w:eastAsia="en-GB"/>
    </w:rPr>
  </w:style>
  <w:style w:type="paragraph" w:customStyle="1" w:styleId="EC-TableTiltle">
    <w:name w:val="EC-TableTiltle"/>
    <w:basedOn w:val="Normal"/>
    <w:next w:val="EC-Para"/>
    <w:autoRedefine/>
    <w:uiPriority w:val="99"/>
    <w:rsid w:val="00A229CE"/>
    <w:pPr>
      <w:numPr>
        <w:numId w:val="36"/>
      </w:numPr>
      <w:tabs>
        <w:tab w:val="left" w:pos="993"/>
      </w:tabs>
      <w:kinsoku w:val="0"/>
      <w:autoSpaceDE w:val="0"/>
      <w:autoSpaceDN w:val="0"/>
      <w:adjustRightInd w:val="0"/>
      <w:spacing w:after="120" w:line="200" w:lineRule="atLeast"/>
    </w:pPr>
    <w:rPr>
      <w:rFonts w:ascii="Calibri" w:hAnsi="Calibri"/>
      <w:color w:val="000000"/>
    </w:rPr>
  </w:style>
  <w:style w:type="paragraph" w:customStyle="1" w:styleId="EC-FigureTitle">
    <w:name w:val="EC-FigureTitle"/>
    <w:basedOn w:val="EC-Para"/>
    <w:next w:val="EC-Para"/>
    <w:link w:val="EC-FigureTitleChar"/>
    <w:uiPriority w:val="99"/>
    <w:rsid w:val="00A229CE"/>
    <w:pPr>
      <w:numPr>
        <w:numId w:val="37"/>
      </w:numPr>
      <w:tabs>
        <w:tab w:val="clear" w:pos="1560"/>
        <w:tab w:val="num" w:pos="0"/>
      </w:tabs>
      <w:spacing w:before="120" w:line="240" w:lineRule="auto"/>
    </w:pPr>
    <w:rPr>
      <w:rFonts w:ascii="Calibri" w:eastAsia="Batang" w:hAnsi="Calibri"/>
      <w:sz w:val="20"/>
      <w:lang w:val="nl-BE"/>
    </w:rPr>
  </w:style>
  <w:style w:type="character" w:customStyle="1" w:styleId="EC-FigureTitleChar">
    <w:name w:val="EC-FigureTitle Char"/>
    <w:link w:val="EC-FigureTitle"/>
    <w:uiPriority w:val="99"/>
    <w:locked/>
    <w:rsid w:val="00A229CE"/>
    <w:rPr>
      <w:rFonts w:ascii="Calibri" w:eastAsia="Batang" w:hAnsi="Calibri" w:cs="Times New Roman"/>
      <w:kern w:val="22"/>
      <w:sz w:val="20"/>
      <w:szCs w:val="18"/>
      <w:lang w:val="nl-BE" w:eastAsia="ko-KR"/>
    </w:rPr>
  </w:style>
  <w:style w:type="paragraph" w:customStyle="1" w:styleId="EC-Caption">
    <w:name w:val="EC-Caption"/>
    <w:basedOn w:val="EC-Para"/>
    <w:next w:val="EC-Para"/>
    <w:link w:val="EC-CaptionCharChar"/>
    <w:uiPriority w:val="99"/>
    <w:rsid w:val="00A229CE"/>
    <w:pPr>
      <w:spacing w:before="120" w:line="240" w:lineRule="auto"/>
    </w:pPr>
    <w:rPr>
      <w:rFonts w:eastAsia="Batang"/>
      <w:b/>
      <w:color w:val="000000"/>
      <w:lang w:val="nl-BE"/>
    </w:rPr>
  </w:style>
  <w:style w:type="character" w:customStyle="1" w:styleId="EC-CaptionCharChar">
    <w:name w:val="EC-Caption Char Char"/>
    <w:link w:val="EC-Caption"/>
    <w:uiPriority w:val="99"/>
    <w:locked/>
    <w:rsid w:val="00A229CE"/>
    <w:rPr>
      <w:rFonts w:ascii="Tahoma" w:eastAsia="Batang" w:hAnsi="Tahoma" w:cs="Times New Roman"/>
      <w:b/>
      <w:color w:val="000000"/>
      <w:kern w:val="22"/>
      <w:sz w:val="18"/>
      <w:szCs w:val="18"/>
      <w:lang w:val="nl-BE" w:eastAsia="ko-KR"/>
    </w:rPr>
  </w:style>
  <w:style w:type="character" w:customStyle="1" w:styleId="CharChar3">
    <w:name w:val="Char Char3"/>
    <w:uiPriority w:val="99"/>
    <w:locked/>
    <w:rsid w:val="00A229CE"/>
    <w:rPr>
      <w:rFonts w:ascii="Tahoma" w:eastAsia="Batang" w:hAnsi="Tahoma"/>
      <w:lang w:val="en-GB" w:eastAsia="ko-KR"/>
    </w:rPr>
  </w:style>
  <w:style w:type="character" w:customStyle="1" w:styleId="ECDC-Caption-Green">
    <w:name w:val="ECDC-Caption-Green"/>
    <w:uiPriority w:val="99"/>
    <w:rsid w:val="00A229CE"/>
    <w:rPr>
      <w:rFonts w:ascii="Tahoma" w:hAnsi="Tahoma"/>
      <w:color w:val="669900"/>
      <w:sz w:val="18"/>
      <w:effect w:val="none"/>
      <w:vertAlign w:val="baseline"/>
    </w:rPr>
  </w:style>
  <w:style w:type="paragraph" w:customStyle="1" w:styleId="EFSABodytext">
    <w:name w:val="EFSA_Body text"/>
    <w:basedOn w:val="Normal"/>
    <w:link w:val="EFSABodytextChar"/>
    <w:rsid w:val="00E41A90"/>
    <w:pPr>
      <w:spacing w:after="120"/>
      <w:jc w:val="both"/>
    </w:pPr>
    <w:rPr>
      <w:rFonts w:eastAsiaTheme="minorHAnsi"/>
      <w:sz w:val="20"/>
      <w:szCs w:val="20"/>
    </w:rPr>
  </w:style>
  <w:style w:type="character" w:customStyle="1" w:styleId="EFSABodytextChar">
    <w:name w:val="EFSA_Body text Char"/>
    <w:basedOn w:val="DefaultParagraphFont"/>
    <w:link w:val="EFSABodytext"/>
    <w:rsid w:val="00E41A90"/>
    <w:rPr>
      <w:rFonts w:ascii="Tahoma" w:hAnsi="Tahoma"/>
      <w:sz w:val="20"/>
      <w:szCs w:val="20"/>
    </w:rPr>
  </w:style>
  <w:style w:type="paragraph" w:customStyle="1" w:styleId="EFSABullet1">
    <w:name w:val="EFSA_Bullet 1"/>
    <w:basedOn w:val="EFSABodytext"/>
    <w:rsid w:val="00E41A90"/>
    <w:pPr>
      <w:numPr>
        <w:numId w:val="39"/>
      </w:numPr>
      <w:tabs>
        <w:tab w:val="clear" w:pos="0"/>
        <w:tab w:val="num" w:pos="510"/>
      </w:tabs>
    </w:pPr>
  </w:style>
  <w:style w:type="paragraph" w:customStyle="1" w:styleId="EFSABullet2">
    <w:name w:val="EFSA_Bullet 2"/>
    <w:basedOn w:val="EFSABodytext"/>
    <w:rsid w:val="00E41A90"/>
    <w:pPr>
      <w:numPr>
        <w:ilvl w:val="1"/>
        <w:numId w:val="39"/>
      </w:numPr>
      <w:tabs>
        <w:tab w:val="clear" w:pos="0"/>
        <w:tab w:val="num" w:pos="1021"/>
      </w:tabs>
    </w:pPr>
  </w:style>
  <w:style w:type="character" w:customStyle="1" w:styleId="ListParagraphChar">
    <w:name w:val="List Paragraph Char"/>
    <w:aliases w:val="ECDC AF Paragraph Char"/>
    <w:basedOn w:val="DefaultParagraphFont"/>
    <w:link w:val="ListParagraph"/>
    <w:uiPriority w:val="34"/>
    <w:rsid w:val="00E41A90"/>
  </w:style>
  <w:style w:type="paragraph" w:customStyle="1" w:styleId="EFSAHeading1nonumber">
    <w:name w:val="EFSA_Heading 1 (no number)"/>
    <w:basedOn w:val="Normal"/>
    <w:next w:val="EFSABodytext"/>
    <w:link w:val="EFSAHeading1nonumberChar"/>
    <w:rsid w:val="00DE382D"/>
    <w:pPr>
      <w:keepNext/>
      <w:spacing w:before="240" w:after="120"/>
      <w:outlineLvl w:val="0"/>
    </w:pPr>
    <w:rPr>
      <w:rFonts w:eastAsiaTheme="minorHAnsi"/>
      <w:b/>
      <w:sz w:val="24"/>
    </w:rPr>
  </w:style>
  <w:style w:type="character" w:customStyle="1" w:styleId="EFSAHeading1nonumberChar">
    <w:name w:val="EFSA_Heading 1 (no number) Char"/>
    <w:basedOn w:val="DefaultParagraphFont"/>
    <w:link w:val="EFSAHeading1nonumber"/>
    <w:rsid w:val="00DE382D"/>
    <w:rPr>
      <w:rFonts w:ascii="Tahoma" w:hAnsi="Tahoma"/>
      <w:b/>
      <w:sz w:val="24"/>
      <w:szCs w:val="24"/>
    </w:rPr>
  </w:style>
  <w:style w:type="paragraph" w:customStyle="1" w:styleId="ec-para0">
    <w:name w:val="ec-para"/>
    <w:basedOn w:val="Normal"/>
    <w:rsid w:val="00B5040E"/>
    <w:pPr>
      <w:spacing w:after="150"/>
    </w:pPr>
    <w:rPr>
      <w:rFonts w:ascii="Times New Roman" w:eastAsia="Times New Roman" w:hAnsi="Times New Roman"/>
      <w:sz w:val="24"/>
      <w:lang w:eastAsia="en-GB"/>
    </w:rPr>
  </w:style>
  <w:style w:type="character" w:styleId="UnresolvedMention">
    <w:name w:val="Unresolved Mention"/>
    <w:basedOn w:val="DefaultParagraphFont"/>
    <w:uiPriority w:val="99"/>
    <w:semiHidden/>
    <w:unhideWhenUsed/>
    <w:rsid w:val="003533FA"/>
    <w:rPr>
      <w:color w:val="605E5C"/>
      <w:shd w:val="clear" w:color="auto" w:fill="E1DFDD"/>
    </w:rPr>
  </w:style>
  <w:style w:type="paragraph" w:styleId="NoSpacing">
    <w:name w:val="No Spacing"/>
    <w:uiPriority w:val="1"/>
    <w:qFormat/>
    <w:rsid w:val="00A57E8E"/>
    <w:pPr>
      <w:spacing w:after="0" w:line="240" w:lineRule="auto"/>
    </w:pPr>
  </w:style>
  <w:style w:type="paragraph" w:styleId="Quote">
    <w:name w:val="Quote"/>
    <w:basedOn w:val="Normal"/>
    <w:next w:val="Normal"/>
    <w:link w:val="QuoteChar"/>
    <w:uiPriority w:val="29"/>
    <w:qFormat/>
    <w:rsid w:val="00A57E8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57E8E"/>
    <w:rPr>
      <w:color w:val="1F497D" w:themeColor="text2"/>
      <w:sz w:val="24"/>
      <w:szCs w:val="24"/>
    </w:rPr>
  </w:style>
  <w:style w:type="paragraph" w:styleId="IntenseQuote">
    <w:name w:val="Intense Quote"/>
    <w:basedOn w:val="Normal"/>
    <w:next w:val="Normal"/>
    <w:link w:val="IntenseQuoteChar"/>
    <w:uiPriority w:val="30"/>
    <w:qFormat/>
    <w:rsid w:val="00A57E8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57E8E"/>
    <w:rPr>
      <w:rFonts w:asciiTheme="majorHAnsi" w:eastAsiaTheme="majorEastAsia" w:hAnsiTheme="majorHAnsi" w:cstheme="majorBidi"/>
      <w:color w:val="1F497D" w:themeColor="text2"/>
      <w:spacing w:val="-6"/>
      <w:sz w:val="32"/>
      <w:szCs w:val="32"/>
    </w:rPr>
  </w:style>
  <w:style w:type="character" w:styleId="SubtleReference">
    <w:name w:val="Subtle Reference"/>
    <w:basedOn w:val="DefaultParagraphFont"/>
    <w:uiPriority w:val="31"/>
    <w:qFormat/>
    <w:rsid w:val="00A57E8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7E8E"/>
    <w:rPr>
      <w:b/>
      <w:bCs/>
      <w:smallCaps/>
      <w:color w:val="1F497D" w:themeColor="text2"/>
      <w:u w:val="single"/>
    </w:rPr>
  </w:style>
  <w:style w:type="character" w:styleId="BookTitle">
    <w:name w:val="Book Title"/>
    <w:basedOn w:val="DefaultParagraphFont"/>
    <w:uiPriority w:val="33"/>
    <w:qFormat/>
    <w:rsid w:val="00A57E8E"/>
    <w:rPr>
      <w:b/>
      <w:bCs/>
      <w:smallCaps/>
      <w:spacing w:val="10"/>
    </w:rPr>
  </w:style>
  <w:style w:type="paragraph" w:styleId="TOCHeading">
    <w:name w:val="TOC Heading"/>
    <w:basedOn w:val="Heading1"/>
    <w:next w:val="Normal"/>
    <w:uiPriority w:val="39"/>
    <w:semiHidden/>
    <w:unhideWhenUsed/>
    <w:qFormat/>
    <w:rsid w:val="00A57E8E"/>
    <w:pPr>
      <w:outlineLvl w:val="9"/>
    </w:pPr>
  </w:style>
  <w:style w:type="paragraph" w:customStyle="1" w:styleId="paragraph">
    <w:name w:val="paragraph"/>
    <w:basedOn w:val="Normal"/>
    <w:rsid w:val="00C223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rsid w:val="00C223D2"/>
  </w:style>
  <w:style w:type="character" w:customStyle="1" w:styleId="eop">
    <w:name w:val="eop"/>
    <w:basedOn w:val="DefaultParagraphFont"/>
    <w:rsid w:val="00C2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9557">
      <w:bodyDiv w:val="1"/>
      <w:marLeft w:val="0"/>
      <w:marRight w:val="0"/>
      <w:marTop w:val="0"/>
      <w:marBottom w:val="0"/>
      <w:divBdr>
        <w:top w:val="none" w:sz="0" w:space="0" w:color="auto"/>
        <w:left w:val="none" w:sz="0" w:space="0" w:color="auto"/>
        <w:bottom w:val="none" w:sz="0" w:space="0" w:color="auto"/>
        <w:right w:val="none" w:sz="0" w:space="0" w:color="auto"/>
      </w:divBdr>
    </w:div>
    <w:div w:id="27996747">
      <w:bodyDiv w:val="1"/>
      <w:marLeft w:val="0"/>
      <w:marRight w:val="0"/>
      <w:marTop w:val="0"/>
      <w:marBottom w:val="0"/>
      <w:divBdr>
        <w:top w:val="none" w:sz="0" w:space="0" w:color="auto"/>
        <w:left w:val="none" w:sz="0" w:space="0" w:color="auto"/>
        <w:bottom w:val="none" w:sz="0" w:space="0" w:color="auto"/>
        <w:right w:val="none" w:sz="0" w:space="0" w:color="auto"/>
      </w:divBdr>
    </w:div>
    <w:div w:id="29115312">
      <w:bodyDiv w:val="1"/>
      <w:marLeft w:val="0"/>
      <w:marRight w:val="0"/>
      <w:marTop w:val="0"/>
      <w:marBottom w:val="0"/>
      <w:divBdr>
        <w:top w:val="none" w:sz="0" w:space="0" w:color="auto"/>
        <w:left w:val="none" w:sz="0" w:space="0" w:color="auto"/>
        <w:bottom w:val="none" w:sz="0" w:space="0" w:color="auto"/>
        <w:right w:val="none" w:sz="0" w:space="0" w:color="auto"/>
      </w:divBdr>
      <w:divsChild>
        <w:div w:id="2049141707">
          <w:marLeft w:val="0"/>
          <w:marRight w:val="0"/>
          <w:marTop w:val="0"/>
          <w:marBottom w:val="0"/>
          <w:divBdr>
            <w:top w:val="none" w:sz="0" w:space="0" w:color="auto"/>
            <w:left w:val="none" w:sz="0" w:space="0" w:color="auto"/>
            <w:bottom w:val="none" w:sz="0" w:space="0" w:color="auto"/>
            <w:right w:val="none" w:sz="0" w:space="0" w:color="auto"/>
          </w:divBdr>
          <w:divsChild>
            <w:div w:id="1141077487">
              <w:marLeft w:val="0"/>
              <w:marRight w:val="0"/>
              <w:marTop w:val="0"/>
              <w:marBottom w:val="0"/>
              <w:divBdr>
                <w:top w:val="none" w:sz="0" w:space="0" w:color="auto"/>
                <w:left w:val="none" w:sz="0" w:space="0" w:color="auto"/>
                <w:bottom w:val="none" w:sz="0" w:space="0" w:color="auto"/>
                <w:right w:val="none" w:sz="0" w:space="0" w:color="auto"/>
              </w:divBdr>
              <w:divsChild>
                <w:div w:id="1213232143">
                  <w:marLeft w:val="0"/>
                  <w:marRight w:val="0"/>
                  <w:marTop w:val="0"/>
                  <w:marBottom w:val="0"/>
                  <w:divBdr>
                    <w:top w:val="none" w:sz="0" w:space="0" w:color="auto"/>
                    <w:left w:val="none" w:sz="0" w:space="0" w:color="auto"/>
                    <w:bottom w:val="none" w:sz="0" w:space="0" w:color="auto"/>
                    <w:right w:val="none" w:sz="0" w:space="0" w:color="auto"/>
                  </w:divBdr>
                  <w:divsChild>
                    <w:div w:id="90710414">
                      <w:marLeft w:val="0"/>
                      <w:marRight w:val="0"/>
                      <w:marTop w:val="0"/>
                      <w:marBottom w:val="0"/>
                      <w:divBdr>
                        <w:top w:val="none" w:sz="0" w:space="0" w:color="auto"/>
                        <w:left w:val="none" w:sz="0" w:space="0" w:color="auto"/>
                        <w:bottom w:val="none" w:sz="0" w:space="0" w:color="auto"/>
                        <w:right w:val="none" w:sz="0" w:space="0" w:color="auto"/>
                      </w:divBdr>
                      <w:divsChild>
                        <w:div w:id="775559253">
                          <w:marLeft w:val="0"/>
                          <w:marRight w:val="0"/>
                          <w:marTop w:val="0"/>
                          <w:marBottom w:val="0"/>
                          <w:divBdr>
                            <w:top w:val="none" w:sz="0" w:space="0" w:color="auto"/>
                            <w:left w:val="none" w:sz="0" w:space="0" w:color="auto"/>
                            <w:bottom w:val="none" w:sz="0" w:space="0" w:color="auto"/>
                            <w:right w:val="none" w:sz="0" w:space="0" w:color="auto"/>
                          </w:divBdr>
                          <w:divsChild>
                            <w:div w:id="1452625143">
                              <w:marLeft w:val="0"/>
                              <w:marRight w:val="0"/>
                              <w:marTop w:val="0"/>
                              <w:marBottom w:val="0"/>
                              <w:divBdr>
                                <w:top w:val="none" w:sz="0" w:space="0" w:color="auto"/>
                                <w:left w:val="none" w:sz="0" w:space="0" w:color="auto"/>
                                <w:bottom w:val="none" w:sz="0" w:space="0" w:color="auto"/>
                                <w:right w:val="none" w:sz="0" w:space="0" w:color="auto"/>
                              </w:divBdr>
                              <w:divsChild>
                                <w:div w:id="563835497">
                                  <w:marLeft w:val="0"/>
                                  <w:marRight w:val="0"/>
                                  <w:marTop w:val="0"/>
                                  <w:marBottom w:val="0"/>
                                  <w:divBdr>
                                    <w:top w:val="none" w:sz="0" w:space="0" w:color="auto"/>
                                    <w:left w:val="none" w:sz="0" w:space="0" w:color="auto"/>
                                    <w:bottom w:val="none" w:sz="0" w:space="0" w:color="auto"/>
                                    <w:right w:val="none" w:sz="0" w:space="0" w:color="auto"/>
                                  </w:divBdr>
                                  <w:divsChild>
                                    <w:div w:id="2786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5373">
      <w:bodyDiv w:val="1"/>
      <w:marLeft w:val="0"/>
      <w:marRight w:val="0"/>
      <w:marTop w:val="0"/>
      <w:marBottom w:val="0"/>
      <w:divBdr>
        <w:top w:val="none" w:sz="0" w:space="0" w:color="auto"/>
        <w:left w:val="none" w:sz="0" w:space="0" w:color="auto"/>
        <w:bottom w:val="none" w:sz="0" w:space="0" w:color="auto"/>
        <w:right w:val="none" w:sz="0" w:space="0" w:color="auto"/>
      </w:divBdr>
    </w:div>
    <w:div w:id="32116778">
      <w:bodyDiv w:val="1"/>
      <w:marLeft w:val="0"/>
      <w:marRight w:val="0"/>
      <w:marTop w:val="0"/>
      <w:marBottom w:val="0"/>
      <w:divBdr>
        <w:top w:val="none" w:sz="0" w:space="0" w:color="auto"/>
        <w:left w:val="none" w:sz="0" w:space="0" w:color="auto"/>
        <w:bottom w:val="none" w:sz="0" w:space="0" w:color="auto"/>
        <w:right w:val="none" w:sz="0" w:space="0" w:color="auto"/>
      </w:divBdr>
    </w:div>
    <w:div w:id="41484994">
      <w:bodyDiv w:val="1"/>
      <w:marLeft w:val="0"/>
      <w:marRight w:val="0"/>
      <w:marTop w:val="0"/>
      <w:marBottom w:val="0"/>
      <w:divBdr>
        <w:top w:val="none" w:sz="0" w:space="0" w:color="auto"/>
        <w:left w:val="none" w:sz="0" w:space="0" w:color="auto"/>
        <w:bottom w:val="none" w:sz="0" w:space="0" w:color="auto"/>
        <w:right w:val="none" w:sz="0" w:space="0" w:color="auto"/>
      </w:divBdr>
    </w:div>
    <w:div w:id="52583919">
      <w:bodyDiv w:val="1"/>
      <w:marLeft w:val="0"/>
      <w:marRight w:val="0"/>
      <w:marTop w:val="0"/>
      <w:marBottom w:val="0"/>
      <w:divBdr>
        <w:top w:val="none" w:sz="0" w:space="0" w:color="auto"/>
        <w:left w:val="none" w:sz="0" w:space="0" w:color="auto"/>
        <w:bottom w:val="none" w:sz="0" w:space="0" w:color="auto"/>
        <w:right w:val="none" w:sz="0" w:space="0" w:color="auto"/>
      </w:divBdr>
      <w:divsChild>
        <w:div w:id="743841587">
          <w:marLeft w:val="0"/>
          <w:marRight w:val="0"/>
          <w:marTop w:val="0"/>
          <w:marBottom w:val="0"/>
          <w:divBdr>
            <w:top w:val="none" w:sz="0" w:space="0" w:color="auto"/>
            <w:left w:val="none" w:sz="0" w:space="0" w:color="auto"/>
            <w:bottom w:val="none" w:sz="0" w:space="0" w:color="auto"/>
            <w:right w:val="none" w:sz="0" w:space="0" w:color="auto"/>
          </w:divBdr>
          <w:divsChild>
            <w:div w:id="2070760044">
              <w:marLeft w:val="0"/>
              <w:marRight w:val="0"/>
              <w:marTop w:val="0"/>
              <w:marBottom w:val="0"/>
              <w:divBdr>
                <w:top w:val="none" w:sz="0" w:space="0" w:color="auto"/>
                <w:left w:val="none" w:sz="0" w:space="0" w:color="auto"/>
                <w:bottom w:val="none" w:sz="0" w:space="0" w:color="auto"/>
                <w:right w:val="none" w:sz="0" w:space="0" w:color="auto"/>
              </w:divBdr>
              <w:divsChild>
                <w:div w:id="898857739">
                  <w:marLeft w:val="0"/>
                  <w:marRight w:val="0"/>
                  <w:marTop w:val="0"/>
                  <w:marBottom w:val="0"/>
                  <w:divBdr>
                    <w:top w:val="none" w:sz="0" w:space="0" w:color="auto"/>
                    <w:left w:val="none" w:sz="0" w:space="0" w:color="auto"/>
                    <w:bottom w:val="none" w:sz="0" w:space="0" w:color="auto"/>
                    <w:right w:val="none" w:sz="0" w:space="0" w:color="auto"/>
                  </w:divBdr>
                  <w:divsChild>
                    <w:div w:id="999194564">
                      <w:marLeft w:val="0"/>
                      <w:marRight w:val="0"/>
                      <w:marTop w:val="0"/>
                      <w:marBottom w:val="0"/>
                      <w:divBdr>
                        <w:top w:val="none" w:sz="0" w:space="0" w:color="auto"/>
                        <w:left w:val="none" w:sz="0" w:space="0" w:color="auto"/>
                        <w:bottom w:val="none" w:sz="0" w:space="0" w:color="auto"/>
                        <w:right w:val="none" w:sz="0" w:space="0" w:color="auto"/>
                      </w:divBdr>
                      <w:divsChild>
                        <w:div w:id="1243374280">
                          <w:marLeft w:val="0"/>
                          <w:marRight w:val="0"/>
                          <w:marTop w:val="0"/>
                          <w:marBottom w:val="0"/>
                          <w:divBdr>
                            <w:top w:val="none" w:sz="0" w:space="0" w:color="auto"/>
                            <w:left w:val="none" w:sz="0" w:space="0" w:color="auto"/>
                            <w:bottom w:val="none" w:sz="0" w:space="0" w:color="auto"/>
                            <w:right w:val="none" w:sz="0" w:space="0" w:color="auto"/>
                          </w:divBdr>
                          <w:divsChild>
                            <w:div w:id="400445856">
                              <w:marLeft w:val="0"/>
                              <w:marRight w:val="0"/>
                              <w:marTop w:val="0"/>
                              <w:marBottom w:val="0"/>
                              <w:divBdr>
                                <w:top w:val="none" w:sz="0" w:space="0" w:color="auto"/>
                                <w:left w:val="none" w:sz="0" w:space="0" w:color="auto"/>
                                <w:bottom w:val="none" w:sz="0" w:space="0" w:color="auto"/>
                                <w:right w:val="none" w:sz="0" w:space="0" w:color="auto"/>
                              </w:divBdr>
                              <w:divsChild>
                                <w:div w:id="1758088300">
                                  <w:marLeft w:val="0"/>
                                  <w:marRight w:val="0"/>
                                  <w:marTop w:val="0"/>
                                  <w:marBottom w:val="0"/>
                                  <w:divBdr>
                                    <w:top w:val="none" w:sz="0" w:space="0" w:color="auto"/>
                                    <w:left w:val="none" w:sz="0" w:space="0" w:color="auto"/>
                                    <w:bottom w:val="none" w:sz="0" w:space="0" w:color="auto"/>
                                    <w:right w:val="none" w:sz="0" w:space="0" w:color="auto"/>
                                  </w:divBdr>
                                  <w:divsChild>
                                    <w:div w:id="12147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86022">
      <w:bodyDiv w:val="1"/>
      <w:marLeft w:val="0"/>
      <w:marRight w:val="0"/>
      <w:marTop w:val="0"/>
      <w:marBottom w:val="0"/>
      <w:divBdr>
        <w:top w:val="none" w:sz="0" w:space="0" w:color="auto"/>
        <w:left w:val="none" w:sz="0" w:space="0" w:color="auto"/>
        <w:bottom w:val="none" w:sz="0" w:space="0" w:color="auto"/>
        <w:right w:val="none" w:sz="0" w:space="0" w:color="auto"/>
      </w:divBdr>
    </w:div>
    <w:div w:id="115300237">
      <w:bodyDiv w:val="1"/>
      <w:marLeft w:val="0"/>
      <w:marRight w:val="0"/>
      <w:marTop w:val="0"/>
      <w:marBottom w:val="0"/>
      <w:divBdr>
        <w:top w:val="none" w:sz="0" w:space="0" w:color="auto"/>
        <w:left w:val="none" w:sz="0" w:space="0" w:color="auto"/>
        <w:bottom w:val="none" w:sz="0" w:space="0" w:color="auto"/>
        <w:right w:val="none" w:sz="0" w:space="0" w:color="auto"/>
      </w:divBdr>
    </w:div>
    <w:div w:id="119541411">
      <w:bodyDiv w:val="1"/>
      <w:marLeft w:val="0"/>
      <w:marRight w:val="0"/>
      <w:marTop w:val="0"/>
      <w:marBottom w:val="0"/>
      <w:divBdr>
        <w:top w:val="none" w:sz="0" w:space="0" w:color="auto"/>
        <w:left w:val="none" w:sz="0" w:space="0" w:color="auto"/>
        <w:bottom w:val="none" w:sz="0" w:space="0" w:color="auto"/>
        <w:right w:val="none" w:sz="0" w:space="0" w:color="auto"/>
      </w:divBdr>
    </w:div>
    <w:div w:id="138033163">
      <w:bodyDiv w:val="1"/>
      <w:marLeft w:val="0"/>
      <w:marRight w:val="0"/>
      <w:marTop w:val="0"/>
      <w:marBottom w:val="0"/>
      <w:divBdr>
        <w:top w:val="none" w:sz="0" w:space="0" w:color="auto"/>
        <w:left w:val="none" w:sz="0" w:space="0" w:color="auto"/>
        <w:bottom w:val="none" w:sz="0" w:space="0" w:color="auto"/>
        <w:right w:val="none" w:sz="0" w:space="0" w:color="auto"/>
      </w:divBdr>
    </w:div>
    <w:div w:id="159346398">
      <w:bodyDiv w:val="1"/>
      <w:marLeft w:val="0"/>
      <w:marRight w:val="0"/>
      <w:marTop w:val="0"/>
      <w:marBottom w:val="0"/>
      <w:divBdr>
        <w:top w:val="none" w:sz="0" w:space="0" w:color="auto"/>
        <w:left w:val="none" w:sz="0" w:space="0" w:color="auto"/>
        <w:bottom w:val="none" w:sz="0" w:space="0" w:color="auto"/>
        <w:right w:val="none" w:sz="0" w:space="0" w:color="auto"/>
      </w:divBdr>
    </w:div>
    <w:div w:id="189727568">
      <w:bodyDiv w:val="1"/>
      <w:marLeft w:val="0"/>
      <w:marRight w:val="0"/>
      <w:marTop w:val="0"/>
      <w:marBottom w:val="0"/>
      <w:divBdr>
        <w:top w:val="none" w:sz="0" w:space="0" w:color="auto"/>
        <w:left w:val="none" w:sz="0" w:space="0" w:color="auto"/>
        <w:bottom w:val="none" w:sz="0" w:space="0" w:color="auto"/>
        <w:right w:val="none" w:sz="0" w:space="0" w:color="auto"/>
      </w:divBdr>
    </w:div>
    <w:div w:id="233710970">
      <w:bodyDiv w:val="1"/>
      <w:marLeft w:val="0"/>
      <w:marRight w:val="0"/>
      <w:marTop w:val="0"/>
      <w:marBottom w:val="0"/>
      <w:divBdr>
        <w:top w:val="none" w:sz="0" w:space="0" w:color="auto"/>
        <w:left w:val="none" w:sz="0" w:space="0" w:color="auto"/>
        <w:bottom w:val="none" w:sz="0" w:space="0" w:color="auto"/>
        <w:right w:val="none" w:sz="0" w:space="0" w:color="auto"/>
      </w:divBdr>
    </w:div>
    <w:div w:id="238249509">
      <w:bodyDiv w:val="1"/>
      <w:marLeft w:val="0"/>
      <w:marRight w:val="0"/>
      <w:marTop w:val="0"/>
      <w:marBottom w:val="0"/>
      <w:divBdr>
        <w:top w:val="none" w:sz="0" w:space="0" w:color="auto"/>
        <w:left w:val="none" w:sz="0" w:space="0" w:color="auto"/>
        <w:bottom w:val="none" w:sz="0" w:space="0" w:color="auto"/>
        <w:right w:val="none" w:sz="0" w:space="0" w:color="auto"/>
      </w:divBdr>
    </w:div>
    <w:div w:id="245724801">
      <w:bodyDiv w:val="1"/>
      <w:marLeft w:val="0"/>
      <w:marRight w:val="0"/>
      <w:marTop w:val="0"/>
      <w:marBottom w:val="0"/>
      <w:divBdr>
        <w:top w:val="none" w:sz="0" w:space="0" w:color="auto"/>
        <w:left w:val="none" w:sz="0" w:space="0" w:color="auto"/>
        <w:bottom w:val="none" w:sz="0" w:space="0" w:color="auto"/>
        <w:right w:val="none" w:sz="0" w:space="0" w:color="auto"/>
      </w:divBdr>
    </w:div>
    <w:div w:id="327447931">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64251610">
      <w:bodyDiv w:val="1"/>
      <w:marLeft w:val="0"/>
      <w:marRight w:val="0"/>
      <w:marTop w:val="0"/>
      <w:marBottom w:val="0"/>
      <w:divBdr>
        <w:top w:val="none" w:sz="0" w:space="0" w:color="auto"/>
        <w:left w:val="none" w:sz="0" w:space="0" w:color="auto"/>
        <w:bottom w:val="none" w:sz="0" w:space="0" w:color="auto"/>
        <w:right w:val="none" w:sz="0" w:space="0" w:color="auto"/>
      </w:divBdr>
    </w:div>
    <w:div w:id="385571644">
      <w:bodyDiv w:val="1"/>
      <w:marLeft w:val="0"/>
      <w:marRight w:val="0"/>
      <w:marTop w:val="0"/>
      <w:marBottom w:val="0"/>
      <w:divBdr>
        <w:top w:val="none" w:sz="0" w:space="0" w:color="auto"/>
        <w:left w:val="none" w:sz="0" w:space="0" w:color="auto"/>
        <w:bottom w:val="none" w:sz="0" w:space="0" w:color="auto"/>
        <w:right w:val="none" w:sz="0" w:space="0" w:color="auto"/>
      </w:divBdr>
    </w:div>
    <w:div w:id="388766437">
      <w:bodyDiv w:val="1"/>
      <w:marLeft w:val="0"/>
      <w:marRight w:val="0"/>
      <w:marTop w:val="0"/>
      <w:marBottom w:val="0"/>
      <w:divBdr>
        <w:top w:val="none" w:sz="0" w:space="0" w:color="auto"/>
        <w:left w:val="none" w:sz="0" w:space="0" w:color="auto"/>
        <w:bottom w:val="none" w:sz="0" w:space="0" w:color="auto"/>
        <w:right w:val="none" w:sz="0" w:space="0" w:color="auto"/>
      </w:divBdr>
    </w:div>
    <w:div w:id="397480862">
      <w:bodyDiv w:val="1"/>
      <w:marLeft w:val="0"/>
      <w:marRight w:val="0"/>
      <w:marTop w:val="0"/>
      <w:marBottom w:val="0"/>
      <w:divBdr>
        <w:top w:val="none" w:sz="0" w:space="0" w:color="auto"/>
        <w:left w:val="none" w:sz="0" w:space="0" w:color="auto"/>
        <w:bottom w:val="none" w:sz="0" w:space="0" w:color="auto"/>
        <w:right w:val="none" w:sz="0" w:space="0" w:color="auto"/>
      </w:divBdr>
    </w:div>
    <w:div w:id="410851538">
      <w:bodyDiv w:val="1"/>
      <w:marLeft w:val="0"/>
      <w:marRight w:val="0"/>
      <w:marTop w:val="0"/>
      <w:marBottom w:val="0"/>
      <w:divBdr>
        <w:top w:val="none" w:sz="0" w:space="0" w:color="auto"/>
        <w:left w:val="none" w:sz="0" w:space="0" w:color="auto"/>
        <w:bottom w:val="none" w:sz="0" w:space="0" w:color="auto"/>
        <w:right w:val="none" w:sz="0" w:space="0" w:color="auto"/>
      </w:divBdr>
    </w:div>
    <w:div w:id="495999824">
      <w:bodyDiv w:val="1"/>
      <w:marLeft w:val="0"/>
      <w:marRight w:val="0"/>
      <w:marTop w:val="0"/>
      <w:marBottom w:val="0"/>
      <w:divBdr>
        <w:top w:val="none" w:sz="0" w:space="0" w:color="auto"/>
        <w:left w:val="none" w:sz="0" w:space="0" w:color="auto"/>
        <w:bottom w:val="none" w:sz="0" w:space="0" w:color="auto"/>
        <w:right w:val="none" w:sz="0" w:space="0" w:color="auto"/>
      </w:divBdr>
    </w:div>
    <w:div w:id="507671952">
      <w:bodyDiv w:val="1"/>
      <w:marLeft w:val="0"/>
      <w:marRight w:val="0"/>
      <w:marTop w:val="0"/>
      <w:marBottom w:val="0"/>
      <w:divBdr>
        <w:top w:val="none" w:sz="0" w:space="0" w:color="auto"/>
        <w:left w:val="none" w:sz="0" w:space="0" w:color="auto"/>
        <w:bottom w:val="none" w:sz="0" w:space="0" w:color="auto"/>
        <w:right w:val="none" w:sz="0" w:space="0" w:color="auto"/>
      </w:divBdr>
    </w:div>
    <w:div w:id="518275306">
      <w:bodyDiv w:val="1"/>
      <w:marLeft w:val="0"/>
      <w:marRight w:val="0"/>
      <w:marTop w:val="0"/>
      <w:marBottom w:val="0"/>
      <w:divBdr>
        <w:top w:val="none" w:sz="0" w:space="0" w:color="auto"/>
        <w:left w:val="none" w:sz="0" w:space="0" w:color="auto"/>
        <w:bottom w:val="none" w:sz="0" w:space="0" w:color="auto"/>
        <w:right w:val="none" w:sz="0" w:space="0" w:color="auto"/>
      </w:divBdr>
    </w:div>
    <w:div w:id="525172015">
      <w:bodyDiv w:val="1"/>
      <w:marLeft w:val="0"/>
      <w:marRight w:val="0"/>
      <w:marTop w:val="0"/>
      <w:marBottom w:val="0"/>
      <w:divBdr>
        <w:top w:val="none" w:sz="0" w:space="0" w:color="auto"/>
        <w:left w:val="none" w:sz="0" w:space="0" w:color="auto"/>
        <w:bottom w:val="none" w:sz="0" w:space="0" w:color="auto"/>
        <w:right w:val="none" w:sz="0" w:space="0" w:color="auto"/>
      </w:divBdr>
    </w:div>
    <w:div w:id="550776699">
      <w:bodyDiv w:val="1"/>
      <w:marLeft w:val="0"/>
      <w:marRight w:val="0"/>
      <w:marTop w:val="0"/>
      <w:marBottom w:val="0"/>
      <w:divBdr>
        <w:top w:val="none" w:sz="0" w:space="0" w:color="auto"/>
        <w:left w:val="none" w:sz="0" w:space="0" w:color="auto"/>
        <w:bottom w:val="none" w:sz="0" w:space="0" w:color="auto"/>
        <w:right w:val="none" w:sz="0" w:space="0" w:color="auto"/>
      </w:divBdr>
    </w:div>
    <w:div w:id="569073779">
      <w:bodyDiv w:val="1"/>
      <w:marLeft w:val="0"/>
      <w:marRight w:val="0"/>
      <w:marTop w:val="0"/>
      <w:marBottom w:val="0"/>
      <w:divBdr>
        <w:top w:val="none" w:sz="0" w:space="0" w:color="auto"/>
        <w:left w:val="none" w:sz="0" w:space="0" w:color="auto"/>
        <w:bottom w:val="none" w:sz="0" w:space="0" w:color="auto"/>
        <w:right w:val="none" w:sz="0" w:space="0" w:color="auto"/>
      </w:divBdr>
    </w:div>
    <w:div w:id="575167227">
      <w:bodyDiv w:val="1"/>
      <w:marLeft w:val="0"/>
      <w:marRight w:val="0"/>
      <w:marTop w:val="0"/>
      <w:marBottom w:val="0"/>
      <w:divBdr>
        <w:top w:val="none" w:sz="0" w:space="0" w:color="auto"/>
        <w:left w:val="none" w:sz="0" w:space="0" w:color="auto"/>
        <w:bottom w:val="none" w:sz="0" w:space="0" w:color="auto"/>
        <w:right w:val="none" w:sz="0" w:space="0" w:color="auto"/>
      </w:divBdr>
    </w:div>
    <w:div w:id="576281972">
      <w:bodyDiv w:val="1"/>
      <w:marLeft w:val="0"/>
      <w:marRight w:val="0"/>
      <w:marTop w:val="0"/>
      <w:marBottom w:val="0"/>
      <w:divBdr>
        <w:top w:val="none" w:sz="0" w:space="0" w:color="auto"/>
        <w:left w:val="none" w:sz="0" w:space="0" w:color="auto"/>
        <w:bottom w:val="none" w:sz="0" w:space="0" w:color="auto"/>
        <w:right w:val="none" w:sz="0" w:space="0" w:color="auto"/>
      </w:divBdr>
    </w:div>
    <w:div w:id="595862959">
      <w:bodyDiv w:val="1"/>
      <w:marLeft w:val="0"/>
      <w:marRight w:val="0"/>
      <w:marTop w:val="0"/>
      <w:marBottom w:val="0"/>
      <w:divBdr>
        <w:top w:val="none" w:sz="0" w:space="0" w:color="auto"/>
        <w:left w:val="none" w:sz="0" w:space="0" w:color="auto"/>
        <w:bottom w:val="none" w:sz="0" w:space="0" w:color="auto"/>
        <w:right w:val="none" w:sz="0" w:space="0" w:color="auto"/>
      </w:divBdr>
    </w:div>
    <w:div w:id="604464388">
      <w:bodyDiv w:val="1"/>
      <w:marLeft w:val="0"/>
      <w:marRight w:val="0"/>
      <w:marTop w:val="0"/>
      <w:marBottom w:val="0"/>
      <w:divBdr>
        <w:top w:val="none" w:sz="0" w:space="0" w:color="auto"/>
        <w:left w:val="none" w:sz="0" w:space="0" w:color="auto"/>
        <w:bottom w:val="none" w:sz="0" w:space="0" w:color="auto"/>
        <w:right w:val="none" w:sz="0" w:space="0" w:color="auto"/>
      </w:divBdr>
    </w:div>
    <w:div w:id="620233037">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30718904">
      <w:bodyDiv w:val="1"/>
      <w:marLeft w:val="0"/>
      <w:marRight w:val="0"/>
      <w:marTop w:val="0"/>
      <w:marBottom w:val="0"/>
      <w:divBdr>
        <w:top w:val="none" w:sz="0" w:space="0" w:color="auto"/>
        <w:left w:val="none" w:sz="0" w:space="0" w:color="auto"/>
        <w:bottom w:val="none" w:sz="0" w:space="0" w:color="auto"/>
        <w:right w:val="none" w:sz="0" w:space="0" w:color="auto"/>
      </w:divBdr>
    </w:div>
    <w:div w:id="647906054">
      <w:bodyDiv w:val="1"/>
      <w:marLeft w:val="0"/>
      <w:marRight w:val="0"/>
      <w:marTop w:val="0"/>
      <w:marBottom w:val="0"/>
      <w:divBdr>
        <w:top w:val="none" w:sz="0" w:space="0" w:color="auto"/>
        <w:left w:val="none" w:sz="0" w:space="0" w:color="auto"/>
        <w:bottom w:val="none" w:sz="0" w:space="0" w:color="auto"/>
        <w:right w:val="none" w:sz="0" w:space="0" w:color="auto"/>
      </w:divBdr>
    </w:div>
    <w:div w:id="654332904">
      <w:bodyDiv w:val="1"/>
      <w:marLeft w:val="0"/>
      <w:marRight w:val="0"/>
      <w:marTop w:val="0"/>
      <w:marBottom w:val="0"/>
      <w:divBdr>
        <w:top w:val="none" w:sz="0" w:space="0" w:color="auto"/>
        <w:left w:val="none" w:sz="0" w:space="0" w:color="auto"/>
        <w:bottom w:val="none" w:sz="0" w:space="0" w:color="auto"/>
        <w:right w:val="none" w:sz="0" w:space="0" w:color="auto"/>
      </w:divBdr>
    </w:div>
    <w:div w:id="673725273">
      <w:bodyDiv w:val="1"/>
      <w:marLeft w:val="0"/>
      <w:marRight w:val="0"/>
      <w:marTop w:val="0"/>
      <w:marBottom w:val="0"/>
      <w:divBdr>
        <w:top w:val="none" w:sz="0" w:space="0" w:color="auto"/>
        <w:left w:val="none" w:sz="0" w:space="0" w:color="auto"/>
        <w:bottom w:val="none" w:sz="0" w:space="0" w:color="auto"/>
        <w:right w:val="none" w:sz="0" w:space="0" w:color="auto"/>
      </w:divBdr>
    </w:div>
    <w:div w:id="679478211">
      <w:bodyDiv w:val="1"/>
      <w:marLeft w:val="0"/>
      <w:marRight w:val="0"/>
      <w:marTop w:val="0"/>
      <w:marBottom w:val="0"/>
      <w:divBdr>
        <w:top w:val="none" w:sz="0" w:space="0" w:color="auto"/>
        <w:left w:val="none" w:sz="0" w:space="0" w:color="auto"/>
        <w:bottom w:val="none" w:sz="0" w:space="0" w:color="auto"/>
        <w:right w:val="none" w:sz="0" w:space="0" w:color="auto"/>
      </w:divBdr>
    </w:div>
    <w:div w:id="723528742">
      <w:bodyDiv w:val="1"/>
      <w:marLeft w:val="0"/>
      <w:marRight w:val="0"/>
      <w:marTop w:val="0"/>
      <w:marBottom w:val="0"/>
      <w:divBdr>
        <w:top w:val="none" w:sz="0" w:space="0" w:color="auto"/>
        <w:left w:val="none" w:sz="0" w:space="0" w:color="auto"/>
        <w:bottom w:val="none" w:sz="0" w:space="0" w:color="auto"/>
        <w:right w:val="none" w:sz="0" w:space="0" w:color="auto"/>
      </w:divBdr>
    </w:div>
    <w:div w:id="727148316">
      <w:bodyDiv w:val="1"/>
      <w:marLeft w:val="0"/>
      <w:marRight w:val="0"/>
      <w:marTop w:val="0"/>
      <w:marBottom w:val="0"/>
      <w:divBdr>
        <w:top w:val="none" w:sz="0" w:space="0" w:color="auto"/>
        <w:left w:val="none" w:sz="0" w:space="0" w:color="auto"/>
        <w:bottom w:val="none" w:sz="0" w:space="0" w:color="auto"/>
        <w:right w:val="none" w:sz="0" w:space="0" w:color="auto"/>
      </w:divBdr>
    </w:div>
    <w:div w:id="728382061">
      <w:bodyDiv w:val="1"/>
      <w:marLeft w:val="0"/>
      <w:marRight w:val="0"/>
      <w:marTop w:val="0"/>
      <w:marBottom w:val="0"/>
      <w:divBdr>
        <w:top w:val="none" w:sz="0" w:space="0" w:color="auto"/>
        <w:left w:val="none" w:sz="0" w:space="0" w:color="auto"/>
        <w:bottom w:val="none" w:sz="0" w:space="0" w:color="auto"/>
        <w:right w:val="none" w:sz="0" w:space="0" w:color="auto"/>
      </w:divBdr>
    </w:div>
    <w:div w:id="760489702">
      <w:bodyDiv w:val="1"/>
      <w:marLeft w:val="0"/>
      <w:marRight w:val="0"/>
      <w:marTop w:val="0"/>
      <w:marBottom w:val="0"/>
      <w:divBdr>
        <w:top w:val="none" w:sz="0" w:space="0" w:color="auto"/>
        <w:left w:val="none" w:sz="0" w:space="0" w:color="auto"/>
        <w:bottom w:val="none" w:sz="0" w:space="0" w:color="auto"/>
        <w:right w:val="none" w:sz="0" w:space="0" w:color="auto"/>
      </w:divBdr>
    </w:div>
    <w:div w:id="772289638">
      <w:bodyDiv w:val="1"/>
      <w:marLeft w:val="0"/>
      <w:marRight w:val="0"/>
      <w:marTop w:val="0"/>
      <w:marBottom w:val="0"/>
      <w:divBdr>
        <w:top w:val="none" w:sz="0" w:space="0" w:color="auto"/>
        <w:left w:val="none" w:sz="0" w:space="0" w:color="auto"/>
        <w:bottom w:val="none" w:sz="0" w:space="0" w:color="auto"/>
        <w:right w:val="none" w:sz="0" w:space="0" w:color="auto"/>
      </w:divBdr>
    </w:div>
    <w:div w:id="787772060">
      <w:bodyDiv w:val="1"/>
      <w:marLeft w:val="0"/>
      <w:marRight w:val="0"/>
      <w:marTop w:val="0"/>
      <w:marBottom w:val="0"/>
      <w:divBdr>
        <w:top w:val="none" w:sz="0" w:space="0" w:color="auto"/>
        <w:left w:val="none" w:sz="0" w:space="0" w:color="auto"/>
        <w:bottom w:val="none" w:sz="0" w:space="0" w:color="auto"/>
        <w:right w:val="none" w:sz="0" w:space="0" w:color="auto"/>
      </w:divBdr>
    </w:div>
    <w:div w:id="815299791">
      <w:bodyDiv w:val="1"/>
      <w:marLeft w:val="0"/>
      <w:marRight w:val="0"/>
      <w:marTop w:val="0"/>
      <w:marBottom w:val="0"/>
      <w:divBdr>
        <w:top w:val="none" w:sz="0" w:space="0" w:color="auto"/>
        <w:left w:val="none" w:sz="0" w:space="0" w:color="auto"/>
        <w:bottom w:val="none" w:sz="0" w:space="0" w:color="auto"/>
        <w:right w:val="none" w:sz="0" w:space="0" w:color="auto"/>
      </w:divBdr>
    </w:div>
    <w:div w:id="822626367">
      <w:bodyDiv w:val="1"/>
      <w:marLeft w:val="0"/>
      <w:marRight w:val="0"/>
      <w:marTop w:val="0"/>
      <w:marBottom w:val="0"/>
      <w:divBdr>
        <w:top w:val="none" w:sz="0" w:space="0" w:color="auto"/>
        <w:left w:val="none" w:sz="0" w:space="0" w:color="auto"/>
        <w:bottom w:val="none" w:sz="0" w:space="0" w:color="auto"/>
        <w:right w:val="none" w:sz="0" w:space="0" w:color="auto"/>
      </w:divBdr>
    </w:div>
    <w:div w:id="824125859">
      <w:bodyDiv w:val="1"/>
      <w:marLeft w:val="0"/>
      <w:marRight w:val="0"/>
      <w:marTop w:val="0"/>
      <w:marBottom w:val="0"/>
      <w:divBdr>
        <w:top w:val="none" w:sz="0" w:space="0" w:color="auto"/>
        <w:left w:val="none" w:sz="0" w:space="0" w:color="auto"/>
        <w:bottom w:val="none" w:sz="0" w:space="0" w:color="auto"/>
        <w:right w:val="none" w:sz="0" w:space="0" w:color="auto"/>
      </w:divBdr>
    </w:div>
    <w:div w:id="830759292">
      <w:bodyDiv w:val="1"/>
      <w:marLeft w:val="0"/>
      <w:marRight w:val="0"/>
      <w:marTop w:val="0"/>
      <w:marBottom w:val="0"/>
      <w:divBdr>
        <w:top w:val="none" w:sz="0" w:space="0" w:color="auto"/>
        <w:left w:val="none" w:sz="0" w:space="0" w:color="auto"/>
        <w:bottom w:val="none" w:sz="0" w:space="0" w:color="auto"/>
        <w:right w:val="none" w:sz="0" w:space="0" w:color="auto"/>
      </w:divBdr>
    </w:div>
    <w:div w:id="856966251">
      <w:bodyDiv w:val="1"/>
      <w:marLeft w:val="0"/>
      <w:marRight w:val="0"/>
      <w:marTop w:val="0"/>
      <w:marBottom w:val="0"/>
      <w:divBdr>
        <w:top w:val="none" w:sz="0" w:space="0" w:color="auto"/>
        <w:left w:val="none" w:sz="0" w:space="0" w:color="auto"/>
        <w:bottom w:val="none" w:sz="0" w:space="0" w:color="auto"/>
        <w:right w:val="none" w:sz="0" w:space="0" w:color="auto"/>
      </w:divBdr>
    </w:div>
    <w:div w:id="873734200">
      <w:bodyDiv w:val="1"/>
      <w:marLeft w:val="0"/>
      <w:marRight w:val="0"/>
      <w:marTop w:val="0"/>
      <w:marBottom w:val="0"/>
      <w:divBdr>
        <w:top w:val="none" w:sz="0" w:space="0" w:color="auto"/>
        <w:left w:val="none" w:sz="0" w:space="0" w:color="auto"/>
        <w:bottom w:val="none" w:sz="0" w:space="0" w:color="auto"/>
        <w:right w:val="none" w:sz="0" w:space="0" w:color="auto"/>
      </w:divBdr>
    </w:div>
    <w:div w:id="876815965">
      <w:bodyDiv w:val="1"/>
      <w:marLeft w:val="0"/>
      <w:marRight w:val="0"/>
      <w:marTop w:val="0"/>
      <w:marBottom w:val="0"/>
      <w:divBdr>
        <w:top w:val="none" w:sz="0" w:space="0" w:color="auto"/>
        <w:left w:val="none" w:sz="0" w:space="0" w:color="auto"/>
        <w:bottom w:val="none" w:sz="0" w:space="0" w:color="auto"/>
        <w:right w:val="none" w:sz="0" w:space="0" w:color="auto"/>
      </w:divBdr>
    </w:div>
    <w:div w:id="884609929">
      <w:bodyDiv w:val="1"/>
      <w:marLeft w:val="0"/>
      <w:marRight w:val="0"/>
      <w:marTop w:val="0"/>
      <w:marBottom w:val="0"/>
      <w:divBdr>
        <w:top w:val="none" w:sz="0" w:space="0" w:color="auto"/>
        <w:left w:val="none" w:sz="0" w:space="0" w:color="auto"/>
        <w:bottom w:val="none" w:sz="0" w:space="0" w:color="auto"/>
        <w:right w:val="none" w:sz="0" w:space="0" w:color="auto"/>
      </w:divBdr>
    </w:div>
    <w:div w:id="932514567">
      <w:bodyDiv w:val="1"/>
      <w:marLeft w:val="0"/>
      <w:marRight w:val="0"/>
      <w:marTop w:val="0"/>
      <w:marBottom w:val="0"/>
      <w:divBdr>
        <w:top w:val="none" w:sz="0" w:space="0" w:color="auto"/>
        <w:left w:val="none" w:sz="0" w:space="0" w:color="auto"/>
        <w:bottom w:val="none" w:sz="0" w:space="0" w:color="auto"/>
        <w:right w:val="none" w:sz="0" w:space="0" w:color="auto"/>
      </w:divBdr>
    </w:div>
    <w:div w:id="937568748">
      <w:bodyDiv w:val="1"/>
      <w:marLeft w:val="0"/>
      <w:marRight w:val="0"/>
      <w:marTop w:val="0"/>
      <w:marBottom w:val="0"/>
      <w:divBdr>
        <w:top w:val="none" w:sz="0" w:space="0" w:color="auto"/>
        <w:left w:val="none" w:sz="0" w:space="0" w:color="auto"/>
        <w:bottom w:val="none" w:sz="0" w:space="0" w:color="auto"/>
        <w:right w:val="none" w:sz="0" w:space="0" w:color="auto"/>
      </w:divBdr>
    </w:div>
    <w:div w:id="1054306237">
      <w:bodyDiv w:val="1"/>
      <w:marLeft w:val="0"/>
      <w:marRight w:val="0"/>
      <w:marTop w:val="0"/>
      <w:marBottom w:val="0"/>
      <w:divBdr>
        <w:top w:val="none" w:sz="0" w:space="0" w:color="auto"/>
        <w:left w:val="none" w:sz="0" w:space="0" w:color="auto"/>
        <w:bottom w:val="none" w:sz="0" w:space="0" w:color="auto"/>
        <w:right w:val="none" w:sz="0" w:space="0" w:color="auto"/>
      </w:divBdr>
    </w:div>
    <w:div w:id="1130198991">
      <w:bodyDiv w:val="1"/>
      <w:marLeft w:val="0"/>
      <w:marRight w:val="0"/>
      <w:marTop w:val="0"/>
      <w:marBottom w:val="0"/>
      <w:divBdr>
        <w:top w:val="none" w:sz="0" w:space="0" w:color="auto"/>
        <w:left w:val="none" w:sz="0" w:space="0" w:color="auto"/>
        <w:bottom w:val="none" w:sz="0" w:space="0" w:color="auto"/>
        <w:right w:val="none" w:sz="0" w:space="0" w:color="auto"/>
      </w:divBdr>
    </w:div>
    <w:div w:id="1151406207">
      <w:bodyDiv w:val="1"/>
      <w:marLeft w:val="0"/>
      <w:marRight w:val="0"/>
      <w:marTop w:val="0"/>
      <w:marBottom w:val="0"/>
      <w:divBdr>
        <w:top w:val="none" w:sz="0" w:space="0" w:color="auto"/>
        <w:left w:val="none" w:sz="0" w:space="0" w:color="auto"/>
        <w:bottom w:val="none" w:sz="0" w:space="0" w:color="auto"/>
        <w:right w:val="none" w:sz="0" w:space="0" w:color="auto"/>
      </w:divBdr>
    </w:div>
    <w:div w:id="1171916777">
      <w:bodyDiv w:val="1"/>
      <w:marLeft w:val="0"/>
      <w:marRight w:val="0"/>
      <w:marTop w:val="0"/>
      <w:marBottom w:val="0"/>
      <w:divBdr>
        <w:top w:val="none" w:sz="0" w:space="0" w:color="auto"/>
        <w:left w:val="none" w:sz="0" w:space="0" w:color="auto"/>
        <w:bottom w:val="none" w:sz="0" w:space="0" w:color="auto"/>
        <w:right w:val="none" w:sz="0" w:space="0" w:color="auto"/>
      </w:divBdr>
    </w:div>
    <w:div w:id="1206212706">
      <w:bodyDiv w:val="1"/>
      <w:marLeft w:val="0"/>
      <w:marRight w:val="0"/>
      <w:marTop w:val="0"/>
      <w:marBottom w:val="0"/>
      <w:divBdr>
        <w:top w:val="none" w:sz="0" w:space="0" w:color="auto"/>
        <w:left w:val="none" w:sz="0" w:space="0" w:color="auto"/>
        <w:bottom w:val="none" w:sz="0" w:space="0" w:color="auto"/>
        <w:right w:val="none" w:sz="0" w:space="0" w:color="auto"/>
      </w:divBdr>
    </w:div>
    <w:div w:id="1207327736">
      <w:bodyDiv w:val="1"/>
      <w:marLeft w:val="0"/>
      <w:marRight w:val="0"/>
      <w:marTop w:val="0"/>
      <w:marBottom w:val="0"/>
      <w:divBdr>
        <w:top w:val="none" w:sz="0" w:space="0" w:color="auto"/>
        <w:left w:val="none" w:sz="0" w:space="0" w:color="auto"/>
        <w:bottom w:val="none" w:sz="0" w:space="0" w:color="auto"/>
        <w:right w:val="none" w:sz="0" w:space="0" w:color="auto"/>
      </w:divBdr>
    </w:div>
    <w:div w:id="1219973381">
      <w:bodyDiv w:val="1"/>
      <w:marLeft w:val="0"/>
      <w:marRight w:val="0"/>
      <w:marTop w:val="0"/>
      <w:marBottom w:val="0"/>
      <w:divBdr>
        <w:top w:val="none" w:sz="0" w:space="0" w:color="auto"/>
        <w:left w:val="none" w:sz="0" w:space="0" w:color="auto"/>
        <w:bottom w:val="none" w:sz="0" w:space="0" w:color="auto"/>
        <w:right w:val="none" w:sz="0" w:space="0" w:color="auto"/>
      </w:divBdr>
    </w:div>
    <w:div w:id="1231305261">
      <w:bodyDiv w:val="1"/>
      <w:marLeft w:val="0"/>
      <w:marRight w:val="0"/>
      <w:marTop w:val="0"/>
      <w:marBottom w:val="0"/>
      <w:divBdr>
        <w:top w:val="none" w:sz="0" w:space="0" w:color="auto"/>
        <w:left w:val="none" w:sz="0" w:space="0" w:color="auto"/>
        <w:bottom w:val="none" w:sz="0" w:space="0" w:color="auto"/>
        <w:right w:val="none" w:sz="0" w:space="0" w:color="auto"/>
      </w:divBdr>
    </w:div>
    <w:div w:id="1243879307">
      <w:bodyDiv w:val="1"/>
      <w:marLeft w:val="0"/>
      <w:marRight w:val="0"/>
      <w:marTop w:val="0"/>
      <w:marBottom w:val="0"/>
      <w:divBdr>
        <w:top w:val="none" w:sz="0" w:space="0" w:color="auto"/>
        <w:left w:val="none" w:sz="0" w:space="0" w:color="auto"/>
        <w:bottom w:val="none" w:sz="0" w:space="0" w:color="auto"/>
        <w:right w:val="none" w:sz="0" w:space="0" w:color="auto"/>
      </w:divBdr>
    </w:div>
    <w:div w:id="1258826331">
      <w:bodyDiv w:val="1"/>
      <w:marLeft w:val="0"/>
      <w:marRight w:val="0"/>
      <w:marTop w:val="0"/>
      <w:marBottom w:val="0"/>
      <w:divBdr>
        <w:top w:val="none" w:sz="0" w:space="0" w:color="auto"/>
        <w:left w:val="none" w:sz="0" w:space="0" w:color="auto"/>
        <w:bottom w:val="none" w:sz="0" w:space="0" w:color="auto"/>
        <w:right w:val="none" w:sz="0" w:space="0" w:color="auto"/>
      </w:divBdr>
    </w:div>
    <w:div w:id="1269780496">
      <w:bodyDiv w:val="1"/>
      <w:marLeft w:val="0"/>
      <w:marRight w:val="0"/>
      <w:marTop w:val="0"/>
      <w:marBottom w:val="0"/>
      <w:divBdr>
        <w:top w:val="none" w:sz="0" w:space="0" w:color="auto"/>
        <w:left w:val="none" w:sz="0" w:space="0" w:color="auto"/>
        <w:bottom w:val="none" w:sz="0" w:space="0" w:color="auto"/>
        <w:right w:val="none" w:sz="0" w:space="0" w:color="auto"/>
      </w:divBdr>
    </w:div>
    <w:div w:id="1302921754">
      <w:bodyDiv w:val="1"/>
      <w:marLeft w:val="0"/>
      <w:marRight w:val="0"/>
      <w:marTop w:val="0"/>
      <w:marBottom w:val="0"/>
      <w:divBdr>
        <w:top w:val="none" w:sz="0" w:space="0" w:color="auto"/>
        <w:left w:val="none" w:sz="0" w:space="0" w:color="auto"/>
        <w:bottom w:val="none" w:sz="0" w:space="0" w:color="auto"/>
        <w:right w:val="none" w:sz="0" w:space="0" w:color="auto"/>
      </w:divBdr>
    </w:div>
    <w:div w:id="1308776306">
      <w:bodyDiv w:val="1"/>
      <w:marLeft w:val="0"/>
      <w:marRight w:val="0"/>
      <w:marTop w:val="0"/>
      <w:marBottom w:val="0"/>
      <w:divBdr>
        <w:top w:val="none" w:sz="0" w:space="0" w:color="auto"/>
        <w:left w:val="none" w:sz="0" w:space="0" w:color="auto"/>
        <w:bottom w:val="none" w:sz="0" w:space="0" w:color="auto"/>
        <w:right w:val="none" w:sz="0" w:space="0" w:color="auto"/>
      </w:divBdr>
    </w:div>
    <w:div w:id="1309939295">
      <w:bodyDiv w:val="1"/>
      <w:marLeft w:val="0"/>
      <w:marRight w:val="0"/>
      <w:marTop w:val="0"/>
      <w:marBottom w:val="0"/>
      <w:divBdr>
        <w:top w:val="none" w:sz="0" w:space="0" w:color="auto"/>
        <w:left w:val="none" w:sz="0" w:space="0" w:color="auto"/>
        <w:bottom w:val="none" w:sz="0" w:space="0" w:color="auto"/>
        <w:right w:val="none" w:sz="0" w:space="0" w:color="auto"/>
      </w:divBdr>
    </w:div>
    <w:div w:id="1314985253">
      <w:bodyDiv w:val="1"/>
      <w:marLeft w:val="0"/>
      <w:marRight w:val="0"/>
      <w:marTop w:val="0"/>
      <w:marBottom w:val="0"/>
      <w:divBdr>
        <w:top w:val="none" w:sz="0" w:space="0" w:color="auto"/>
        <w:left w:val="none" w:sz="0" w:space="0" w:color="auto"/>
        <w:bottom w:val="none" w:sz="0" w:space="0" w:color="auto"/>
        <w:right w:val="none" w:sz="0" w:space="0" w:color="auto"/>
      </w:divBdr>
    </w:div>
    <w:div w:id="1320303982">
      <w:bodyDiv w:val="1"/>
      <w:marLeft w:val="0"/>
      <w:marRight w:val="0"/>
      <w:marTop w:val="0"/>
      <w:marBottom w:val="0"/>
      <w:divBdr>
        <w:top w:val="none" w:sz="0" w:space="0" w:color="auto"/>
        <w:left w:val="none" w:sz="0" w:space="0" w:color="auto"/>
        <w:bottom w:val="none" w:sz="0" w:space="0" w:color="auto"/>
        <w:right w:val="none" w:sz="0" w:space="0" w:color="auto"/>
      </w:divBdr>
    </w:div>
    <w:div w:id="1321077866">
      <w:bodyDiv w:val="1"/>
      <w:marLeft w:val="0"/>
      <w:marRight w:val="0"/>
      <w:marTop w:val="0"/>
      <w:marBottom w:val="0"/>
      <w:divBdr>
        <w:top w:val="none" w:sz="0" w:space="0" w:color="auto"/>
        <w:left w:val="none" w:sz="0" w:space="0" w:color="auto"/>
        <w:bottom w:val="none" w:sz="0" w:space="0" w:color="auto"/>
        <w:right w:val="none" w:sz="0" w:space="0" w:color="auto"/>
      </w:divBdr>
    </w:div>
    <w:div w:id="1321155436">
      <w:bodyDiv w:val="1"/>
      <w:marLeft w:val="0"/>
      <w:marRight w:val="0"/>
      <w:marTop w:val="0"/>
      <w:marBottom w:val="0"/>
      <w:divBdr>
        <w:top w:val="none" w:sz="0" w:space="0" w:color="auto"/>
        <w:left w:val="none" w:sz="0" w:space="0" w:color="auto"/>
        <w:bottom w:val="none" w:sz="0" w:space="0" w:color="auto"/>
        <w:right w:val="none" w:sz="0" w:space="0" w:color="auto"/>
      </w:divBdr>
    </w:div>
    <w:div w:id="1329596680">
      <w:bodyDiv w:val="1"/>
      <w:marLeft w:val="0"/>
      <w:marRight w:val="0"/>
      <w:marTop w:val="0"/>
      <w:marBottom w:val="0"/>
      <w:divBdr>
        <w:top w:val="none" w:sz="0" w:space="0" w:color="auto"/>
        <w:left w:val="none" w:sz="0" w:space="0" w:color="auto"/>
        <w:bottom w:val="none" w:sz="0" w:space="0" w:color="auto"/>
        <w:right w:val="none" w:sz="0" w:space="0" w:color="auto"/>
      </w:divBdr>
    </w:div>
    <w:div w:id="1379427668">
      <w:bodyDiv w:val="1"/>
      <w:marLeft w:val="0"/>
      <w:marRight w:val="0"/>
      <w:marTop w:val="0"/>
      <w:marBottom w:val="0"/>
      <w:divBdr>
        <w:top w:val="none" w:sz="0" w:space="0" w:color="auto"/>
        <w:left w:val="none" w:sz="0" w:space="0" w:color="auto"/>
        <w:bottom w:val="none" w:sz="0" w:space="0" w:color="auto"/>
        <w:right w:val="none" w:sz="0" w:space="0" w:color="auto"/>
      </w:divBdr>
    </w:div>
    <w:div w:id="1385372896">
      <w:bodyDiv w:val="1"/>
      <w:marLeft w:val="0"/>
      <w:marRight w:val="0"/>
      <w:marTop w:val="0"/>
      <w:marBottom w:val="0"/>
      <w:divBdr>
        <w:top w:val="none" w:sz="0" w:space="0" w:color="auto"/>
        <w:left w:val="none" w:sz="0" w:space="0" w:color="auto"/>
        <w:bottom w:val="none" w:sz="0" w:space="0" w:color="auto"/>
        <w:right w:val="none" w:sz="0" w:space="0" w:color="auto"/>
      </w:divBdr>
    </w:div>
    <w:div w:id="1403942852">
      <w:bodyDiv w:val="1"/>
      <w:marLeft w:val="0"/>
      <w:marRight w:val="0"/>
      <w:marTop w:val="0"/>
      <w:marBottom w:val="0"/>
      <w:divBdr>
        <w:top w:val="none" w:sz="0" w:space="0" w:color="auto"/>
        <w:left w:val="none" w:sz="0" w:space="0" w:color="auto"/>
        <w:bottom w:val="none" w:sz="0" w:space="0" w:color="auto"/>
        <w:right w:val="none" w:sz="0" w:space="0" w:color="auto"/>
      </w:divBdr>
    </w:div>
    <w:div w:id="1433278639">
      <w:bodyDiv w:val="1"/>
      <w:marLeft w:val="0"/>
      <w:marRight w:val="0"/>
      <w:marTop w:val="0"/>
      <w:marBottom w:val="0"/>
      <w:divBdr>
        <w:top w:val="none" w:sz="0" w:space="0" w:color="auto"/>
        <w:left w:val="none" w:sz="0" w:space="0" w:color="auto"/>
        <w:bottom w:val="none" w:sz="0" w:space="0" w:color="auto"/>
        <w:right w:val="none" w:sz="0" w:space="0" w:color="auto"/>
      </w:divBdr>
    </w:div>
    <w:div w:id="1433471984">
      <w:bodyDiv w:val="1"/>
      <w:marLeft w:val="0"/>
      <w:marRight w:val="0"/>
      <w:marTop w:val="0"/>
      <w:marBottom w:val="0"/>
      <w:divBdr>
        <w:top w:val="none" w:sz="0" w:space="0" w:color="auto"/>
        <w:left w:val="none" w:sz="0" w:space="0" w:color="auto"/>
        <w:bottom w:val="none" w:sz="0" w:space="0" w:color="auto"/>
        <w:right w:val="none" w:sz="0" w:space="0" w:color="auto"/>
      </w:divBdr>
    </w:div>
    <w:div w:id="1435399614">
      <w:bodyDiv w:val="1"/>
      <w:marLeft w:val="0"/>
      <w:marRight w:val="0"/>
      <w:marTop w:val="0"/>
      <w:marBottom w:val="0"/>
      <w:divBdr>
        <w:top w:val="none" w:sz="0" w:space="0" w:color="auto"/>
        <w:left w:val="none" w:sz="0" w:space="0" w:color="auto"/>
        <w:bottom w:val="none" w:sz="0" w:space="0" w:color="auto"/>
        <w:right w:val="none" w:sz="0" w:space="0" w:color="auto"/>
      </w:divBdr>
    </w:div>
    <w:div w:id="1460418537">
      <w:bodyDiv w:val="1"/>
      <w:marLeft w:val="0"/>
      <w:marRight w:val="0"/>
      <w:marTop w:val="0"/>
      <w:marBottom w:val="0"/>
      <w:divBdr>
        <w:top w:val="none" w:sz="0" w:space="0" w:color="auto"/>
        <w:left w:val="none" w:sz="0" w:space="0" w:color="auto"/>
        <w:bottom w:val="none" w:sz="0" w:space="0" w:color="auto"/>
        <w:right w:val="none" w:sz="0" w:space="0" w:color="auto"/>
      </w:divBdr>
    </w:div>
    <w:div w:id="1505826590">
      <w:bodyDiv w:val="1"/>
      <w:marLeft w:val="0"/>
      <w:marRight w:val="0"/>
      <w:marTop w:val="0"/>
      <w:marBottom w:val="0"/>
      <w:divBdr>
        <w:top w:val="none" w:sz="0" w:space="0" w:color="auto"/>
        <w:left w:val="none" w:sz="0" w:space="0" w:color="auto"/>
        <w:bottom w:val="none" w:sz="0" w:space="0" w:color="auto"/>
        <w:right w:val="none" w:sz="0" w:space="0" w:color="auto"/>
      </w:divBdr>
    </w:div>
    <w:div w:id="1563448557">
      <w:bodyDiv w:val="1"/>
      <w:marLeft w:val="0"/>
      <w:marRight w:val="0"/>
      <w:marTop w:val="0"/>
      <w:marBottom w:val="0"/>
      <w:divBdr>
        <w:top w:val="none" w:sz="0" w:space="0" w:color="auto"/>
        <w:left w:val="none" w:sz="0" w:space="0" w:color="auto"/>
        <w:bottom w:val="none" w:sz="0" w:space="0" w:color="auto"/>
        <w:right w:val="none" w:sz="0" w:space="0" w:color="auto"/>
      </w:divBdr>
    </w:div>
    <w:div w:id="1606305818">
      <w:bodyDiv w:val="1"/>
      <w:marLeft w:val="0"/>
      <w:marRight w:val="0"/>
      <w:marTop w:val="0"/>
      <w:marBottom w:val="0"/>
      <w:divBdr>
        <w:top w:val="none" w:sz="0" w:space="0" w:color="auto"/>
        <w:left w:val="none" w:sz="0" w:space="0" w:color="auto"/>
        <w:bottom w:val="none" w:sz="0" w:space="0" w:color="auto"/>
        <w:right w:val="none" w:sz="0" w:space="0" w:color="auto"/>
      </w:divBdr>
    </w:div>
    <w:div w:id="1609006077">
      <w:bodyDiv w:val="1"/>
      <w:marLeft w:val="0"/>
      <w:marRight w:val="0"/>
      <w:marTop w:val="0"/>
      <w:marBottom w:val="0"/>
      <w:divBdr>
        <w:top w:val="none" w:sz="0" w:space="0" w:color="auto"/>
        <w:left w:val="none" w:sz="0" w:space="0" w:color="auto"/>
        <w:bottom w:val="none" w:sz="0" w:space="0" w:color="auto"/>
        <w:right w:val="none" w:sz="0" w:space="0" w:color="auto"/>
      </w:divBdr>
    </w:div>
    <w:div w:id="1635402784">
      <w:bodyDiv w:val="1"/>
      <w:marLeft w:val="0"/>
      <w:marRight w:val="0"/>
      <w:marTop w:val="0"/>
      <w:marBottom w:val="0"/>
      <w:divBdr>
        <w:top w:val="none" w:sz="0" w:space="0" w:color="auto"/>
        <w:left w:val="none" w:sz="0" w:space="0" w:color="auto"/>
        <w:bottom w:val="none" w:sz="0" w:space="0" w:color="auto"/>
        <w:right w:val="none" w:sz="0" w:space="0" w:color="auto"/>
      </w:divBdr>
    </w:div>
    <w:div w:id="1656835250">
      <w:bodyDiv w:val="1"/>
      <w:marLeft w:val="0"/>
      <w:marRight w:val="0"/>
      <w:marTop w:val="0"/>
      <w:marBottom w:val="0"/>
      <w:divBdr>
        <w:top w:val="none" w:sz="0" w:space="0" w:color="auto"/>
        <w:left w:val="none" w:sz="0" w:space="0" w:color="auto"/>
        <w:bottom w:val="none" w:sz="0" w:space="0" w:color="auto"/>
        <w:right w:val="none" w:sz="0" w:space="0" w:color="auto"/>
      </w:divBdr>
    </w:div>
    <w:div w:id="1661811744">
      <w:bodyDiv w:val="1"/>
      <w:marLeft w:val="0"/>
      <w:marRight w:val="0"/>
      <w:marTop w:val="0"/>
      <w:marBottom w:val="0"/>
      <w:divBdr>
        <w:top w:val="none" w:sz="0" w:space="0" w:color="auto"/>
        <w:left w:val="none" w:sz="0" w:space="0" w:color="auto"/>
        <w:bottom w:val="none" w:sz="0" w:space="0" w:color="auto"/>
        <w:right w:val="none" w:sz="0" w:space="0" w:color="auto"/>
      </w:divBdr>
    </w:div>
    <w:div w:id="1666740840">
      <w:bodyDiv w:val="1"/>
      <w:marLeft w:val="0"/>
      <w:marRight w:val="0"/>
      <w:marTop w:val="0"/>
      <w:marBottom w:val="0"/>
      <w:divBdr>
        <w:top w:val="none" w:sz="0" w:space="0" w:color="auto"/>
        <w:left w:val="none" w:sz="0" w:space="0" w:color="auto"/>
        <w:bottom w:val="none" w:sz="0" w:space="0" w:color="auto"/>
        <w:right w:val="none" w:sz="0" w:space="0" w:color="auto"/>
      </w:divBdr>
    </w:div>
    <w:div w:id="1676609397">
      <w:bodyDiv w:val="1"/>
      <w:marLeft w:val="0"/>
      <w:marRight w:val="0"/>
      <w:marTop w:val="0"/>
      <w:marBottom w:val="0"/>
      <w:divBdr>
        <w:top w:val="none" w:sz="0" w:space="0" w:color="auto"/>
        <w:left w:val="none" w:sz="0" w:space="0" w:color="auto"/>
        <w:bottom w:val="none" w:sz="0" w:space="0" w:color="auto"/>
        <w:right w:val="none" w:sz="0" w:space="0" w:color="auto"/>
      </w:divBdr>
    </w:div>
    <w:div w:id="1682471910">
      <w:bodyDiv w:val="1"/>
      <w:marLeft w:val="0"/>
      <w:marRight w:val="0"/>
      <w:marTop w:val="0"/>
      <w:marBottom w:val="0"/>
      <w:divBdr>
        <w:top w:val="none" w:sz="0" w:space="0" w:color="auto"/>
        <w:left w:val="none" w:sz="0" w:space="0" w:color="auto"/>
        <w:bottom w:val="none" w:sz="0" w:space="0" w:color="auto"/>
        <w:right w:val="none" w:sz="0" w:space="0" w:color="auto"/>
      </w:divBdr>
      <w:divsChild>
        <w:div w:id="1728526726">
          <w:marLeft w:val="0"/>
          <w:marRight w:val="0"/>
          <w:marTop w:val="45"/>
          <w:marBottom w:val="0"/>
          <w:divBdr>
            <w:top w:val="none" w:sz="0" w:space="0" w:color="auto"/>
            <w:left w:val="none" w:sz="0" w:space="0" w:color="auto"/>
            <w:bottom w:val="none" w:sz="0" w:space="0" w:color="auto"/>
            <w:right w:val="none" w:sz="0" w:space="0" w:color="auto"/>
          </w:divBdr>
        </w:div>
      </w:divsChild>
    </w:div>
    <w:div w:id="1721245894">
      <w:bodyDiv w:val="1"/>
      <w:marLeft w:val="0"/>
      <w:marRight w:val="0"/>
      <w:marTop w:val="0"/>
      <w:marBottom w:val="0"/>
      <w:divBdr>
        <w:top w:val="none" w:sz="0" w:space="0" w:color="auto"/>
        <w:left w:val="none" w:sz="0" w:space="0" w:color="auto"/>
        <w:bottom w:val="none" w:sz="0" w:space="0" w:color="auto"/>
        <w:right w:val="none" w:sz="0" w:space="0" w:color="auto"/>
      </w:divBdr>
    </w:div>
    <w:div w:id="1730807320">
      <w:bodyDiv w:val="1"/>
      <w:marLeft w:val="0"/>
      <w:marRight w:val="0"/>
      <w:marTop w:val="0"/>
      <w:marBottom w:val="0"/>
      <w:divBdr>
        <w:top w:val="none" w:sz="0" w:space="0" w:color="auto"/>
        <w:left w:val="none" w:sz="0" w:space="0" w:color="auto"/>
        <w:bottom w:val="none" w:sz="0" w:space="0" w:color="auto"/>
        <w:right w:val="none" w:sz="0" w:space="0" w:color="auto"/>
      </w:divBdr>
    </w:div>
    <w:div w:id="1733312816">
      <w:bodyDiv w:val="1"/>
      <w:marLeft w:val="0"/>
      <w:marRight w:val="0"/>
      <w:marTop w:val="0"/>
      <w:marBottom w:val="0"/>
      <w:divBdr>
        <w:top w:val="none" w:sz="0" w:space="0" w:color="auto"/>
        <w:left w:val="none" w:sz="0" w:space="0" w:color="auto"/>
        <w:bottom w:val="none" w:sz="0" w:space="0" w:color="auto"/>
        <w:right w:val="none" w:sz="0" w:space="0" w:color="auto"/>
      </w:divBdr>
    </w:div>
    <w:div w:id="1738899293">
      <w:bodyDiv w:val="1"/>
      <w:marLeft w:val="0"/>
      <w:marRight w:val="0"/>
      <w:marTop w:val="0"/>
      <w:marBottom w:val="0"/>
      <w:divBdr>
        <w:top w:val="none" w:sz="0" w:space="0" w:color="auto"/>
        <w:left w:val="none" w:sz="0" w:space="0" w:color="auto"/>
        <w:bottom w:val="none" w:sz="0" w:space="0" w:color="auto"/>
        <w:right w:val="none" w:sz="0" w:space="0" w:color="auto"/>
      </w:divBdr>
    </w:div>
    <w:div w:id="1740397607">
      <w:bodyDiv w:val="1"/>
      <w:marLeft w:val="0"/>
      <w:marRight w:val="0"/>
      <w:marTop w:val="0"/>
      <w:marBottom w:val="0"/>
      <w:divBdr>
        <w:top w:val="none" w:sz="0" w:space="0" w:color="auto"/>
        <w:left w:val="none" w:sz="0" w:space="0" w:color="auto"/>
        <w:bottom w:val="none" w:sz="0" w:space="0" w:color="auto"/>
        <w:right w:val="none" w:sz="0" w:space="0" w:color="auto"/>
      </w:divBdr>
    </w:div>
    <w:div w:id="1746954862">
      <w:bodyDiv w:val="1"/>
      <w:marLeft w:val="0"/>
      <w:marRight w:val="0"/>
      <w:marTop w:val="0"/>
      <w:marBottom w:val="0"/>
      <w:divBdr>
        <w:top w:val="none" w:sz="0" w:space="0" w:color="auto"/>
        <w:left w:val="none" w:sz="0" w:space="0" w:color="auto"/>
        <w:bottom w:val="none" w:sz="0" w:space="0" w:color="auto"/>
        <w:right w:val="none" w:sz="0" w:space="0" w:color="auto"/>
      </w:divBdr>
    </w:div>
    <w:div w:id="1760177759">
      <w:bodyDiv w:val="1"/>
      <w:marLeft w:val="0"/>
      <w:marRight w:val="0"/>
      <w:marTop w:val="0"/>
      <w:marBottom w:val="0"/>
      <w:divBdr>
        <w:top w:val="none" w:sz="0" w:space="0" w:color="auto"/>
        <w:left w:val="none" w:sz="0" w:space="0" w:color="auto"/>
        <w:bottom w:val="none" w:sz="0" w:space="0" w:color="auto"/>
        <w:right w:val="none" w:sz="0" w:space="0" w:color="auto"/>
      </w:divBdr>
    </w:div>
    <w:div w:id="1777140005">
      <w:bodyDiv w:val="1"/>
      <w:marLeft w:val="0"/>
      <w:marRight w:val="0"/>
      <w:marTop w:val="0"/>
      <w:marBottom w:val="0"/>
      <w:divBdr>
        <w:top w:val="none" w:sz="0" w:space="0" w:color="auto"/>
        <w:left w:val="none" w:sz="0" w:space="0" w:color="auto"/>
        <w:bottom w:val="none" w:sz="0" w:space="0" w:color="auto"/>
        <w:right w:val="none" w:sz="0" w:space="0" w:color="auto"/>
      </w:divBdr>
    </w:div>
    <w:div w:id="1788429916">
      <w:bodyDiv w:val="1"/>
      <w:marLeft w:val="0"/>
      <w:marRight w:val="0"/>
      <w:marTop w:val="0"/>
      <w:marBottom w:val="0"/>
      <w:divBdr>
        <w:top w:val="none" w:sz="0" w:space="0" w:color="auto"/>
        <w:left w:val="none" w:sz="0" w:space="0" w:color="auto"/>
        <w:bottom w:val="none" w:sz="0" w:space="0" w:color="auto"/>
        <w:right w:val="none" w:sz="0" w:space="0" w:color="auto"/>
      </w:divBdr>
    </w:div>
    <w:div w:id="1796017785">
      <w:bodyDiv w:val="1"/>
      <w:marLeft w:val="0"/>
      <w:marRight w:val="0"/>
      <w:marTop w:val="0"/>
      <w:marBottom w:val="0"/>
      <w:divBdr>
        <w:top w:val="none" w:sz="0" w:space="0" w:color="auto"/>
        <w:left w:val="none" w:sz="0" w:space="0" w:color="auto"/>
        <w:bottom w:val="none" w:sz="0" w:space="0" w:color="auto"/>
        <w:right w:val="none" w:sz="0" w:space="0" w:color="auto"/>
      </w:divBdr>
      <w:divsChild>
        <w:div w:id="1788966192">
          <w:marLeft w:val="0"/>
          <w:marRight w:val="0"/>
          <w:marTop w:val="45"/>
          <w:marBottom w:val="0"/>
          <w:divBdr>
            <w:top w:val="none" w:sz="0" w:space="0" w:color="auto"/>
            <w:left w:val="none" w:sz="0" w:space="0" w:color="auto"/>
            <w:bottom w:val="none" w:sz="0" w:space="0" w:color="auto"/>
            <w:right w:val="none" w:sz="0" w:space="0" w:color="auto"/>
          </w:divBdr>
        </w:div>
      </w:divsChild>
    </w:div>
    <w:div w:id="1803108458">
      <w:bodyDiv w:val="1"/>
      <w:marLeft w:val="0"/>
      <w:marRight w:val="0"/>
      <w:marTop w:val="0"/>
      <w:marBottom w:val="0"/>
      <w:divBdr>
        <w:top w:val="none" w:sz="0" w:space="0" w:color="auto"/>
        <w:left w:val="none" w:sz="0" w:space="0" w:color="auto"/>
        <w:bottom w:val="none" w:sz="0" w:space="0" w:color="auto"/>
        <w:right w:val="none" w:sz="0" w:space="0" w:color="auto"/>
      </w:divBdr>
    </w:div>
    <w:div w:id="1805124396">
      <w:bodyDiv w:val="1"/>
      <w:marLeft w:val="0"/>
      <w:marRight w:val="0"/>
      <w:marTop w:val="0"/>
      <w:marBottom w:val="0"/>
      <w:divBdr>
        <w:top w:val="none" w:sz="0" w:space="0" w:color="auto"/>
        <w:left w:val="none" w:sz="0" w:space="0" w:color="auto"/>
        <w:bottom w:val="none" w:sz="0" w:space="0" w:color="auto"/>
        <w:right w:val="none" w:sz="0" w:space="0" w:color="auto"/>
      </w:divBdr>
    </w:div>
    <w:div w:id="1811364633">
      <w:bodyDiv w:val="1"/>
      <w:marLeft w:val="0"/>
      <w:marRight w:val="0"/>
      <w:marTop w:val="0"/>
      <w:marBottom w:val="0"/>
      <w:divBdr>
        <w:top w:val="none" w:sz="0" w:space="0" w:color="auto"/>
        <w:left w:val="none" w:sz="0" w:space="0" w:color="auto"/>
        <w:bottom w:val="none" w:sz="0" w:space="0" w:color="auto"/>
        <w:right w:val="none" w:sz="0" w:space="0" w:color="auto"/>
      </w:divBdr>
    </w:div>
    <w:div w:id="1832912084">
      <w:bodyDiv w:val="1"/>
      <w:marLeft w:val="0"/>
      <w:marRight w:val="0"/>
      <w:marTop w:val="0"/>
      <w:marBottom w:val="0"/>
      <w:divBdr>
        <w:top w:val="none" w:sz="0" w:space="0" w:color="auto"/>
        <w:left w:val="none" w:sz="0" w:space="0" w:color="auto"/>
        <w:bottom w:val="none" w:sz="0" w:space="0" w:color="auto"/>
        <w:right w:val="none" w:sz="0" w:space="0" w:color="auto"/>
      </w:divBdr>
    </w:div>
    <w:div w:id="1925453208">
      <w:bodyDiv w:val="1"/>
      <w:marLeft w:val="0"/>
      <w:marRight w:val="0"/>
      <w:marTop w:val="0"/>
      <w:marBottom w:val="0"/>
      <w:divBdr>
        <w:top w:val="none" w:sz="0" w:space="0" w:color="auto"/>
        <w:left w:val="none" w:sz="0" w:space="0" w:color="auto"/>
        <w:bottom w:val="none" w:sz="0" w:space="0" w:color="auto"/>
        <w:right w:val="none" w:sz="0" w:space="0" w:color="auto"/>
      </w:divBdr>
    </w:div>
    <w:div w:id="1946383884">
      <w:bodyDiv w:val="1"/>
      <w:marLeft w:val="0"/>
      <w:marRight w:val="0"/>
      <w:marTop w:val="0"/>
      <w:marBottom w:val="0"/>
      <w:divBdr>
        <w:top w:val="none" w:sz="0" w:space="0" w:color="auto"/>
        <w:left w:val="none" w:sz="0" w:space="0" w:color="auto"/>
        <w:bottom w:val="none" w:sz="0" w:space="0" w:color="auto"/>
        <w:right w:val="none" w:sz="0" w:space="0" w:color="auto"/>
      </w:divBdr>
    </w:div>
    <w:div w:id="1965191906">
      <w:bodyDiv w:val="1"/>
      <w:marLeft w:val="0"/>
      <w:marRight w:val="0"/>
      <w:marTop w:val="0"/>
      <w:marBottom w:val="0"/>
      <w:divBdr>
        <w:top w:val="none" w:sz="0" w:space="0" w:color="auto"/>
        <w:left w:val="none" w:sz="0" w:space="0" w:color="auto"/>
        <w:bottom w:val="none" w:sz="0" w:space="0" w:color="auto"/>
        <w:right w:val="none" w:sz="0" w:space="0" w:color="auto"/>
      </w:divBdr>
    </w:div>
    <w:div w:id="1982730534">
      <w:bodyDiv w:val="1"/>
      <w:marLeft w:val="0"/>
      <w:marRight w:val="0"/>
      <w:marTop w:val="0"/>
      <w:marBottom w:val="0"/>
      <w:divBdr>
        <w:top w:val="none" w:sz="0" w:space="0" w:color="auto"/>
        <w:left w:val="none" w:sz="0" w:space="0" w:color="auto"/>
        <w:bottom w:val="none" w:sz="0" w:space="0" w:color="auto"/>
        <w:right w:val="none" w:sz="0" w:space="0" w:color="auto"/>
      </w:divBdr>
    </w:div>
    <w:div w:id="2002615053">
      <w:bodyDiv w:val="1"/>
      <w:marLeft w:val="0"/>
      <w:marRight w:val="0"/>
      <w:marTop w:val="0"/>
      <w:marBottom w:val="0"/>
      <w:divBdr>
        <w:top w:val="none" w:sz="0" w:space="0" w:color="auto"/>
        <w:left w:val="none" w:sz="0" w:space="0" w:color="auto"/>
        <w:bottom w:val="none" w:sz="0" w:space="0" w:color="auto"/>
        <w:right w:val="none" w:sz="0" w:space="0" w:color="auto"/>
      </w:divBdr>
    </w:div>
    <w:div w:id="2013141674">
      <w:bodyDiv w:val="1"/>
      <w:marLeft w:val="0"/>
      <w:marRight w:val="0"/>
      <w:marTop w:val="0"/>
      <w:marBottom w:val="0"/>
      <w:divBdr>
        <w:top w:val="none" w:sz="0" w:space="0" w:color="auto"/>
        <w:left w:val="none" w:sz="0" w:space="0" w:color="auto"/>
        <w:bottom w:val="none" w:sz="0" w:space="0" w:color="auto"/>
        <w:right w:val="none" w:sz="0" w:space="0" w:color="auto"/>
      </w:divBdr>
    </w:div>
    <w:div w:id="2014137509">
      <w:bodyDiv w:val="1"/>
      <w:marLeft w:val="0"/>
      <w:marRight w:val="0"/>
      <w:marTop w:val="0"/>
      <w:marBottom w:val="0"/>
      <w:divBdr>
        <w:top w:val="none" w:sz="0" w:space="0" w:color="auto"/>
        <w:left w:val="none" w:sz="0" w:space="0" w:color="auto"/>
        <w:bottom w:val="none" w:sz="0" w:space="0" w:color="auto"/>
        <w:right w:val="none" w:sz="0" w:space="0" w:color="auto"/>
      </w:divBdr>
    </w:div>
    <w:div w:id="2028556126">
      <w:bodyDiv w:val="1"/>
      <w:marLeft w:val="0"/>
      <w:marRight w:val="0"/>
      <w:marTop w:val="0"/>
      <w:marBottom w:val="0"/>
      <w:divBdr>
        <w:top w:val="none" w:sz="0" w:space="0" w:color="auto"/>
        <w:left w:val="none" w:sz="0" w:space="0" w:color="auto"/>
        <w:bottom w:val="none" w:sz="0" w:space="0" w:color="auto"/>
        <w:right w:val="none" w:sz="0" w:space="0" w:color="auto"/>
      </w:divBdr>
    </w:div>
    <w:div w:id="2029871716">
      <w:bodyDiv w:val="1"/>
      <w:marLeft w:val="0"/>
      <w:marRight w:val="0"/>
      <w:marTop w:val="0"/>
      <w:marBottom w:val="0"/>
      <w:divBdr>
        <w:top w:val="none" w:sz="0" w:space="0" w:color="auto"/>
        <w:left w:val="none" w:sz="0" w:space="0" w:color="auto"/>
        <w:bottom w:val="none" w:sz="0" w:space="0" w:color="auto"/>
        <w:right w:val="none" w:sz="0" w:space="0" w:color="auto"/>
      </w:divBdr>
    </w:div>
    <w:div w:id="2066099060">
      <w:bodyDiv w:val="1"/>
      <w:marLeft w:val="0"/>
      <w:marRight w:val="0"/>
      <w:marTop w:val="0"/>
      <w:marBottom w:val="0"/>
      <w:divBdr>
        <w:top w:val="none" w:sz="0" w:space="0" w:color="auto"/>
        <w:left w:val="none" w:sz="0" w:space="0" w:color="auto"/>
        <w:bottom w:val="none" w:sz="0" w:space="0" w:color="auto"/>
        <w:right w:val="none" w:sz="0" w:space="0" w:color="auto"/>
      </w:divBdr>
    </w:div>
    <w:div w:id="2089762638">
      <w:bodyDiv w:val="1"/>
      <w:marLeft w:val="0"/>
      <w:marRight w:val="0"/>
      <w:marTop w:val="0"/>
      <w:marBottom w:val="0"/>
      <w:divBdr>
        <w:top w:val="none" w:sz="0" w:space="0" w:color="auto"/>
        <w:left w:val="none" w:sz="0" w:space="0" w:color="auto"/>
        <w:bottom w:val="none" w:sz="0" w:space="0" w:color="auto"/>
        <w:right w:val="none" w:sz="0" w:space="0" w:color="auto"/>
      </w:divBdr>
      <w:divsChild>
        <w:div w:id="734427820">
          <w:marLeft w:val="0"/>
          <w:marRight w:val="0"/>
          <w:marTop w:val="0"/>
          <w:marBottom w:val="0"/>
          <w:divBdr>
            <w:top w:val="none" w:sz="0" w:space="0" w:color="auto"/>
            <w:left w:val="none" w:sz="0" w:space="0" w:color="auto"/>
            <w:bottom w:val="none" w:sz="0" w:space="0" w:color="auto"/>
            <w:right w:val="none" w:sz="0" w:space="0" w:color="auto"/>
          </w:divBdr>
          <w:divsChild>
            <w:div w:id="1394084859">
              <w:marLeft w:val="0"/>
              <w:marRight w:val="0"/>
              <w:marTop w:val="0"/>
              <w:marBottom w:val="0"/>
              <w:divBdr>
                <w:top w:val="none" w:sz="0" w:space="0" w:color="auto"/>
                <w:left w:val="none" w:sz="0" w:space="0" w:color="auto"/>
                <w:bottom w:val="none" w:sz="0" w:space="0" w:color="auto"/>
                <w:right w:val="none" w:sz="0" w:space="0" w:color="auto"/>
              </w:divBdr>
            </w:div>
          </w:divsChild>
        </w:div>
        <w:div w:id="1170028916">
          <w:marLeft w:val="0"/>
          <w:marRight w:val="0"/>
          <w:marTop w:val="0"/>
          <w:marBottom w:val="0"/>
          <w:divBdr>
            <w:top w:val="none" w:sz="0" w:space="0" w:color="auto"/>
            <w:left w:val="none" w:sz="0" w:space="0" w:color="auto"/>
            <w:bottom w:val="none" w:sz="0" w:space="0" w:color="auto"/>
            <w:right w:val="none" w:sz="0" w:space="0" w:color="auto"/>
          </w:divBdr>
          <w:divsChild>
            <w:div w:id="1429110171">
              <w:marLeft w:val="0"/>
              <w:marRight w:val="0"/>
              <w:marTop w:val="0"/>
              <w:marBottom w:val="0"/>
              <w:divBdr>
                <w:top w:val="none" w:sz="0" w:space="0" w:color="auto"/>
                <w:left w:val="none" w:sz="0" w:space="0" w:color="auto"/>
                <w:bottom w:val="none" w:sz="0" w:space="0" w:color="auto"/>
                <w:right w:val="none" w:sz="0" w:space="0" w:color="auto"/>
              </w:divBdr>
            </w:div>
          </w:divsChild>
        </w:div>
        <w:div w:id="824128988">
          <w:marLeft w:val="0"/>
          <w:marRight w:val="0"/>
          <w:marTop w:val="0"/>
          <w:marBottom w:val="0"/>
          <w:divBdr>
            <w:top w:val="none" w:sz="0" w:space="0" w:color="auto"/>
            <w:left w:val="none" w:sz="0" w:space="0" w:color="auto"/>
            <w:bottom w:val="none" w:sz="0" w:space="0" w:color="auto"/>
            <w:right w:val="none" w:sz="0" w:space="0" w:color="auto"/>
          </w:divBdr>
          <w:divsChild>
            <w:div w:id="964584042">
              <w:marLeft w:val="0"/>
              <w:marRight w:val="0"/>
              <w:marTop w:val="0"/>
              <w:marBottom w:val="0"/>
              <w:divBdr>
                <w:top w:val="none" w:sz="0" w:space="0" w:color="auto"/>
                <w:left w:val="none" w:sz="0" w:space="0" w:color="auto"/>
                <w:bottom w:val="none" w:sz="0" w:space="0" w:color="auto"/>
                <w:right w:val="none" w:sz="0" w:space="0" w:color="auto"/>
              </w:divBdr>
            </w:div>
          </w:divsChild>
        </w:div>
        <w:div w:id="1901355448">
          <w:marLeft w:val="0"/>
          <w:marRight w:val="0"/>
          <w:marTop w:val="0"/>
          <w:marBottom w:val="0"/>
          <w:divBdr>
            <w:top w:val="none" w:sz="0" w:space="0" w:color="auto"/>
            <w:left w:val="none" w:sz="0" w:space="0" w:color="auto"/>
            <w:bottom w:val="none" w:sz="0" w:space="0" w:color="auto"/>
            <w:right w:val="none" w:sz="0" w:space="0" w:color="auto"/>
          </w:divBdr>
          <w:divsChild>
            <w:div w:id="1248077796">
              <w:marLeft w:val="0"/>
              <w:marRight w:val="0"/>
              <w:marTop w:val="0"/>
              <w:marBottom w:val="0"/>
              <w:divBdr>
                <w:top w:val="none" w:sz="0" w:space="0" w:color="auto"/>
                <w:left w:val="none" w:sz="0" w:space="0" w:color="auto"/>
                <w:bottom w:val="none" w:sz="0" w:space="0" w:color="auto"/>
                <w:right w:val="none" w:sz="0" w:space="0" w:color="auto"/>
              </w:divBdr>
            </w:div>
          </w:divsChild>
        </w:div>
        <w:div w:id="2002345044">
          <w:marLeft w:val="0"/>
          <w:marRight w:val="0"/>
          <w:marTop w:val="0"/>
          <w:marBottom w:val="0"/>
          <w:divBdr>
            <w:top w:val="none" w:sz="0" w:space="0" w:color="auto"/>
            <w:left w:val="none" w:sz="0" w:space="0" w:color="auto"/>
            <w:bottom w:val="none" w:sz="0" w:space="0" w:color="auto"/>
            <w:right w:val="none" w:sz="0" w:space="0" w:color="auto"/>
          </w:divBdr>
          <w:divsChild>
            <w:div w:id="1739859649">
              <w:marLeft w:val="0"/>
              <w:marRight w:val="0"/>
              <w:marTop w:val="0"/>
              <w:marBottom w:val="0"/>
              <w:divBdr>
                <w:top w:val="none" w:sz="0" w:space="0" w:color="auto"/>
                <w:left w:val="none" w:sz="0" w:space="0" w:color="auto"/>
                <w:bottom w:val="none" w:sz="0" w:space="0" w:color="auto"/>
                <w:right w:val="none" w:sz="0" w:space="0" w:color="auto"/>
              </w:divBdr>
            </w:div>
            <w:div w:id="1417434307">
              <w:marLeft w:val="0"/>
              <w:marRight w:val="0"/>
              <w:marTop w:val="0"/>
              <w:marBottom w:val="0"/>
              <w:divBdr>
                <w:top w:val="none" w:sz="0" w:space="0" w:color="auto"/>
                <w:left w:val="none" w:sz="0" w:space="0" w:color="auto"/>
                <w:bottom w:val="none" w:sz="0" w:space="0" w:color="auto"/>
                <w:right w:val="none" w:sz="0" w:space="0" w:color="auto"/>
              </w:divBdr>
            </w:div>
            <w:div w:id="1613853474">
              <w:marLeft w:val="0"/>
              <w:marRight w:val="0"/>
              <w:marTop w:val="0"/>
              <w:marBottom w:val="0"/>
              <w:divBdr>
                <w:top w:val="none" w:sz="0" w:space="0" w:color="auto"/>
                <w:left w:val="none" w:sz="0" w:space="0" w:color="auto"/>
                <w:bottom w:val="none" w:sz="0" w:space="0" w:color="auto"/>
                <w:right w:val="none" w:sz="0" w:space="0" w:color="auto"/>
              </w:divBdr>
            </w:div>
          </w:divsChild>
        </w:div>
        <w:div w:id="1529219899">
          <w:marLeft w:val="0"/>
          <w:marRight w:val="0"/>
          <w:marTop w:val="0"/>
          <w:marBottom w:val="0"/>
          <w:divBdr>
            <w:top w:val="none" w:sz="0" w:space="0" w:color="auto"/>
            <w:left w:val="none" w:sz="0" w:space="0" w:color="auto"/>
            <w:bottom w:val="none" w:sz="0" w:space="0" w:color="auto"/>
            <w:right w:val="none" w:sz="0" w:space="0" w:color="auto"/>
          </w:divBdr>
          <w:divsChild>
            <w:div w:id="775560903">
              <w:marLeft w:val="0"/>
              <w:marRight w:val="0"/>
              <w:marTop w:val="0"/>
              <w:marBottom w:val="0"/>
              <w:divBdr>
                <w:top w:val="none" w:sz="0" w:space="0" w:color="auto"/>
                <w:left w:val="none" w:sz="0" w:space="0" w:color="auto"/>
                <w:bottom w:val="none" w:sz="0" w:space="0" w:color="auto"/>
                <w:right w:val="none" w:sz="0" w:space="0" w:color="auto"/>
              </w:divBdr>
            </w:div>
          </w:divsChild>
        </w:div>
        <w:div w:id="1306858382">
          <w:marLeft w:val="0"/>
          <w:marRight w:val="0"/>
          <w:marTop w:val="0"/>
          <w:marBottom w:val="0"/>
          <w:divBdr>
            <w:top w:val="none" w:sz="0" w:space="0" w:color="auto"/>
            <w:left w:val="none" w:sz="0" w:space="0" w:color="auto"/>
            <w:bottom w:val="none" w:sz="0" w:space="0" w:color="auto"/>
            <w:right w:val="none" w:sz="0" w:space="0" w:color="auto"/>
          </w:divBdr>
          <w:divsChild>
            <w:div w:id="1867060938">
              <w:marLeft w:val="0"/>
              <w:marRight w:val="0"/>
              <w:marTop w:val="0"/>
              <w:marBottom w:val="0"/>
              <w:divBdr>
                <w:top w:val="none" w:sz="0" w:space="0" w:color="auto"/>
                <w:left w:val="none" w:sz="0" w:space="0" w:color="auto"/>
                <w:bottom w:val="none" w:sz="0" w:space="0" w:color="auto"/>
                <w:right w:val="none" w:sz="0" w:space="0" w:color="auto"/>
              </w:divBdr>
            </w:div>
          </w:divsChild>
        </w:div>
        <w:div w:id="449125464">
          <w:marLeft w:val="0"/>
          <w:marRight w:val="0"/>
          <w:marTop w:val="0"/>
          <w:marBottom w:val="0"/>
          <w:divBdr>
            <w:top w:val="none" w:sz="0" w:space="0" w:color="auto"/>
            <w:left w:val="none" w:sz="0" w:space="0" w:color="auto"/>
            <w:bottom w:val="none" w:sz="0" w:space="0" w:color="auto"/>
            <w:right w:val="none" w:sz="0" w:space="0" w:color="auto"/>
          </w:divBdr>
          <w:divsChild>
            <w:div w:id="1166752489">
              <w:marLeft w:val="0"/>
              <w:marRight w:val="0"/>
              <w:marTop w:val="0"/>
              <w:marBottom w:val="0"/>
              <w:divBdr>
                <w:top w:val="none" w:sz="0" w:space="0" w:color="auto"/>
                <w:left w:val="none" w:sz="0" w:space="0" w:color="auto"/>
                <w:bottom w:val="none" w:sz="0" w:space="0" w:color="auto"/>
                <w:right w:val="none" w:sz="0" w:space="0" w:color="auto"/>
              </w:divBdr>
            </w:div>
          </w:divsChild>
        </w:div>
        <w:div w:id="214581750">
          <w:marLeft w:val="0"/>
          <w:marRight w:val="0"/>
          <w:marTop w:val="0"/>
          <w:marBottom w:val="0"/>
          <w:divBdr>
            <w:top w:val="none" w:sz="0" w:space="0" w:color="auto"/>
            <w:left w:val="none" w:sz="0" w:space="0" w:color="auto"/>
            <w:bottom w:val="none" w:sz="0" w:space="0" w:color="auto"/>
            <w:right w:val="none" w:sz="0" w:space="0" w:color="auto"/>
          </w:divBdr>
          <w:divsChild>
            <w:div w:id="1878934618">
              <w:marLeft w:val="0"/>
              <w:marRight w:val="0"/>
              <w:marTop w:val="0"/>
              <w:marBottom w:val="0"/>
              <w:divBdr>
                <w:top w:val="none" w:sz="0" w:space="0" w:color="auto"/>
                <w:left w:val="none" w:sz="0" w:space="0" w:color="auto"/>
                <w:bottom w:val="none" w:sz="0" w:space="0" w:color="auto"/>
                <w:right w:val="none" w:sz="0" w:space="0" w:color="auto"/>
              </w:divBdr>
            </w:div>
            <w:div w:id="1449549597">
              <w:marLeft w:val="0"/>
              <w:marRight w:val="0"/>
              <w:marTop w:val="0"/>
              <w:marBottom w:val="0"/>
              <w:divBdr>
                <w:top w:val="none" w:sz="0" w:space="0" w:color="auto"/>
                <w:left w:val="none" w:sz="0" w:space="0" w:color="auto"/>
                <w:bottom w:val="none" w:sz="0" w:space="0" w:color="auto"/>
                <w:right w:val="none" w:sz="0" w:space="0" w:color="auto"/>
              </w:divBdr>
            </w:div>
          </w:divsChild>
        </w:div>
        <w:div w:id="2129883705">
          <w:marLeft w:val="0"/>
          <w:marRight w:val="0"/>
          <w:marTop w:val="0"/>
          <w:marBottom w:val="0"/>
          <w:divBdr>
            <w:top w:val="none" w:sz="0" w:space="0" w:color="auto"/>
            <w:left w:val="none" w:sz="0" w:space="0" w:color="auto"/>
            <w:bottom w:val="none" w:sz="0" w:space="0" w:color="auto"/>
            <w:right w:val="none" w:sz="0" w:space="0" w:color="auto"/>
          </w:divBdr>
          <w:divsChild>
            <w:div w:id="395863991">
              <w:marLeft w:val="0"/>
              <w:marRight w:val="0"/>
              <w:marTop w:val="0"/>
              <w:marBottom w:val="0"/>
              <w:divBdr>
                <w:top w:val="none" w:sz="0" w:space="0" w:color="auto"/>
                <w:left w:val="none" w:sz="0" w:space="0" w:color="auto"/>
                <w:bottom w:val="none" w:sz="0" w:space="0" w:color="auto"/>
                <w:right w:val="none" w:sz="0" w:space="0" w:color="auto"/>
              </w:divBdr>
            </w:div>
          </w:divsChild>
        </w:div>
        <w:div w:id="46875063">
          <w:marLeft w:val="0"/>
          <w:marRight w:val="0"/>
          <w:marTop w:val="0"/>
          <w:marBottom w:val="0"/>
          <w:divBdr>
            <w:top w:val="none" w:sz="0" w:space="0" w:color="auto"/>
            <w:left w:val="none" w:sz="0" w:space="0" w:color="auto"/>
            <w:bottom w:val="none" w:sz="0" w:space="0" w:color="auto"/>
            <w:right w:val="none" w:sz="0" w:space="0" w:color="auto"/>
          </w:divBdr>
          <w:divsChild>
            <w:div w:id="697974220">
              <w:marLeft w:val="0"/>
              <w:marRight w:val="0"/>
              <w:marTop w:val="0"/>
              <w:marBottom w:val="0"/>
              <w:divBdr>
                <w:top w:val="none" w:sz="0" w:space="0" w:color="auto"/>
                <w:left w:val="none" w:sz="0" w:space="0" w:color="auto"/>
                <w:bottom w:val="none" w:sz="0" w:space="0" w:color="auto"/>
                <w:right w:val="none" w:sz="0" w:space="0" w:color="auto"/>
              </w:divBdr>
            </w:div>
            <w:div w:id="1476029532">
              <w:marLeft w:val="0"/>
              <w:marRight w:val="0"/>
              <w:marTop w:val="0"/>
              <w:marBottom w:val="0"/>
              <w:divBdr>
                <w:top w:val="none" w:sz="0" w:space="0" w:color="auto"/>
                <w:left w:val="none" w:sz="0" w:space="0" w:color="auto"/>
                <w:bottom w:val="none" w:sz="0" w:space="0" w:color="auto"/>
                <w:right w:val="none" w:sz="0" w:space="0" w:color="auto"/>
              </w:divBdr>
            </w:div>
            <w:div w:id="1055473939">
              <w:marLeft w:val="0"/>
              <w:marRight w:val="0"/>
              <w:marTop w:val="0"/>
              <w:marBottom w:val="0"/>
              <w:divBdr>
                <w:top w:val="none" w:sz="0" w:space="0" w:color="auto"/>
                <w:left w:val="none" w:sz="0" w:space="0" w:color="auto"/>
                <w:bottom w:val="none" w:sz="0" w:space="0" w:color="auto"/>
                <w:right w:val="none" w:sz="0" w:space="0" w:color="auto"/>
              </w:divBdr>
            </w:div>
          </w:divsChild>
        </w:div>
        <w:div w:id="1730759171">
          <w:marLeft w:val="0"/>
          <w:marRight w:val="0"/>
          <w:marTop w:val="0"/>
          <w:marBottom w:val="0"/>
          <w:divBdr>
            <w:top w:val="none" w:sz="0" w:space="0" w:color="auto"/>
            <w:left w:val="none" w:sz="0" w:space="0" w:color="auto"/>
            <w:bottom w:val="none" w:sz="0" w:space="0" w:color="auto"/>
            <w:right w:val="none" w:sz="0" w:space="0" w:color="auto"/>
          </w:divBdr>
          <w:divsChild>
            <w:div w:id="889338993">
              <w:marLeft w:val="0"/>
              <w:marRight w:val="0"/>
              <w:marTop w:val="0"/>
              <w:marBottom w:val="0"/>
              <w:divBdr>
                <w:top w:val="none" w:sz="0" w:space="0" w:color="auto"/>
                <w:left w:val="none" w:sz="0" w:space="0" w:color="auto"/>
                <w:bottom w:val="none" w:sz="0" w:space="0" w:color="auto"/>
                <w:right w:val="none" w:sz="0" w:space="0" w:color="auto"/>
              </w:divBdr>
            </w:div>
          </w:divsChild>
        </w:div>
        <w:div w:id="1586841590">
          <w:marLeft w:val="0"/>
          <w:marRight w:val="0"/>
          <w:marTop w:val="0"/>
          <w:marBottom w:val="0"/>
          <w:divBdr>
            <w:top w:val="none" w:sz="0" w:space="0" w:color="auto"/>
            <w:left w:val="none" w:sz="0" w:space="0" w:color="auto"/>
            <w:bottom w:val="none" w:sz="0" w:space="0" w:color="auto"/>
            <w:right w:val="none" w:sz="0" w:space="0" w:color="auto"/>
          </w:divBdr>
          <w:divsChild>
            <w:div w:id="83765080">
              <w:marLeft w:val="0"/>
              <w:marRight w:val="0"/>
              <w:marTop w:val="0"/>
              <w:marBottom w:val="0"/>
              <w:divBdr>
                <w:top w:val="none" w:sz="0" w:space="0" w:color="auto"/>
                <w:left w:val="none" w:sz="0" w:space="0" w:color="auto"/>
                <w:bottom w:val="none" w:sz="0" w:space="0" w:color="auto"/>
                <w:right w:val="none" w:sz="0" w:space="0" w:color="auto"/>
              </w:divBdr>
            </w:div>
          </w:divsChild>
        </w:div>
        <w:div w:id="392044183">
          <w:marLeft w:val="0"/>
          <w:marRight w:val="0"/>
          <w:marTop w:val="0"/>
          <w:marBottom w:val="0"/>
          <w:divBdr>
            <w:top w:val="none" w:sz="0" w:space="0" w:color="auto"/>
            <w:left w:val="none" w:sz="0" w:space="0" w:color="auto"/>
            <w:bottom w:val="none" w:sz="0" w:space="0" w:color="auto"/>
            <w:right w:val="none" w:sz="0" w:space="0" w:color="auto"/>
          </w:divBdr>
          <w:divsChild>
            <w:div w:id="1485009408">
              <w:marLeft w:val="0"/>
              <w:marRight w:val="0"/>
              <w:marTop w:val="0"/>
              <w:marBottom w:val="0"/>
              <w:divBdr>
                <w:top w:val="none" w:sz="0" w:space="0" w:color="auto"/>
                <w:left w:val="none" w:sz="0" w:space="0" w:color="auto"/>
                <w:bottom w:val="none" w:sz="0" w:space="0" w:color="auto"/>
                <w:right w:val="none" w:sz="0" w:space="0" w:color="auto"/>
              </w:divBdr>
            </w:div>
          </w:divsChild>
        </w:div>
        <w:div w:id="2040626011">
          <w:marLeft w:val="0"/>
          <w:marRight w:val="0"/>
          <w:marTop w:val="0"/>
          <w:marBottom w:val="0"/>
          <w:divBdr>
            <w:top w:val="none" w:sz="0" w:space="0" w:color="auto"/>
            <w:left w:val="none" w:sz="0" w:space="0" w:color="auto"/>
            <w:bottom w:val="none" w:sz="0" w:space="0" w:color="auto"/>
            <w:right w:val="none" w:sz="0" w:space="0" w:color="auto"/>
          </w:divBdr>
          <w:divsChild>
            <w:div w:id="146485174">
              <w:marLeft w:val="0"/>
              <w:marRight w:val="0"/>
              <w:marTop w:val="0"/>
              <w:marBottom w:val="0"/>
              <w:divBdr>
                <w:top w:val="none" w:sz="0" w:space="0" w:color="auto"/>
                <w:left w:val="none" w:sz="0" w:space="0" w:color="auto"/>
                <w:bottom w:val="none" w:sz="0" w:space="0" w:color="auto"/>
                <w:right w:val="none" w:sz="0" w:space="0" w:color="auto"/>
              </w:divBdr>
            </w:div>
            <w:div w:id="1810783422">
              <w:marLeft w:val="0"/>
              <w:marRight w:val="0"/>
              <w:marTop w:val="0"/>
              <w:marBottom w:val="0"/>
              <w:divBdr>
                <w:top w:val="none" w:sz="0" w:space="0" w:color="auto"/>
                <w:left w:val="none" w:sz="0" w:space="0" w:color="auto"/>
                <w:bottom w:val="none" w:sz="0" w:space="0" w:color="auto"/>
                <w:right w:val="none" w:sz="0" w:space="0" w:color="auto"/>
              </w:divBdr>
            </w:div>
          </w:divsChild>
        </w:div>
        <w:div w:id="1796488773">
          <w:marLeft w:val="0"/>
          <w:marRight w:val="0"/>
          <w:marTop w:val="0"/>
          <w:marBottom w:val="0"/>
          <w:divBdr>
            <w:top w:val="none" w:sz="0" w:space="0" w:color="auto"/>
            <w:left w:val="none" w:sz="0" w:space="0" w:color="auto"/>
            <w:bottom w:val="none" w:sz="0" w:space="0" w:color="auto"/>
            <w:right w:val="none" w:sz="0" w:space="0" w:color="auto"/>
          </w:divBdr>
          <w:divsChild>
            <w:div w:id="2080864697">
              <w:marLeft w:val="0"/>
              <w:marRight w:val="0"/>
              <w:marTop w:val="0"/>
              <w:marBottom w:val="0"/>
              <w:divBdr>
                <w:top w:val="none" w:sz="0" w:space="0" w:color="auto"/>
                <w:left w:val="none" w:sz="0" w:space="0" w:color="auto"/>
                <w:bottom w:val="none" w:sz="0" w:space="0" w:color="auto"/>
                <w:right w:val="none" w:sz="0" w:space="0" w:color="auto"/>
              </w:divBdr>
            </w:div>
          </w:divsChild>
        </w:div>
        <w:div w:id="1912307677">
          <w:marLeft w:val="0"/>
          <w:marRight w:val="0"/>
          <w:marTop w:val="0"/>
          <w:marBottom w:val="0"/>
          <w:divBdr>
            <w:top w:val="none" w:sz="0" w:space="0" w:color="auto"/>
            <w:left w:val="none" w:sz="0" w:space="0" w:color="auto"/>
            <w:bottom w:val="none" w:sz="0" w:space="0" w:color="auto"/>
            <w:right w:val="none" w:sz="0" w:space="0" w:color="auto"/>
          </w:divBdr>
          <w:divsChild>
            <w:div w:id="1914462709">
              <w:marLeft w:val="0"/>
              <w:marRight w:val="0"/>
              <w:marTop w:val="0"/>
              <w:marBottom w:val="0"/>
              <w:divBdr>
                <w:top w:val="none" w:sz="0" w:space="0" w:color="auto"/>
                <w:left w:val="none" w:sz="0" w:space="0" w:color="auto"/>
                <w:bottom w:val="none" w:sz="0" w:space="0" w:color="auto"/>
                <w:right w:val="none" w:sz="0" w:space="0" w:color="auto"/>
              </w:divBdr>
            </w:div>
            <w:div w:id="426998395">
              <w:marLeft w:val="0"/>
              <w:marRight w:val="0"/>
              <w:marTop w:val="0"/>
              <w:marBottom w:val="0"/>
              <w:divBdr>
                <w:top w:val="none" w:sz="0" w:space="0" w:color="auto"/>
                <w:left w:val="none" w:sz="0" w:space="0" w:color="auto"/>
                <w:bottom w:val="none" w:sz="0" w:space="0" w:color="auto"/>
                <w:right w:val="none" w:sz="0" w:space="0" w:color="auto"/>
              </w:divBdr>
            </w:div>
          </w:divsChild>
        </w:div>
        <w:div w:id="1453014145">
          <w:marLeft w:val="0"/>
          <w:marRight w:val="0"/>
          <w:marTop w:val="0"/>
          <w:marBottom w:val="0"/>
          <w:divBdr>
            <w:top w:val="none" w:sz="0" w:space="0" w:color="auto"/>
            <w:left w:val="none" w:sz="0" w:space="0" w:color="auto"/>
            <w:bottom w:val="none" w:sz="0" w:space="0" w:color="auto"/>
            <w:right w:val="none" w:sz="0" w:space="0" w:color="auto"/>
          </w:divBdr>
          <w:divsChild>
            <w:div w:id="1987976423">
              <w:marLeft w:val="0"/>
              <w:marRight w:val="0"/>
              <w:marTop w:val="0"/>
              <w:marBottom w:val="0"/>
              <w:divBdr>
                <w:top w:val="none" w:sz="0" w:space="0" w:color="auto"/>
                <w:left w:val="none" w:sz="0" w:space="0" w:color="auto"/>
                <w:bottom w:val="none" w:sz="0" w:space="0" w:color="auto"/>
                <w:right w:val="none" w:sz="0" w:space="0" w:color="auto"/>
              </w:divBdr>
            </w:div>
          </w:divsChild>
        </w:div>
        <w:div w:id="1413896488">
          <w:marLeft w:val="0"/>
          <w:marRight w:val="0"/>
          <w:marTop w:val="0"/>
          <w:marBottom w:val="0"/>
          <w:divBdr>
            <w:top w:val="none" w:sz="0" w:space="0" w:color="auto"/>
            <w:left w:val="none" w:sz="0" w:space="0" w:color="auto"/>
            <w:bottom w:val="none" w:sz="0" w:space="0" w:color="auto"/>
            <w:right w:val="none" w:sz="0" w:space="0" w:color="auto"/>
          </w:divBdr>
          <w:divsChild>
            <w:div w:id="681199663">
              <w:marLeft w:val="0"/>
              <w:marRight w:val="0"/>
              <w:marTop w:val="0"/>
              <w:marBottom w:val="0"/>
              <w:divBdr>
                <w:top w:val="none" w:sz="0" w:space="0" w:color="auto"/>
                <w:left w:val="none" w:sz="0" w:space="0" w:color="auto"/>
                <w:bottom w:val="none" w:sz="0" w:space="0" w:color="auto"/>
                <w:right w:val="none" w:sz="0" w:space="0" w:color="auto"/>
              </w:divBdr>
            </w:div>
          </w:divsChild>
        </w:div>
        <w:div w:id="1739790607">
          <w:marLeft w:val="0"/>
          <w:marRight w:val="0"/>
          <w:marTop w:val="0"/>
          <w:marBottom w:val="0"/>
          <w:divBdr>
            <w:top w:val="none" w:sz="0" w:space="0" w:color="auto"/>
            <w:left w:val="none" w:sz="0" w:space="0" w:color="auto"/>
            <w:bottom w:val="none" w:sz="0" w:space="0" w:color="auto"/>
            <w:right w:val="none" w:sz="0" w:space="0" w:color="auto"/>
          </w:divBdr>
          <w:divsChild>
            <w:div w:id="1801414245">
              <w:marLeft w:val="0"/>
              <w:marRight w:val="0"/>
              <w:marTop w:val="0"/>
              <w:marBottom w:val="0"/>
              <w:divBdr>
                <w:top w:val="none" w:sz="0" w:space="0" w:color="auto"/>
                <w:left w:val="none" w:sz="0" w:space="0" w:color="auto"/>
                <w:bottom w:val="none" w:sz="0" w:space="0" w:color="auto"/>
                <w:right w:val="none" w:sz="0" w:space="0" w:color="auto"/>
              </w:divBdr>
            </w:div>
          </w:divsChild>
        </w:div>
        <w:div w:id="161429250">
          <w:marLeft w:val="0"/>
          <w:marRight w:val="0"/>
          <w:marTop w:val="0"/>
          <w:marBottom w:val="0"/>
          <w:divBdr>
            <w:top w:val="none" w:sz="0" w:space="0" w:color="auto"/>
            <w:left w:val="none" w:sz="0" w:space="0" w:color="auto"/>
            <w:bottom w:val="none" w:sz="0" w:space="0" w:color="auto"/>
            <w:right w:val="none" w:sz="0" w:space="0" w:color="auto"/>
          </w:divBdr>
          <w:divsChild>
            <w:div w:id="1732774633">
              <w:marLeft w:val="0"/>
              <w:marRight w:val="0"/>
              <w:marTop w:val="0"/>
              <w:marBottom w:val="0"/>
              <w:divBdr>
                <w:top w:val="none" w:sz="0" w:space="0" w:color="auto"/>
                <w:left w:val="none" w:sz="0" w:space="0" w:color="auto"/>
                <w:bottom w:val="none" w:sz="0" w:space="0" w:color="auto"/>
                <w:right w:val="none" w:sz="0" w:space="0" w:color="auto"/>
              </w:divBdr>
            </w:div>
          </w:divsChild>
        </w:div>
        <w:div w:id="122044687">
          <w:marLeft w:val="0"/>
          <w:marRight w:val="0"/>
          <w:marTop w:val="0"/>
          <w:marBottom w:val="0"/>
          <w:divBdr>
            <w:top w:val="none" w:sz="0" w:space="0" w:color="auto"/>
            <w:left w:val="none" w:sz="0" w:space="0" w:color="auto"/>
            <w:bottom w:val="none" w:sz="0" w:space="0" w:color="auto"/>
            <w:right w:val="none" w:sz="0" w:space="0" w:color="auto"/>
          </w:divBdr>
          <w:divsChild>
            <w:div w:id="1919092723">
              <w:marLeft w:val="0"/>
              <w:marRight w:val="0"/>
              <w:marTop w:val="0"/>
              <w:marBottom w:val="0"/>
              <w:divBdr>
                <w:top w:val="none" w:sz="0" w:space="0" w:color="auto"/>
                <w:left w:val="none" w:sz="0" w:space="0" w:color="auto"/>
                <w:bottom w:val="none" w:sz="0" w:space="0" w:color="auto"/>
                <w:right w:val="none" w:sz="0" w:space="0" w:color="auto"/>
              </w:divBdr>
            </w:div>
          </w:divsChild>
        </w:div>
        <w:div w:id="351149876">
          <w:marLeft w:val="0"/>
          <w:marRight w:val="0"/>
          <w:marTop w:val="0"/>
          <w:marBottom w:val="0"/>
          <w:divBdr>
            <w:top w:val="none" w:sz="0" w:space="0" w:color="auto"/>
            <w:left w:val="none" w:sz="0" w:space="0" w:color="auto"/>
            <w:bottom w:val="none" w:sz="0" w:space="0" w:color="auto"/>
            <w:right w:val="none" w:sz="0" w:space="0" w:color="auto"/>
          </w:divBdr>
          <w:divsChild>
            <w:div w:id="2094431321">
              <w:marLeft w:val="0"/>
              <w:marRight w:val="0"/>
              <w:marTop w:val="0"/>
              <w:marBottom w:val="0"/>
              <w:divBdr>
                <w:top w:val="none" w:sz="0" w:space="0" w:color="auto"/>
                <w:left w:val="none" w:sz="0" w:space="0" w:color="auto"/>
                <w:bottom w:val="none" w:sz="0" w:space="0" w:color="auto"/>
                <w:right w:val="none" w:sz="0" w:space="0" w:color="auto"/>
              </w:divBdr>
            </w:div>
          </w:divsChild>
        </w:div>
        <w:div w:id="1051341414">
          <w:marLeft w:val="0"/>
          <w:marRight w:val="0"/>
          <w:marTop w:val="0"/>
          <w:marBottom w:val="0"/>
          <w:divBdr>
            <w:top w:val="none" w:sz="0" w:space="0" w:color="auto"/>
            <w:left w:val="none" w:sz="0" w:space="0" w:color="auto"/>
            <w:bottom w:val="none" w:sz="0" w:space="0" w:color="auto"/>
            <w:right w:val="none" w:sz="0" w:space="0" w:color="auto"/>
          </w:divBdr>
          <w:divsChild>
            <w:div w:id="582297020">
              <w:marLeft w:val="0"/>
              <w:marRight w:val="0"/>
              <w:marTop w:val="0"/>
              <w:marBottom w:val="0"/>
              <w:divBdr>
                <w:top w:val="none" w:sz="0" w:space="0" w:color="auto"/>
                <w:left w:val="none" w:sz="0" w:space="0" w:color="auto"/>
                <w:bottom w:val="none" w:sz="0" w:space="0" w:color="auto"/>
                <w:right w:val="none" w:sz="0" w:space="0" w:color="auto"/>
              </w:divBdr>
            </w:div>
          </w:divsChild>
        </w:div>
        <w:div w:id="1712224877">
          <w:marLeft w:val="0"/>
          <w:marRight w:val="0"/>
          <w:marTop w:val="0"/>
          <w:marBottom w:val="0"/>
          <w:divBdr>
            <w:top w:val="none" w:sz="0" w:space="0" w:color="auto"/>
            <w:left w:val="none" w:sz="0" w:space="0" w:color="auto"/>
            <w:bottom w:val="none" w:sz="0" w:space="0" w:color="auto"/>
            <w:right w:val="none" w:sz="0" w:space="0" w:color="auto"/>
          </w:divBdr>
          <w:divsChild>
            <w:div w:id="231550151">
              <w:marLeft w:val="0"/>
              <w:marRight w:val="0"/>
              <w:marTop w:val="0"/>
              <w:marBottom w:val="0"/>
              <w:divBdr>
                <w:top w:val="none" w:sz="0" w:space="0" w:color="auto"/>
                <w:left w:val="none" w:sz="0" w:space="0" w:color="auto"/>
                <w:bottom w:val="none" w:sz="0" w:space="0" w:color="auto"/>
                <w:right w:val="none" w:sz="0" w:space="0" w:color="auto"/>
              </w:divBdr>
            </w:div>
          </w:divsChild>
        </w:div>
        <w:div w:id="2080321636">
          <w:marLeft w:val="0"/>
          <w:marRight w:val="0"/>
          <w:marTop w:val="0"/>
          <w:marBottom w:val="0"/>
          <w:divBdr>
            <w:top w:val="none" w:sz="0" w:space="0" w:color="auto"/>
            <w:left w:val="none" w:sz="0" w:space="0" w:color="auto"/>
            <w:bottom w:val="none" w:sz="0" w:space="0" w:color="auto"/>
            <w:right w:val="none" w:sz="0" w:space="0" w:color="auto"/>
          </w:divBdr>
          <w:divsChild>
            <w:div w:id="1274819744">
              <w:marLeft w:val="0"/>
              <w:marRight w:val="0"/>
              <w:marTop w:val="0"/>
              <w:marBottom w:val="0"/>
              <w:divBdr>
                <w:top w:val="none" w:sz="0" w:space="0" w:color="auto"/>
                <w:left w:val="none" w:sz="0" w:space="0" w:color="auto"/>
                <w:bottom w:val="none" w:sz="0" w:space="0" w:color="auto"/>
                <w:right w:val="none" w:sz="0" w:space="0" w:color="auto"/>
              </w:divBdr>
            </w:div>
          </w:divsChild>
        </w:div>
        <w:div w:id="1690643694">
          <w:marLeft w:val="0"/>
          <w:marRight w:val="0"/>
          <w:marTop w:val="0"/>
          <w:marBottom w:val="0"/>
          <w:divBdr>
            <w:top w:val="none" w:sz="0" w:space="0" w:color="auto"/>
            <w:left w:val="none" w:sz="0" w:space="0" w:color="auto"/>
            <w:bottom w:val="none" w:sz="0" w:space="0" w:color="auto"/>
            <w:right w:val="none" w:sz="0" w:space="0" w:color="auto"/>
          </w:divBdr>
          <w:divsChild>
            <w:div w:id="1899970420">
              <w:marLeft w:val="0"/>
              <w:marRight w:val="0"/>
              <w:marTop w:val="0"/>
              <w:marBottom w:val="0"/>
              <w:divBdr>
                <w:top w:val="none" w:sz="0" w:space="0" w:color="auto"/>
                <w:left w:val="none" w:sz="0" w:space="0" w:color="auto"/>
                <w:bottom w:val="none" w:sz="0" w:space="0" w:color="auto"/>
                <w:right w:val="none" w:sz="0" w:space="0" w:color="auto"/>
              </w:divBdr>
            </w:div>
          </w:divsChild>
        </w:div>
        <w:div w:id="1341349386">
          <w:marLeft w:val="0"/>
          <w:marRight w:val="0"/>
          <w:marTop w:val="0"/>
          <w:marBottom w:val="0"/>
          <w:divBdr>
            <w:top w:val="none" w:sz="0" w:space="0" w:color="auto"/>
            <w:left w:val="none" w:sz="0" w:space="0" w:color="auto"/>
            <w:bottom w:val="none" w:sz="0" w:space="0" w:color="auto"/>
            <w:right w:val="none" w:sz="0" w:space="0" w:color="auto"/>
          </w:divBdr>
          <w:divsChild>
            <w:div w:id="914246687">
              <w:marLeft w:val="0"/>
              <w:marRight w:val="0"/>
              <w:marTop w:val="0"/>
              <w:marBottom w:val="0"/>
              <w:divBdr>
                <w:top w:val="none" w:sz="0" w:space="0" w:color="auto"/>
                <w:left w:val="none" w:sz="0" w:space="0" w:color="auto"/>
                <w:bottom w:val="none" w:sz="0" w:space="0" w:color="auto"/>
                <w:right w:val="none" w:sz="0" w:space="0" w:color="auto"/>
              </w:divBdr>
            </w:div>
          </w:divsChild>
        </w:div>
        <w:div w:id="516771401">
          <w:marLeft w:val="0"/>
          <w:marRight w:val="0"/>
          <w:marTop w:val="0"/>
          <w:marBottom w:val="0"/>
          <w:divBdr>
            <w:top w:val="none" w:sz="0" w:space="0" w:color="auto"/>
            <w:left w:val="none" w:sz="0" w:space="0" w:color="auto"/>
            <w:bottom w:val="none" w:sz="0" w:space="0" w:color="auto"/>
            <w:right w:val="none" w:sz="0" w:space="0" w:color="auto"/>
          </w:divBdr>
          <w:divsChild>
            <w:div w:id="1530101737">
              <w:marLeft w:val="0"/>
              <w:marRight w:val="0"/>
              <w:marTop w:val="0"/>
              <w:marBottom w:val="0"/>
              <w:divBdr>
                <w:top w:val="none" w:sz="0" w:space="0" w:color="auto"/>
                <w:left w:val="none" w:sz="0" w:space="0" w:color="auto"/>
                <w:bottom w:val="none" w:sz="0" w:space="0" w:color="auto"/>
                <w:right w:val="none" w:sz="0" w:space="0" w:color="auto"/>
              </w:divBdr>
            </w:div>
            <w:div w:id="738795517">
              <w:marLeft w:val="0"/>
              <w:marRight w:val="0"/>
              <w:marTop w:val="0"/>
              <w:marBottom w:val="0"/>
              <w:divBdr>
                <w:top w:val="none" w:sz="0" w:space="0" w:color="auto"/>
                <w:left w:val="none" w:sz="0" w:space="0" w:color="auto"/>
                <w:bottom w:val="none" w:sz="0" w:space="0" w:color="auto"/>
                <w:right w:val="none" w:sz="0" w:space="0" w:color="auto"/>
              </w:divBdr>
            </w:div>
            <w:div w:id="1363358694">
              <w:marLeft w:val="0"/>
              <w:marRight w:val="0"/>
              <w:marTop w:val="0"/>
              <w:marBottom w:val="0"/>
              <w:divBdr>
                <w:top w:val="none" w:sz="0" w:space="0" w:color="auto"/>
                <w:left w:val="none" w:sz="0" w:space="0" w:color="auto"/>
                <w:bottom w:val="none" w:sz="0" w:space="0" w:color="auto"/>
                <w:right w:val="none" w:sz="0" w:space="0" w:color="auto"/>
              </w:divBdr>
            </w:div>
          </w:divsChild>
        </w:div>
        <w:div w:id="1370884439">
          <w:marLeft w:val="0"/>
          <w:marRight w:val="0"/>
          <w:marTop w:val="0"/>
          <w:marBottom w:val="0"/>
          <w:divBdr>
            <w:top w:val="none" w:sz="0" w:space="0" w:color="auto"/>
            <w:left w:val="none" w:sz="0" w:space="0" w:color="auto"/>
            <w:bottom w:val="none" w:sz="0" w:space="0" w:color="auto"/>
            <w:right w:val="none" w:sz="0" w:space="0" w:color="auto"/>
          </w:divBdr>
          <w:divsChild>
            <w:div w:id="1945769727">
              <w:marLeft w:val="0"/>
              <w:marRight w:val="0"/>
              <w:marTop w:val="0"/>
              <w:marBottom w:val="0"/>
              <w:divBdr>
                <w:top w:val="none" w:sz="0" w:space="0" w:color="auto"/>
                <w:left w:val="none" w:sz="0" w:space="0" w:color="auto"/>
                <w:bottom w:val="none" w:sz="0" w:space="0" w:color="auto"/>
                <w:right w:val="none" w:sz="0" w:space="0" w:color="auto"/>
              </w:divBdr>
            </w:div>
          </w:divsChild>
        </w:div>
        <w:div w:id="221336534">
          <w:marLeft w:val="0"/>
          <w:marRight w:val="0"/>
          <w:marTop w:val="0"/>
          <w:marBottom w:val="0"/>
          <w:divBdr>
            <w:top w:val="none" w:sz="0" w:space="0" w:color="auto"/>
            <w:left w:val="none" w:sz="0" w:space="0" w:color="auto"/>
            <w:bottom w:val="none" w:sz="0" w:space="0" w:color="auto"/>
            <w:right w:val="none" w:sz="0" w:space="0" w:color="auto"/>
          </w:divBdr>
          <w:divsChild>
            <w:div w:id="1537738412">
              <w:marLeft w:val="0"/>
              <w:marRight w:val="0"/>
              <w:marTop w:val="0"/>
              <w:marBottom w:val="0"/>
              <w:divBdr>
                <w:top w:val="none" w:sz="0" w:space="0" w:color="auto"/>
                <w:left w:val="none" w:sz="0" w:space="0" w:color="auto"/>
                <w:bottom w:val="none" w:sz="0" w:space="0" w:color="auto"/>
                <w:right w:val="none" w:sz="0" w:space="0" w:color="auto"/>
              </w:divBdr>
            </w:div>
          </w:divsChild>
        </w:div>
        <w:div w:id="75134513">
          <w:marLeft w:val="0"/>
          <w:marRight w:val="0"/>
          <w:marTop w:val="0"/>
          <w:marBottom w:val="0"/>
          <w:divBdr>
            <w:top w:val="none" w:sz="0" w:space="0" w:color="auto"/>
            <w:left w:val="none" w:sz="0" w:space="0" w:color="auto"/>
            <w:bottom w:val="none" w:sz="0" w:space="0" w:color="auto"/>
            <w:right w:val="none" w:sz="0" w:space="0" w:color="auto"/>
          </w:divBdr>
          <w:divsChild>
            <w:div w:id="1187713766">
              <w:marLeft w:val="0"/>
              <w:marRight w:val="0"/>
              <w:marTop w:val="0"/>
              <w:marBottom w:val="0"/>
              <w:divBdr>
                <w:top w:val="none" w:sz="0" w:space="0" w:color="auto"/>
                <w:left w:val="none" w:sz="0" w:space="0" w:color="auto"/>
                <w:bottom w:val="none" w:sz="0" w:space="0" w:color="auto"/>
                <w:right w:val="none" w:sz="0" w:space="0" w:color="auto"/>
              </w:divBdr>
            </w:div>
          </w:divsChild>
        </w:div>
        <w:div w:id="808085455">
          <w:marLeft w:val="0"/>
          <w:marRight w:val="0"/>
          <w:marTop w:val="0"/>
          <w:marBottom w:val="0"/>
          <w:divBdr>
            <w:top w:val="none" w:sz="0" w:space="0" w:color="auto"/>
            <w:left w:val="none" w:sz="0" w:space="0" w:color="auto"/>
            <w:bottom w:val="none" w:sz="0" w:space="0" w:color="auto"/>
            <w:right w:val="none" w:sz="0" w:space="0" w:color="auto"/>
          </w:divBdr>
          <w:divsChild>
            <w:div w:id="1645544766">
              <w:marLeft w:val="0"/>
              <w:marRight w:val="0"/>
              <w:marTop w:val="0"/>
              <w:marBottom w:val="0"/>
              <w:divBdr>
                <w:top w:val="none" w:sz="0" w:space="0" w:color="auto"/>
                <w:left w:val="none" w:sz="0" w:space="0" w:color="auto"/>
                <w:bottom w:val="none" w:sz="0" w:space="0" w:color="auto"/>
                <w:right w:val="none" w:sz="0" w:space="0" w:color="auto"/>
              </w:divBdr>
            </w:div>
          </w:divsChild>
        </w:div>
        <w:div w:id="1744335000">
          <w:marLeft w:val="0"/>
          <w:marRight w:val="0"/>
          <w:marTop w:val="0"/>
          <w:marBottom w:val="0"/>
          <w:divBdr>
            <w:top w:val="none" w:sz="0" w:space="0" w:color="auto"/>
            <w:left w:val="none" w:sz="0" w:space="0" w:color="auto"/>
            <w:bottom w:val="none" w:sz="0" w:space="0" w:color="auto"/>
            <w:right w:val="none" w:sz="0" w:space="0" w:color="auto"/>
          </w:divBdr>
          <w:divsChild>
            <w:div w:id="709258744">
              <w:marLeft w:val="0"/>
              <w:marRight w:val="0"/>
              <w:marTop w:val="0"/>
              <w:marBottom w:val="0"/>
              <w:divBdr>
                <w:top w:val="none" w:sz="0" w:space="0" w:color="auto"/>
                <w:left w:val="none" w:sz="0" w:space="0" w:color="auto"/>
                <w:bottom w:val="none" w:sz="0" w:space="0" w:color="auto"/>
                <w:right w:val="none" w:sz="0" w:space="0" w:color="auto"/>
              </w:divBdr>
            </w:div>
          </w:divsChild>
        </w:div>
        <w:div w:id="1693652479">
          <w:marLeft w:val="0"/>
          <w:marRight w:val="0"/>
          <w:marTop w:val="0"/>
          <w:marBottom w:val="0"/>
          <w:divBdr>
            <w:top w:val="none" w:sz="0" w:space="0" w:color="auto"/>
            <w:left w:val="none" w:sz="0" w:space="0" w:color="auto"/>
            <w:bottom w:val="none" w:sz="0" w:space="0" w:color="auto"/>
            <w:right w:val="none" w:sz="0" w:space="0" w:color="auto"/>
          </w:divBdr>
          <w:divsChild>
            <w:div w:id="281153562">
              <w:marLeft w:val="0"/>
              <w:marRight w:val="0"/>
              <w:marTop w:val="0"/>
              <w:marBottom w:val="0"/>
              <w:divBdr>
                <w:top w:val="none" w:sz="0" w:space="0" w:color="auto"/>
                <w:left w:val="none" w:sz="0" w:space="0" w:color="auto"/>
                <w:bottom w:val="none" w:sz="0" w:space="0" w:color="auto"/>
                <w:right w:val="none" w:sz="0" w:space="0" w:color="auto"/>
              </w:divBdr>
            </w:div>
            <w:div w:id="940530910">
              <w:marLeft w:val="0"/>
              <w:marRight w:val="0"/>
              <w:marTop w:val="0"/>
              <w:marBottom w:val="0"/>
              <w:divBdr>
                <w:top w:val="none" w:sz="0" w:space="0" w:color="auto"/>
                <w:left w:val="none" w:sz="0" w:space="0" w:color="auto"/>
                <w:bottom w:val="none" w:sz="0" w:space="0" w:color="auto"/>
                <w:right w:val="none" w:sz="0" w:space="0" w:color="auto"/>
              </w:divBdr>
            </w:div>
          </w:divsChild>
        </w:div>
        <w:div w:id="1952474040">
          <w:marLeft w:val="0"/>
          <w:marRight w:val="0"/>
          <w:marTop w:val="0"/>
          <w:marBottom w:val="0"/>
          <w:divBdr>
            <w:top w:val="none" w:sz="0" w:space="0" w:color="auto"/>
            <w:left w:val="none" w:sz="0" w:space="0" w:color="auto"/>
            <w:bottom w:val="none" w:sz="0" w:space="0" w:color="auto"/>
            <w:right w:val="none" w:sz="0" w:space="0" w:color="auto"/>
          </w:divBdr>
          <w:divsChild>
            <w:div w:id="1875577866">
              <w:marLeft w:val="0"/>
              <w:marRight w:val="0"/>
              <w:marTop w:val="0"/>
              <w:marBottom w:val="0"/>
              <w:divBdr>
                <w:top w:val="none" w:sz="0" w:space="0" w:color="auto"/>
                <w:left w:val="none" w:sz="0" w:space="0" w:color="auto"/>
                <w:bottom w:val="none" w:sz="0" w:space="0" w:color="auto"/>
                <w:right w:val="none" w:sz="0" w:space="0" w:color="auto"/>
              </w:divBdr>
            </w:div>
          </w:divsChild>
        </w:div>
        <w:div w:id="807087533">
          <w:marLeft w:val="0"/>
          <w:marRight w:val="0"/>
          <w:marTop w:val="0"/>
          <w:marBottom w:val="0"/>
          <w:divBdr>
            <w:top w:val="none" w:sz="0" w:space="0" w:color="auto"/>
            <w:left w:val="none" w:sz="0" w:space="0" w:color="auto"/>
            <w:bottom w:val="none" w:sz="0" w:space="0" w:color="auto"/>
            <w:right w:val="none" w:sz="0" w:space="0" w:color="auto"/>
          </w:divBdr>
          <w:divsChild>
            <w:div w:id="597101109">
              <w:marLeft w:val="0"/>
              <w:marRight w:val="0"/>
              <w:marTop w:val="0"/>
              <w:marBottom w:val="0"/>
              <w:divBdr>
                <w:top w:val="none" w:sz="0" w:space="0" w:color="auto"/>
                <w:left w:val="none" w:sz="0" w:space="0" w:color="auto"/>
                <w:bottom w:val="none" w:sz="0" w:space="0" w:color="auto"/>
                <w:right w:val="none" w:sz="0" w:space="0" w:color="auto"/>
              </w:divBdr>
            </w:div>
          </w:divsChild>
        </w:div>
        <w:div w:id="932054460">
          <w:marLeft w:val="0"/>
          <w:marRight w:val="0"/>
          <w:marTop w:val="0"/>
          <w:marBottom w:val="0"/>
          <w:divBdr>
            <w:top w:val="none" w:sz="0" w:space="0" w:color="auto"/>
            <w:left w:val="none" w:sz="0" w:space="0" w:color="auto"/>
            <w:bottom w:val="none" w:sz="0" w:space="0" w:color="auto"/>
            <w:right w:val="none" w:sz="0" w:space="0" w:color="auto"/>
          </w:divBdr>
          <w:divsChild>
            <w:div w:id="1402021111">
              <w:marLeft w:val="0"/>
              <w:marRight w:val="0"/>
              <w:marTop w:val="0"/>
              <w:marBottom w:val="0"/>
              <w:divBdr>
                <w:top w:val="none" w:sz="0" w:space="0" w:color="auto"/>
                <w:left w:val="none" w:sz="0" w:space="0" w:color="auto"/>
                <w:bottom w:val="none" w:sz="0" w:space="0" w:color="auto"/>
                <w:right w:val="none" w:sz="0" w:space="0" w:color="auto"/>
              </w:divBdr>
            </w:div>
          </w:divsChild>
        </w:div>
        <w:div w:id="824202879">
          <w:marLeft w:val="0"/>
          <w:marRight w:val="0"/>
          <w:marTop w:val="0"/>
          <w:marBottom w:val="0"/>
          <w:divBdr>
            <w:top w:val="none" w:sz="0" w:space="0" w:color="auto"/>
            <w:left w:val="none" w:sz="0" w:space="0" w:color="auto"/>
            <w:bottom w:val="none" w:sz="0" w:space="0" w:color="auto"/>
            <w:right w:val="none" w:sz="0" w:space="0" w:color="auto"/>
          </w:divBdr>
          <w:divsChild>
            <w:div w:id="339352789">
              <w:marLeft w:val="0"/>
              <w:marRight w:val="0"/>
              <w:marTop w:val="0"/>
              <w:marBottom w:val="0"/>
              <w:divBdr>
                <w:top w:val="none" w:sz="0" w:space="0" w:color="auto"/>
                <w:left w:val="none" w:sz="0" w:space="0" w:color="auto"/>
                <w:bottom w:val="none" w:sz="0" w:space="0" w:color="auto"/>
                <w:right w:val="none" w:sz="0" w:space="0" w:color="auto"/>
              </w:divBdr>
            </w:div>
          </w:divsChild>
        </w:div>
        <w:div w:id="269120170">
          <w:marLeft w:val="0"/>
          <w:marRight w:val="0"/>
          <w:marTop w:val="0"/>
          <w:marBottom w:val="0"/>
          <w:divBdr>
            <w:top w:val="none" w:sz="0" w:space="0" w:color="auto"/>
            <w:left w:val="none" w:sz="0" w:space="0" w:color="auto"/>
            <w:bottom w:val="none" w:sz="0" w:space="0" w:color="auto"/>
            <w:right w:val="none" w:sz="0" w:space="0" w:color="auto"/>
          </w:divBdr>
          <w:divsChild>
            <w:div w:id="1809854771">
              <w:marLeft w:val="0"/>
              <w:marRight w:val="0"/>
              <w:marTop w:val="0"/>
              <w:marBottom w:val="0"/>
              <w:divBdr>
                <w:top w:val="none" w:sz="0" w:space="0" w:color="auto"/>
                <w:left w:val="none" w:sz="0" w:space="0" w:color="auto"/>
                <w:bottom w:val="none" w:sz="0" w:space="0" w:color="auto"/>
                <w:right w:val="none" w:sz="0" w:space="0" w:color="auto"/>
              </w:divBdr>
            </w:div>
          </w:divsChild>
        </w:div>
        <w:div w:id="1626883769">
          <w:marLeft w:val="0"/>
          <w:marRight w:val="0"/>
          <w:marTop w:val="0"/>
          <w:marBottom w:val="0"/>
          <w:divBdr>
            <w:top w:val="none" w:sz="0" w:space="0" w:color="auto"/>
            <w:left w:val="none" w:sz="0" w:space="0" w:color="auto"/>
            <w:bottom w:val="none" w:sz="0" w:space="0" w:color="auto"/>
            <w:right w:val="none" w:sz="0" w:space="0" w:color="auto"/>
          </w:divBdr>
          <w:divsChild>
            <w:div w:id="2141537381">
              <w:marLeft w:val="0"/>
              <w:marRight w:val="0"/>
              <w:marTop w:val="0"/>
              <w:marBottom w:val="0"/>
              <w:divBdr>
                <w:top w:val="none" w:sz="0" w:space="0" w:color="auto"/>
                <w:left w:val="none" w:sz="0" w:space="0" w:color="auto"/>
                <w:bottom w:val="none" w:sz="0" w:space="0" w:color="auto"/>
                <w:right w:val="none" w:sz="0" w:space="0" w:color="auto"/>
              </w:divBdr>
            </w:div>
          </w:divsChild>
        </w:div>
        <w:div w:id="379407390">
          <w:marLeft w:val="0"/>
          <w:marRight w:val="0"/>
          <w:marTop w:val="0"/>
          <w:marBottom w:val="0"/>
          <w:divBdr>
            <w:top w:val="none" w:sz="0" w:space="0" w:color="auto"/>
            <w:left w:val="none" w:sz="0" w:space="0" w:color="auto"/>
            <w:bottom w:val="none" w:sz="0" w:space="0" w:color="auto"/>
            <w:right w:val="none" w:sz="0" w:space="0" w:color="auto"/>
          </w:divBdr>
          <w:divsChild>
            <w:div w:id="1289238105">
              <w:marLeft w:val="0"/>
              <w:marRight w:val="0"/>
              <w:marTop w:val="0"/>
              <w:marBottom w:val="0"/>
              <w:divBdr>
                <w:top w:val="none" w:sz="0" w:space="0" w:color="auto"/>
                <w:left w:val="none" w:sz="0" w:space="0" w:color="auto"/>
                <w:bottom w:val="none" w:sz="0" w:space="0" w:color="auto"/>
                <w:right w:val="none" w:sz="0" w:space="0" w:color="auto"/>
              </w:divBdr>
            </w:div>
          </w:divsChild>
        </w:div>
        <w:div w:id="1112869320">
          <w:marLeft w:val="0"/>
          <w:marRight w:val="0"/>
          <w:marTop w:val="0"/>
          <w:marBottom w:val="0"/>
          <w:divBdr>
            <w:top w:val="none" w:sz="0" w:space="0" w:color="auto"/>
            <w:left w:val="none" w:sz="0" w:space="0" w:color="auto"/>
            <w:bottom w:val="none" w:sz="0" w:space="0" w:color="auto"/>
            <w:right w:val="none" w:sz="0" w:space="0" w:color="auto"/>
          </w:divBdr>
          <w:divsChild>
            <w:div w:id="946620162">
              <w:marLeft w:val="0"/>
              <w:marRight w:val="0"/>
              <w:marTop w:val="0"/>
              <w:marBottom w:val="0"/>
              <w:divBdr>
                <w:top w:val="none" w:sz="0" w:space="0" w:color="auto"/>
                <w:left w:val="none" w:sz="0" w:space="0" w:color="auto"/>
                <w:bottom w:val="none" w:sz="0" w:space="0" w:color="auto"/>
                <w:right w:val="none" w:sz="0" w:space="0" w:color="auto"/>
              </w:divBdr>
            </w:div>
          </w:divsChild>
        </w:div>
        <w:div w:id="56167867">
          <w:marLeft w:val="0"/>
          <w:marRight w:val="0"/>
          <w:marTop w:val="0"/>
          <w:marBottom w:val="0"/>
          <w:divBdr>
            <w:top w:val="none" w:sz="0" w:space="0" w:color="auto"/>
            <w:left w:val="none" w:sz="0" w:space="0" w:color="auto"/>
            <w:bottom w:val="none" w:sz="0" w:space="0" w:color="auto"/>
            <w:right w:val="none" w:sz="0" w:space="0" w:color="auto"/>
          </w:divBdr>
          <w:divsChild>
            <w:div w:id="1447500839">
              <w:marLeft w:val="0"/>
              <w:marRight w:val="0"/>
              <w:marTop w:val="0"/>
              <w:marBottom w:val="0"/>
              <w:divBdr>
                <w:top w:val="none" w:sz="0" w:space="0" w:color="auto"/>
                <w:left w:val="none" w:sz="0" w:space="0" w:color="auto"/>
                <w:bottom w:val="none" w:sz="0" w:space="0" w:color="auto"/>
                <w:right w:val="none" w:sz="0" w:space="0" w:color="auto"/>
              </w:divBdr>
            </w:div>
          </w:divsChild>
        </w:div>
        <w:div w:id="1712421373">
          <w:marLeft w:val="0"/>
          <w:marRight w:val="0"/>
          <w:marTop w:val="0"/>
          <w:marBottom w:val="0"/>
          <w:divBdr>
            <w:top w:val="none" w:sz="0" w:space="0" w:color="auto"/>
            <w:left w:val="none" w:sz="0" w:space="0" w:color="auto"/>
            <w:bottom w:val="none" w:sz="0" w:space="0" w:color="auto"/>
            <w:right w:val="none" w:sz="0" w:space="0" w:color="auto"/>
          </w:divBdr>
          <w:divsChild>
            <w:div w:id="1251505626">
              <w:marLeft w:val="0"/>
              <w:marRight w:val="0"/>
              <w:marTop w:val="0"/>
              <w:marBottom w:val="0"/>
              <w:divBdr>
                <w:top w:val="none" w:sz="0" w:space="0" w:color="auto"/>
                <w:left w:val="none" w:sz="0" w:space="0" w:color="auto"/>
                <w:bottom w:val="none" w:sz="0" w:space="0" w:color="auto"/>
                <w:right w:val="none" w:sz="0" w:space="0" w:color="auto"/>
              </w:divBdr>
            </w:div>
          </w:divsChild>
        </w:div>
        <w:div w:id="1139347737">
          <w:marLeft w:val="0"/>
          <w:marRight w:val="0"/>
          <w:marTop w:val="0"/>
          <w:marBottom w:val="0"/>
          <w:divBdr>
            <w:top w:val="none" w:sz="0" w:space="0" w:color="auto"/>
            <w:left w:val="none" w:sz="0" w:space="0" w:color="auto"/>
            <w:bottom w:val="none" w:sz="0" w:space="0" w:color="auto"/>
            <w:right w:val="none" w:sz="0" w:space="0" w:color="auto"/>
          </w:divBdr>
          <w:divsChild>
            <w:div w:id="5795015">
              <w:marLeft w:val="0"/>
              <w:marRight w:val="0"/>
              <w:marTop w:val="0"/>
              <w:marBottom w:val="0"/>
              <w:divBdr>
                <w:top w:val="none" w:sz="0" w:space="0" w:color="auto"/>
                <w:left w:val="none" w:sz="0" w:space="0" w:color="auto"/>
                <w:bottom w:val="none" w:sz="0" w:space="0" w:color="auto"/>
                <w:right w:val="none" w:sz="0" w:space="0" w:color="auto"/>
              </w:divBdr>
            </w:div>
          </w:divsChild>
        </w:div>
        <w:div w:id="810943180">
          <w:marLeft w:val="0"/>
          <w:marRight w:val="0"/>
          <w:marTop w:val="0"/>
          <w:marBottom w:val="0"/>
          <w:divBdr>
            <w:top w:val="none" w:sz="0" w:space="0" w:color="auto"/>
            <w:left w:val="none" w:sz="0" w:space="0" w:color="auto"/>
            <w:bottom w:val="none" w:sz="0" w:space="0" w:color="auto"/>
            <w:right w:val="none" w:sz="0" w:space="0" w:color="auto"/>
          </w:divBdr>
          <w:divsChild>
            <w:div w:id="1908221143">
              <w:marLeft w:val="0"/>
              <w:marRight w:val="0"/>
              <w:marTop w:val="0"/>
              <w:marBottom w:val="0"/>
              <w:divBdr>
                <w:top w:val="none" w:sz="0" w:space="0" w:color="auto"/>
                <w:left w:val="none" w:sz="0" w:space="0" w:color="auto"/>
                <w:bottom w:val="none" w:sz="0" w:space="0" w:color="auto"/>
                <w:right w:val="none" w:sz="0" w:space="0" w:color="auto"/>
              </w:divBdr>
            </w:div>
            <w:div w:id="1324433951">
              <w:marLeft w:val="0"/>
              <w:marRight w:val="0"/>
              <w:marTop w:val="0"/>
              <w:marBottom w:val="0"/>
              <w:divBdr>
                <w:top w:val="none" w:sz="0" w:space="0" w:color="auto"/>
                <w:left w:val="none" w:sz="0" w:space="0" w:color="auto"/>
                <w:bottom w:val="none" w:sz="0" w:space="0" w:color="auto"/>
                <w:right w:val="none" w:sz="0" w:space="0" w:color="auto"/>
              </w:divBdr>
            </w:div>
          </w:divsChild>
        </w:div>
        <w:div w:id="1501197229">
          <w:marLeft w:val="0"/>
          <w:marRight w:val="0"/>
          <w:marTop w:val="0"/>
          <w:marBottom w:val="0"/>
          <w:divBdr>
            <w:top w:val="none" w:sz="0" w:space="0" w:color="auto"/>
            <w:left w:val="none" w:sz="0" w:space="0" w:color="auto"/>
            <w:bottom w:val="none" w:sz="0" w:space="0" w:color="auto"/>
            <w:right w:val="none" w:sz="0" w:space="0" w:color="auto"/>
          </w:divBdr>
          <w:divsChild>
            <w:div w:id="1494175995">
              <w:marLeft w:val="0"/>
              <w:marRight w:val="0"/>
              <w:marTop w:val="0"/>
              <w:marBottom w:val="0"/>
              <w:divBdr>
                <w:top w:val="none" w:sz="0" w:space="0" w:color="auto"/>
                <w:left w:val="none" w:sz="0" w:space="0" w:color="auto"/>
                <w:bottom w:val="none" w:sz="0" w:space="0" w:color="auto"/>
                <w:right w:val="none" w:sz="0" w:space="0" w:color="auto"/>
              </w:divBdr>
            </w:div>
          </w:divsChild>
        </w:div>
        <w:div w:id="179780521">
          <w:marLeft w:val="0"/>
          <w:marRight w:val="0"/>
          <w:marTop w:val="0"/>
          <w:marBottom w:val="0"/>
          <w:divBdr>
            <w:top w:val="none" w:sz="0" w:space="0" w:color="auto"/>
            <w:left w:val="none" w:sz="0" w:space="0" w:color="auto"/>
            <w:bottom w:val="none" w:sz="0" w:space="0" w:color="auto"/>
            <w:right w:val="none" w:sz="0" w:space="0" w:color="auto"/>
          </w:divBdr>
          <w:divsChild>
            <w:div w:id="1501503854">
              <w:marLeft w:val="0"/>
              <w:marRight w:val="0"/>
              <w:marTop w:val="0"/>
              <w:marBottom w:val="0"/>
              <w:divBdr>
                <w:top w:val="none" w:sz="0" w:space="0" w:color="auto"/>
                <w:left w:val="none" w:sz="0" w:space="0" w:color="auto"/>
                <w:bottom w:val="none" w:sz="0" w:space="0" w:color="auto"/>
                <w:right w:val="none" w:sz="0" w:space="0" w:color="auto"/>
              </w:divBdr>
            </w:div>
          </w:divsChild>
        </w:div>
        <w:div w:id="2008097764">
          <w:marLeft w:val="0"/>
          <w:marRight w:val="0"/>
          <w:marTop w:val="0"/>
          <w:marBottom w:val="0"/>
          <w:divBdr>
            <w:top w:val="none" w:sz="0" w:space="0" w:color="auto"/>
            <w:left w:val="none" w:sz="0" w:space="0" w:color="auto"/>
            <w:bottom w:val="none" w:sz="0" w:space="0" w:color="auto"/>
            <w:right w:val="none" w:sz="0" w:space="0" w:color="auto"/>
          </w:divBdr>
          <w:divsChild>
            <w:div w:id="1433278909">
              <w:marLeft w:val="0"/>
              <w:marRight w:val="0"/>
              <w:marTop w:val="0"/>
              <w:marBottom w:val="0"/>
              <w:divBdr>
                <w:top w:val="none" w:sz="0" w:space="0" w:color="auto"/>
                <w:left w:val="none" w:sz="0" w:space="0" w:color="auto"/>
                <w:bottom w:val="none" w:sz="0" w:space="0" w:color="auto"/>
                <w:right w:val="none" w:sz="0" w:space="0" w:color="auto"/>
              </w:divBdr>
            </w:div>
          </w:divsChild>
        </w:div>
        <w:div w:id="1405031104">
          <w:marLeft w:val="0"/>
          <w:marRight w:val="0"/>
          <w:marTop w:val="0"/>
          <w:marBottom w:val="0"/>
          <w:divBdr>
            <w:top w:val="none" w:sz="0" w:space="0" w:color="auto"/>
            <w:left w:val="none" w:sz="0" w:space="0" w:color="auto"/>
            <w:bottom w:val="none" w:sz="0" w:space="0" w:color="auto"/>
            <w:right w:val="none" w:sz="0" w:space="0" w:color="auto"/>
          </w:divBdr>
          <w:divsChild>
            <w:div w:id="2128544150">
              <w:marLeft w:val="0"/>
              <w:marRight w:val="0"/>
              <w:marTop w:val="0"/>
              <w:marBottom w:val="0"/>
              <w:divBdr>
                <w:top w:val="none" w:sz="0" w:space="0" w:color="auto"/>
                <w:left w:val="none" w:sz="0" w:space="0" w:color="auto"/>
                <w:bottom w:val="none" w:sz="0" w:space="0" w:color="auto"/>
                <w:right w:val="none" w:sz="0" w:space="0" w:color="auto"/>
              </w:divBdr>
            </w:div>
          </w:divsChild>
        </w:div>
        <w:div w:id="1146823443">
          <w:marLeft w:val="0"/>
          <w:marRight w:val="0"/>
          <w:marTop w:val="0"/>
          <w:marBottom w:val="0"/>
          <w:divBdr>
            <w:top w:val="none" w:sz="0" w:space="0" w:color="auto"/>
            <w:left w:val="none" w:sz="0" w:space="0" w:color="auto"/>
            <w:bottom w:val="none" w:sz="0" w:space="0" w:color="auto"/>
            <w:right w:val="none" w:sz="0" w:space="0" w:color="auto"/>
          </w:divBdr>
          <w:divsChild>
            <w:div w:id="1882740887">
              <w:marLeft w:val="0"/>
              <w:marRight w:val="0"/>
              <w:marTop w:val="0"/>
              <w:marBottom w:val="0"/>
              <w:divBdr>
                <w:top w:val="none" w:sz="0" w:space="0" w:color="auto"/>
                <w:left w:val="none" w:sz="0" w:space="0" w:color="auto"/>
                <w:bottom w:val="none" w:sz="0" w:space="0" w:color="auto"/>
                <w:right w:val="none" w:sz="0" w:space="0" w:color="auto"/>
              </w:divBdr>
            </w:div>
          </w:divsChild>
        </w:div>
        <w:div w:id="1950232391">
          <w:marLeft w:val="0"/>
          <w:marRight w:val="0"/>
          <w:marTop w:val="0"/>
          <w:marBottom w:val="0"/>
          <w:divBdr>
            <w:top w:val="none" w:sz="0" w:space="0" w:color="auto"/>
            <w:left w:val="none" w:sz="0" w:space="0" w:color="auto"/>
            <w:bottom w:val="none" w:sz="0" w:space="0" w:color="auto"/>
            <w:right w:val="none" w:sz="0" w:space="0" w:color="auto"/>
          </w:divBdr>
          <w:divsChild>
            <w:div w:id="394745819">
              <w:marLeft w:val="0"/>
              <w:marRight w:val="0"/>
              <w:marTop w:val="0"/>
              <w:marBottom w:val="0"/>
              <w:divBdr>
                <w:top w:val="none" w:sz="0" w:space="0" w:color="auto"/>
                <w:left w:val="none" w:sz="0" w:space="0" w:color="auto"/>
                <w:bottom w:val="none" w:sz="0" w:space="0" w:color="auto"/>
                <w:right w:val="none" w:sz="0" w:space="0" w:color="auto"/>
              </w:divBdr>
            </w:div>
            <w:div w:id="284432659">
              <w:marLeft w:val="0"/>
              <w:marRight w:val="0"/>
              <w:marTop w:val="0"/>
              <w:marBottom w:val="0"/>
              <w:divBdr>
                <w:top w:val="none" w:sz="0" w:space="0" w:color="auto"/>
                <w:left w:val="none" w:sz="0" w:space="0" w:color="auto"/>
                <w:bottom w:val="none" w:sz="0" w:space="0" w:color="auto"/>
                <w:right w:val="none" w:sz="0" w:space="0" w:color="auto"/>
              </w:divBdr>
            </w:div>
          </w:divsChild>
        </w:div>
        <w:div w:id="855850573">
          <w:marLeft w:val="0"/>
          <w:marRight w:val="0"/>
          <w:marTop w:val="0"/>
          <w:marBottom w:val="0"/>
          <w:divBdr>
            <w:top w:val="none" w:sz="0" w:space="0" w:color="auto"/>
            <w:left w:val="none" w:sz="0" w:space="0" w:color="auto"/>
            <w:bottom w:val="none" w:sz="0" w:space="0" w:color="auto"/>
            <w:right w:val="none" w:sz="0" w:space="0" w:color="auto"/>
          </w:divBdr>
          <w:divsChild>
            <w:div w:id="1143813515">
              <w:marLeft w:val="0"/>
              <w:marRight w:val="0"/>
              <w:marTop w:val="0"/>
              <w:marBottom w:val="0"/>
              <w:divBdr>
                <w:top w:val="none" w:sz="0" w:space="0" w:color="auto"/>
                <w:left w:val="none" w:sz="0" w:space="0" w:color="auto"/>
                <w:bottom w:val="none" w:sz="0" w:space="0" w:color="auto"/>
                <w:right w:val="none" w:sz="0" w:space="0" w:color="auto"/>
              </w:divBdr>
            </w:div>
          </w:divsChild>
        </w:div>
        <w:div w:id="1263025173">
          <w:marLeft w:val="0"/>
          <w:marRight w:val="0"/>
          <w:marTop w:val="0"/>
          <w:marBottom w:val="0"/>
          <w:divBdr>
            <w:top w:val="none" w:sz="0" w:space="0" w:color="auto"/>
            <w:left w:val="none" w:sz="0" w:space="0" w:color="auto"/>
            <w:bottom w:val="none" w:sz="0" w:space="0" w:color="auto"/>
            <w:right w:val="none" w:sz="0" w:space="0" w:color="auto"/>
          </w:divBdr>
          <w:divsChild>
            <w:div w:id="984352156">
              <w:marLeft w:val="0"/>
              <w:marRight w:val="0"/>
              <w:marTop w:val="0"/>
              <w:marBottom w:val="0"/>
              <w:divBdr>
                <w:top w:val="none" w:sz="0" w:space="0" w:color="auto"/>
                <w:left w:val="none" w:sz="0" w:space="0" w:color="auto"/>
                <w:bottom w:val="none" w:sz="0" w:space="0" w:color="auto"/>
                <w:right w:val="none" w:sz="0" w:space="0" w:color="auto"/>
              </w:divBdr>
            </w:div>
          </w:divsChild>
        </w:div>
        <w:div w:id="1284923639">
          <w:marLeft w:val="0"/>
          <w:marRight w:val="0"/>
          <w:marTop w:val="0"/>
          <w:marBottom w:val="0"/>
          <w:divBdr>
            <w:top w:val="none" w:sz="0" w:space="0" w:color="auto"/>
            <w:left w:val="none" w:sz="0" w:space="0" w:color="auto"/>
            <w:bottom w:val="none" w:sz="0" w:space="0" w:color="auto"/>
            <w:right w:val="none" w:sz="0" w:space="0" w:color="auto"/>
          </w:divBdr>
          <w:divsChild>
            <w:div w:id="7415569">
              <w:marLeft w:val="0"/>
              <w:marRight w:val="0"/>
              <w:marTop w:val="0"/>
              <w:marBottom w:val="0"/>
              <w:divBdr>
                <w:top w:val="none" w:sz="0" w:space="0" w:color="auto"/>
                <w:left w:val="none" w:sz="0" w:space="0" w:color="auto"/>
                <w:bottom w:val="none" w:sz="0" w:space="0" w:color="auto"/>
                <w:right w:val="none" w:sz="0" w:space="0" w:color="auto"/>
              </w:divBdr>
            </w:div>
          </w:divsChild>
        </w:div>
        <w:div w:id="611665413">
          <w:marLeft w:val="0"/>
          <w:marRight w:val="0"/>
          <w:marTop w:val="0"/>
          <w:marBottom w:val="0"/>
          <w:divBdr>
            <w:top w:val="none" w:sz="0" w:space="0" w:color="auto"/>
            <w:left w:val="none" w:sz="0" w:space="0" w:color="auto"/>
            <w:bottom w:val="none" w:sz="0" w:space="0" w:color="auto"/>
            <w:right w:val="none" w:sz="0" w:space="0" w:color="auto"/>
          </w:divBdr>
          <w:divsChild>
            <w:div w:id="373043261">
              <w:marLeft w:val="0"/>
              <w:marRight w:val="0"/>
              <w:marTop w:val="0"/>
              <w:marBottom w:val="0"/>
              <w:divBdr>
                <w:top w:val="none" w:sz="0" w:space="0" w:color="auto"/>
                <w:left w:val="none" w:sz="0" w:space="0" w:color="auto"/>
                <w:bottom w:val="none" w:sz="0" w:space="0" w:color="auto"/>
                <w:right w:val="none" w:sz="0" w:space="0" w:color="auto"/>
              </w:divBdr>
            </w:div>
          </w:divsChild>
        </w:div>
        <w:div w:id="92555591">
          <w:marLeft w:val="0"/>
          <w:marRight w:val="0"/>
          <w:marTop w:val="0"/>
          <w:marBottom w:val="0"/>
          <w:divBdr>
            <w:top w:val="none" w:sz="0" w:space="0" w:color="auto"/>
            <w:left w:val="none" w:sz="0" w:space="0" w:color="auto"/>
            <w:bottom w:val="none" w:sz="0" w:space="0" w:color="auto"/>
            <w:right w:val="none" w:sz="0" w:space="0" w:color="auto"/>
          </w:divBdr>
          <w:divsChild>
            <w:div w:id="1545603029">
              <w:marLeft w:val="0"/>
              <w:marRight w:val="0"/>
              <w:marTop w:val="0"/>
              <w:marBottom w:val="0"/>
              <w:divBdr>
                <w:top w:val="none" w:sz="0" w:space="0" w:color="auto"/>
                <w:left w:val="none" w:sz="0" w:space="0" w:color="auto"/>
                <w:bottom w:val="none" w:sz="0" w:space="0" w:color="auto"/>
                <w:right w:val="none" w:sz="0" w:space="0" w:color="auto"/>
              </w:divBdr>
            </w:div>
          </w:divsChild>
        </w:div>
        <w:div w:id="1292634819">
          <w:marLeft w:val="0"/>
          <w:marRight w:val="0"/>
          <w:marTop w:val="0"/>
          <w:marBottom w:val="0"/>
          <w:divBdr>
            <w:top w:val="none" w:sz="0" w:space="0" w:color="auto"/>
            <w:left w:val="none" w:sz="0" w:space="0" w:color="auto"/>
            <w:bottom w:val="none" w:sz="0" w:space="0" w:color="auto"/>
            <w:right w:val="none" w:sz="0" w:space="0" w:color="auto"/>
          </w:divBdr>
          <w:divsChild>
            <w:div w:id="1341852104">
              <w:marLeft w:val="0"/>
              <w:marRight w:val="0"/>
              <w:marTop w:val="0"/>
              <w:marBottom w:val="0"/>
              <w:divBdr>
                <w:top w:val="none" w:sz="0" w:space="0" w:color="auto"/>
                <w:left w:val="none" w:sz="0" w:space="0" w:color="auto"/>
                <w:bottom w:val="none" w:sz="0" w:space="0" w:color="auto"/>
                <w:right w:val="none" w:sz="0" w:space="0" w:color="auto"/>
              </w:divBdr>
            </w:div>
          </w:divsChild>
        </w:div>
        <w:div w:id="729694361">
          <w:marLeft w:val="0"/>
          <w:marRight w:val="0"/>
          <w:marTop w:val="0"/>
          <w:marBottom w:val="0"/>
          <w:divBdr>
            <w:top w:val="none" w:sz="0" w:space="0" w:color="auto"/>
            <w:left w:val="none" w:sz="0" w:space="0" w:color="auto"/>
            <w:bottom w:val="none" w:sz="0" w:space="0" w:color="auto"/>
            <w:right w:val="none" w:sz="0" w:space="0" w:color="auto"/>
          </w:divBdr>
          <w:divsChild>
            <w:div w:id="1770924846">
              <w:marLeft w:val="0"/>
              <w:marRight w:val="0"/>
              <w:marTop w:val="0"/>
              <w:marBottom w:val="0"/>
              <w:divBdr>
                <w:top w:val="none" w:sz="0" w:space="0" w:color="auto"/>
                <w:left w:val="none" w:sz="0" w:space="0" w:color="auto"/>
                <w:bottom w:val="none" w:sz="0" w:space="0" w:color="auto"/>
                <w:right w:val="none" w:sz="0" w:space="0" w:color="auto"/>
              </w:divBdr>
            </w:div>
          </w:divsChild>
        </w:div>
        <w:div w:id="1017073761">
          <w:marLeft w:val="0"/>
          <w:marRight w:val="0"/>
          <w:marTop w:val="0"/>
          <w:marBottom w:val="0"/>
          <w:divBdr>
            <w:top w:val="none" w:sz="0" w:space="0" w:color="auto"/>
            <w:left w:val="none" w:sz="0" w:space="0" w:color="auto"/>
            <w:bottom w:val="none" w:sz="0" w:space="0" w:color="auto"/>
            <w:right w:val="none" w:sz="0" w:space="0" w:color="auto"/>
          </w:divBdr>
          <w:divsChild>
            <w:div w:id="1421023836">
              <w:marLeft w:val="0"/>
              <w:marRight w:val="0"/>
              <w:marTop w:val="0"/>
              <w:marBottom w:val="0"/>
              <w:divBdr>
                <w:top w:val="none" w:sz="0" w:space="0" w:color="auto"/>
                <w:left w:val="none" w:sz="0" w:space="0" w:color="auto"/>
                <w:bottom w:val="none" w:sz="0" w:space="0" w:color="auto"/>
                <w:right w:val="none" w:sz="0" w:space="0" w:color="auto"/>
              </w:divBdr>
            </w:div>
          </w:divsChild>
        </w:div>
        <w:div w:id="1217475208">
          <w:marLeft w:val="0"/>
          <w:marRight w:val="0"/>
          <w:marTop w:val="0"/>
          <w:marBottom w:val="0"/>
          <w:divBdr>
            <w:top w:val="none" w:sz="0" w:space="0" w:color="auto"/>
            <w:left w:val="none" w:sz="0" w:space="0" w:color="auto"/>
            <w:bottom w:val="none" w:sz="0" w:space="0" w:color="auto"/>
            <w:right w:val="none" w:sz="0" w:space="0" w:color="auto"/>
          </w:divBdr>
          <w:divsChild>
            <w:div w:id="976688698">
              <w:marLeft w:val="0"/>
              <w:marRight w:val="0"/>
              <w:marTop w:val="0"/>
              <w:marBottom w:val="0"/>
              <w:divBdr>
                <w:top w:val="none" w:sz="0" w:space="0" w:color="auto"/>
                <w:left w:val="none" w:sz="0" w:space="0" w:color="auto"/>
                <w:bottom w:val="none" w:sz="0" w:space="0" w:color="auto"/>
                <w:right w:val="none" w:sz="0" w:space="0" w:color="auto"/>
              </w:divBdr>
            </w:div>
          </w:divsChild>
        </w:div>
        <w:div w:id="135807658">
          <w:marLeft w:val="0"/>
          <w:marRight w:val="0"/>
          <w:marTop w:val="0"/>
          <w:marBottom w:val="0"/>
          <w:divBdr>
            <w:top w:val="none" w:sz="0" w:space="0" w:color="auto"/>
            <w:left w:val="none" w:sz="0" w:space="0" w:color="auto"/>
            <w:bottom w:val="none" w:sz="0" w:space="0" w:color="auto"/>
            <w:right w:val="none" w:sz="0" w:space="0" w:color="auto"/>
          </w:divBdr>
          <w:divsChild>
            <w:div w:id="360939272">
              <w:marLeft w:val="0"/>
              <w:marRight w:val="0"/>
              <w:marTop w:val="0"/>
              <w:marBottom w:val="0"/>
              <w:divBdr>
                <w:top w:val="none" w:sz="0" w:space="0" w:color="auto"/>
                <w:left w:val="none" w:sz="0" w:space="0" w:color="auto"/>
                <w:bottom w:val="none" w:sz="0" w:space="0" w:color="auto"/>
                <w:right w:val="none" w:sz="0" w:space="0" w:color="auto"/>
              </w:divBdr>
            </w:div>
          </w:divsChild>
        </w:div>
        <w:div w:id="1788617708">
          <w:marLeft w:val="0"/>
          <w:marRight w:val="0"/>
          <w:marTop w:val="0"/>
          <w:marBottom w:val="0"/>
          <w:divBdr>
            <w:top w:val="none" w:sz="0" w:space="0" w:color="auto"/>
            <w:left w:val="none" w:sz="0" w:space="0" w:color="auto"/>
            <w:bottom w:val="none" w:sz="0" w:space="0" w:color="auto"/>
            <w:right w:val="none" w:sz="0" w:space="0" w:color="auto"/>
          </w:divBdr>
          <w:divsChild>
            <w:div w:id="34622505">
              <w:marLeft w:val="0"/>
              <w:marRight w:val="0"/>
              <w:marTop w:val="0"/>
              <w:marBottom w:val="0"/>
              <w:divBdr>
                <w:top w:val="none" w:sz="0" w:space="0" w:color="auto"/>
                <w:left w:val="none" w:sz="0" w:space="0" w:color="auto"/>
                <w:bottom w:val="none" w:sz="0" w:space="0" w:color="auto"/>
                <w:right w:val="none" w:sz="0" w:space="0" w:color="auto"/>
              </w:divBdr>
            </w:div>
          </w:divsChild>
        </w:div>
        <w:div w:id="1706561885">
          <w:marLeft w:val="0"/>
          <w:marRight w:val="0"/>
          <w:marTop w:val="0"/>
          <w:marBottom w:val="0"/>
          <w:divBdr>
            <w:top w:val="none" w:sz="0" w:space="0" w:color="auto"/>
            <w:left w:val="none" w:sz="0" w:space="0" w:color="auto"/>
            <w:bottom w:val="none" w:sz="0" w:space="0" w:color="auto"/>
            <w:right w:val="none" w:sz="0" w:space="0" w:color="auto"/>
          </w:divBdr>
          <w:divsChild>
            <w:div w:id="784084564">
              <w:marLeft w:val="0"/>
              <w:marRight w:val="0"/>
              <w:marTop w:val="0"/>
              <w:marBottom w:val="0"/>
              <w:divBdr>
                <w:top w:val="none" w:sz="0" w:space="0" w:color="auto"/>
                <w:left w:val="none" w:sz="0" w:space="0" w:color="auto"/>
                <w:bottom w:val="none" w:sz="0" w:space="0" w:color="auto"/>
                <w:right w:val="none" w:sz="0" w:space="0" w:color="auto"/>
              </w:divBdr>
            </w:div>
          </w:divsChild>
        </w:div>
        <w:div w:id="1816406757">
          <w:marLeft w:val="0"/>
          <w:marRight w:val="0"/>
          <w:marTop w:val="0"/>
          <w:marBottom w:val="0"/>
          <w:divBdr>
            <w:top w:val="none" w:sz="0" w:space="0" w:color="auto"/>
            <w:left w:val="none" w:sz="0" w:space="0" w:color="auto"/>
            <w:bottom w:val="none" w:sz="0" w:space="0" w:color="auto"/>
            <w:right w:val="none" w:sz="0" w:space="0" w:color="auto"/>
          </w:divBdr>
          <w:divsChild>
            <w:div w:id="768160494">
              <w:marLeft w:val="0"/>
              <w:marRight w:val="0"/>
              <w:marTop w:val="0"/>
              <w:marBottom w:val="0"/>
              <w:divBdr>
                <w:top w:val="none" w:sz="0" w:space="0" w:color="auto"/>
                <w:left w:val="none" w:sz="0" w:space="0" w:color="auto"/>
                <w:bottom w:val="none" w:sz="0" w:space="0" w:color="auto"/>
                <w:right w:val="none" w:sz="0" w:space="0" w:color="auto"/>
              </w:divBdr>
            </w:div>
          </w:divsChild>
        </w:div>
        <w:div w:id="2110926978">
          <w:marLeft w:val="0"/>
          <w:marRight w:val="0"/>
          <w:marTop w:val="0"/>
          <w:marBottom w:val="0"/>
          <w:divBdr>
            <w:top w:val="none" w:sz="0" w:space="0" w:color="auto"/>
            <w:left w:val="none" w:sz="0" w:space="0" w:color="auto"/>
            <w:bottom w:val="none" w:sz="0" w:space="0" w:color="auto"/>
            <w:right w:val="none" w:sz="0" w:space="0" w:color="auto"/>
          </w:divBdr>
          <w:divsChild>
            <w:div w:id="668948049">
              <w:marLeft w:val="0"/>
              <w:marRight w:val="0"/>
              <w:marTop w:val="0"/>
              <w:marBottom w:val="0"/>
              <w:divBdr>
                <w:top w:val="none" w:sz="0" w:space="0" w:color="auto"/>
                <w:left w:val="none" w:sz="0" w:space="0" w:color="auto"/>
                <w:bottom w:val="none" w:sz="0" w:space="0" w:color="auto"/>
                <w:right w:val="none" w:sz="0" w:space="0" w:color="auto"/>
              </w:divBdr>
            </w:div>
          </w:divsChild>
        </w:div>
        <w:div w:id="1734887513">
          <w:marLeft w:val="0"/>
          <w:marRight w:val="0"/>
          <w:marTop w:val="0"/>
          <w:marBottom w:val="0"/>
          <w:divBdr>
            <w:top w:val="none" w:sz="0" w:space="0" w:color="auto"/>
            <w:left w:val="none" w:sz="0" w:space="0" w:color="auto"/>
            <w:bottom w:val="none" w:sz="0" w:space="0" w:color="auto"/>
            <w:right w:val="none" w:sz="0" w:space="0" w:color="auto"/>
          </w:divBdr>
          <w:divsChild>
            <w:div w:id="281232498">
              <w:marLeft w:val="0"/>
              <w:marRight w:val="0"/>
              <w:marTop w:val="0"/>
              <w:marBottom w:val="0"/>
              <w:divBdr>
                <w:top w:val="none" w:sz="0" w:space="0" w:color="auto"/>
                <w:left w:val="none" w:sz="0" w:space="0" w:color="auto"/>
                <w:bottom w:val="none" w:sz="0" w:space="0" w:color="auto"/>
                <w:right w:val="none" w:sz="0" w:space="0" w:color="auto"/>
              </w:divBdr>
            </w:div>
          </w:divsChild>
        </w:div>
        <w:div w:id="1282105428">
          <w:marLeft w:val="0"/>
          <w:marRight w:val="0"/>
          <w:marTop w:val="0"/>
          <w:marBottom w:val="0"/>
          <w:divBdr>
            <w:top w:val="none" w:sz="0" w:space="0" w:color="auto"/>
            <w:left w:val="none" w:sz="0" w:space="0" w:color="auto"/>
            <w:bottom w:val="none" w:sz="0" w:space="0" w:color="auto"/>
            <w:right w:val="none" w:sz="0" w:space="0" w:color="auto"/>
          </w:divBdr>
          <w:divsChild>
            <w:div w:id="545260893">
              <w:marLeft w:val="0"/>
              <w:marRight w:val="0"/>
              <w:marTop w:val="0"/>
              <w:marBottom w:val="0"/>
              <w:divBdr>
                <w:top w:val="none" w:sz="0" w:space="0" w:color="auto"/>
                <w:left w:val="none" w:sz="0" w:space="0" w:color="auto"/>
                <w:bottom w:val="none" w:sz="0" w:space="0" w:color="auto"/>
                <w:right w:val="none" w:sz="0" w:space="0" w:color="auto"/>
              </w:divBdr>
            </w:div>
          </w:divsChild>
        </w:div>
        <w:div w:id="1643079861">
          <w:marLeft w:val="0"/>
          <w:marRight w:val="0"/>
          <w:marTop w:val="0"/>
          <w:marBottom w:val="0"/>
          <w:divBdr>
            <w:top w:val="none" w:sz="0" w:space="0" w:color="auto"/>
            <w:left w:val="none" w:sz="0" w:space="0" w:color="auto"/>
            <w:bottom w:val="none" w:sz="0" w:space="0" w:color="auto"/>
            <w:right w:val="none" w:sz="0" w:space="0" w:color="auto"/>
          </w:divBdr>
          <w:divsChild>
            <w:div w:id="557547475">
              <w:marLeft w:val="0"/>
              <w:marRight w:val="0"/>
              <w:marTop w:val="0"/>
              <w:marBottom w:val="0"/>
              <w:divBdr>
                <w:top w:val="none" w:sz="0" w:space="0" w:color="auto"/>
                <w:left w:val="none" w:sz="0" w:space="0" w:color="auto"/>
                <w:bottom w:val="none" w:sz="0" w:space="0" w:color="auto"/>
                <w:right w:val="none" w:sz="0" w:space="0" w:color="auto"/>
              </w:divBdr>
            </w:div>
          </w:divsChild>
        </w:div>
        <w:div w:id="1233657692">
          <w:marLeft w:val="0"/>
          <w:marRight w:val="0"/>
          <w:marTop w:val="0"/>
          <w:marBottom w:val="0"/>
          <w:divBdr>
            <w:top w:val="none" w:sz="0" w:space="0" w:color="auto"/>
            <w:left w:val="none" w:sz="0" w:space="0" w:color="auto"/>
            <w:bottom w:val="none" w:sz="0" w:space="0" w:color="auto"/>
            <w:right w:val="none" w:sz="0" w:space="0" w:color="auto"/>
          </w:divBdr>
          <w:divsChild>
            <w:div w:id="2119593345">
              <w:marLeft w:val="0"/>
              <w:marRight w:val="0"/>
              <w:marTop w:val="0"/>
              <w:marBottom w:val="0"/>
              <w:divBdr>
                <w:top w:val="none" w:sz="0" w:space="0" w:color="auto"/>
                <w:left w:val="none" w:sz="0" w:space="0" w:color="auto"/>
                <w:bottom w:val="none" w:sz="0" w:space="0" w:color="auto"/>
                <w:right w:val="none" w:sz="0" w:space="0" w:color="auto"/>
              </w:divBdr>
            </w:div>
            <w:div w:id="582224226">
              <w:marLeft w:val="0"/>
              <w:marRight w:val="0"/>
              <w:marTop w:val="0"/>
              <w:marBottom w:val="0"/>
              <w:divBdr>
                <w:top w:val="none" w:sz="0" w:space="0" w:color="auto"/>
                <w:left w:val="none" w:sz="0" w:space="0" w:color="auto"/>
                <w:bottom w:val="none" w:sz="0" w:space="0" w:color="auto"/>
                <w:right w:val="none" w:sz="0" w:space="0" w:color="auto"/>
              </w:divBdr>
            </w:div>
            <w:div w:id="2011054285">
              <w:marLeft w:val="0"/>
              <w:marRight w:val="0"/>
              <w:marTop w:val="0"/>
              <w:marBottom w:val="0"/>
              <w:divBdr>
                <w:top w:val="none" w:sz="0" w:space="0" w:color="auto"/>
                <w:left w:val="none" w:sz="0" w:space="0" w:color="auto"/>
                <w:bottom w:val="none" w:sz="0" w:space="0" w:color="auto"/>
                <w:right w:val="none" w:sz="0" w:space="0" w:color="auto"/>
              </w:divBdr>
            </w:div>
            <w:div w:id="76052310">
              <w:marLeft w:val="0"/>
              <w:marRight w:val="0"/>
              <w:marTop w:val="0"/>
              <w:marBottom w:val="0"/>
              <w:divBdr>
                <w:top w:val="none" w:sz="0" w:space="0" w:color="auto"/>
                <w:left w:val="none" w:sz="0" w:space="0" w:color="auto"/>
                <w:bottom w:val="none" w:sz="0" w:space="0" w:color="auto"/>
                <w:right w:val="none" w:sz="0" w:space="0" w:color="auto"/>
              </w:divBdr>
            </w:div>
          </w:divsChild>
        </w:div>
        <w:div w:id="1810904984">
          <w:marLeft w:val="0"/>
          <w:marRight w:val="0"/>
          <w:marTop w:val="0"/>
          <w:marBottom w:val="0"/>
          <w:divBdr>
            <w:top w:val="none" w:sz="0" w:space="0" w:color="auto"/>
            <w:left w:val="none" w:sz="0" w:space="0" w:color="auto"/>
            <w:bottom w:val="none" w:sz="0" w:space="0" w:color="auto"/>
            <w:right w:val="none" w:sz="0" w:space="0" w:color="auto"/>
          </w:divBdr>
          <w:divsChild>
            <w:div w:id="536965851">
              <w:marLeft w:val="0"/>
              <w:marRight w:val="0"/>
              <w:marTop w:val="0"/>
              <w:marBottom w:val="0"/>
              <w:divBdr>
                <w:top w:val="none" w:sz="0" w:space="0" w:color="auto"/>
                <w:left w:val="none" w:sz="0" w:space="0" w:color="auto"/>
                <w:bottom w:val="none" w:sz="0" w:space="0" w:color="auto"/>
                <w:right w:val="none" w:sz="0" w:space="0" w:color="auto"/>
              </w:divBdr>
            </w:div>
          </w:divsChild>
        </w:div>
        <w:div w:id="1248660593">
          <w:marLeft w:val="0"/>
          <w:marRight w:val="0"/>
          <w:marTop w:val="0"/>
          <w:marBottom w:val="0"/>
          <w:divBdr>
            <w:top w:val="none" w:sz="0" w:space="0" w:color="auto"/>
            <w:left w:val="none" w:sz="0" w:space="0" w:color="auto"/>
            <w:bottom w:val="none" w:sz="0" w:space="0" w:color="auto"/>
            <w:right w:val="none" w:sz="0" w:space="0" w:color="auto"/>
          </w:divBdr>
          <w:divsChild>
            <w:div w:id="1492719973">
              <w:marLeft w:val="0"/>
              <w:marRight w:val="0"/>
              <w:marTop w:val="0"/>
              <w:marBottom w:val="0"/>
              <w:divBdr>
                <w:top w:val="none" w:sz="0" w:space="0" w:color="auto"/>
                <w:left w:val="none" w:sz="0" w:space="0" w:color="auto"/>
                <w:bottom w:val="none" w:sz="0" w:space="0" w:color="auto"/>
                <w:right w:val="none" w:sz="0" w:space="0" w:color="auto"/>
              </w:divBdr>
            </w:div>
          </w:divsChild>
        </w:div>
        <w:div w:id="1175144512">
          <w:marLeft w:val="0"/>
          <w:marRight w:val="0"/>
          <w:marTop w:val="0"/>
          <w:marBottom w:val="0"/>
          <w:divBdr>
            <w:top w:val="none" w:sz="0" w:space="0" w:color="auto"/>
            <w:left w:val="none" w:sz="0" w:space="0" w:color="auto"/>
            <w:bottom w:val="none" w:sz="0" w:space="0" w:color="auto"/>
            <w:right w:val="none" w:sz="0" w:space="0" w:color="auto"/>
          </w:divBdr>
          <w:divsChild>
            <w:div w:id="1331175671">
              <w:marLeft w:val="0"/>
              <w:marRight w:val="0"/>
              <w:marTop w:val="0"/>
              <w:marBottom w:val="0"/>
              <w:divBdr>
                <w:top w:val="none" w:sz="0" w:space="0" w:color="auto"/>
                <w:left w:val="none" w:sz="0" w:space="0" w:color="auto"/>
                <w:bottom w:val="none" w:sz="0" w:space="0" w:color="auto"/>
                <w:right w:val="none" w:sz="0" w:space="0" w:color="auto"/>
              </w:divBdr>
            </w:div>
          </w:divsChild>
        </w:div>
        <w:div w:id="1173035960">
          <w:marLeft w:val="0"/>
          <w:marRight w:val="0"/>
          <w:marTop w:val="0"/>
          <w:marBottom w:val="0"/>
          <w:divBdr>
            <w:top w:val="none" w:sz="0" w:space="0" w:color="auto"/>
            <w:left w:val="none" w:sz="0" w:space="0" w:color="auto"/>
            <w:bottom w:val="none" w:sz="0" w:space="0" w:color="auto"/>
            <w:right w:val="none" w:sz="0" w:space="0" w:color="auto"/>
          </w:divBdr>
          <w:divsChild>
            <w:div w:id="1581673478">
              <w:marLeft w:val="0"/>
              <w:marRight w:val="0"/>
              <w:marTop w:val="0"/>
              <w:marBottom w:val="0"/>
              <w:divBdr>
                <w:top w:val="none" w:sz="0" w:space="0" w:color="auto"/>
                <w:left w:val="none" w:sz="0" w:space="0" w:color="auto"/>
                <w:bottom w:val="none" w:sz="0" w:space="0" w:color="auto"/>
                <w:right w:val="none" w:sz="0" w:space="0" w:color="auto"/>
              </w:divBdr>
            </w:div>
          </w:divsChild>
        </w:div>
        <w:div w:id="65109277">
          <w:marLeft w:val="0"/>
          <w:marRight w:val="0"/>
          <w:marTop w:val="0"/>
          <w:marBottom w:val="0"/>
          <w:divBdr>
            <w:top w:val="none" w:sz="0" w:space="0" w:color="auto"/>
            <w:left w:val="none" w:sz="0" w:space="0" w:color="auto"/>
            <w:bottom w:val="none" w:sz="0" w:space="0" w:color="auto"/>
            <w:right w:val="none" w:sz="0" w:space="0" w:color="auto"/>
          </w:divBdr>
          <w:divsChild>
            <w:div w:id="1591308996">
              <w:marLeft w:val="0"/>
              <w:marRight w:val="0"/>
              <w:marTop w:val="0"/>
              <w:marBottom w:val="0"/>
              <w:divBdr>
                <w:top w:val="none" w:sz="0" w:space="0" w:color="auto"/>
                <w:left w:val="none" w:sz="0" w:space="0" w:color="auto"/>
                <w:bottom w:val="none" w:sz="0" w:space="0" w:color="auto"/>
                <w:right w:val="none" w:sz="0" w:space="0" w:color="auto"/>
              </w:divBdr>
            </w:div>
          </w:divsChild>
        </w:div>
        <w:div w:id="1677077284">
          <w:marLeft w:val="0"/>
          <w:marRight w:val="0"/>
          <w:marTop w:val="0"/>
          <w:marBottom w:val="0"/>
          <w:divBdr>
            <w:top w:val="none" w:sz="0" w:space="0" w:color="auto"/>
            <w:left w:val="none" w:sz="0" w:space="0" w:color="auto"/>
            <w:bottom w:val="none" w:sz="0" w:space="0" w:color="auto"/>
            <w:right w:val="none" w:sz="0" w:space="0" w:color="auto"/>
          </w:divBdr>
          <w:divsChild>
            <w:div w:id="2010789494">
              <w:marLeft w:val="0"/>
              <w:marRight w:val="0"/>
              <w:marTop w:val="0"/>
              <w:marBottom w:val="0"/>
              <w:divBdr>
                <w:top w:val="none" w:sz="0" w:space="0" w:color="auto"/>
                <w:left w:val="none" w:sz="0" w:space="0" w:color="auto"/>
                <w:bottom w:val="none" w:sz="0" w:space="0" w:color="auto"/>
                <w:right w:val="none" w:sz="0" w:space="0" w:color="auto"/>
              </w:divBdr>
            </w:div>
          </w:divsChild>
        </w:div>
        <w:div w:id="1810244859">
          <w:marLeft w:val="0"/>
          <w:marRight w:val="0"/>
          <w:marTop w:val="0"/>
          <w:marBottom w:val="0"/>
          <w:divBdr>
            <w:top w:val="none" w:sz="0" w:space="0" w:color="auto"/>
            <w:left w:val="none" w:sz="0" w:space="0" w:color="auto"/>
            <w:bottom w:val="none" w:sz="0" w:space="0" w:color="auto"/>
            <w:right w:val="none" w:sz="0" w:space="0" w:color="auto"/>
          </w:divBdr>
          <w:divsChild>
            <w:div w:id="431626438">
              <w:marLeft w:val="0"/>
              <w:marRight w:val="0"/>
              <w:marTop w:val="0"/>
              <w:marBottom w:val="0"/>
              <w:divBdr>
                <w:top w:val="none" w:sz="0" w:space="0" w:color="auto"/>
                <w:left w:val="none" w:sz="0" w:space="0" w:color="auto"/>
                <w:bottom w:val="none" w:sz="0" w:space="0" w:color="auto"/>
                <w:right w:val="none" w:sz="0" w:space="0" w:color="auto"/>
              </w:divBdr>
            </w:div>
          </w:divsChild>
        </w:div>
        <w:div w:id="1916816002">
          <w:marLeft w:val="0"/>
          <w:marRight w:val="0"/>
          <w:marTop w:val="0"/>
          <w:marBottom w:val="0"/>
          <w:divBdr>
            <w:top w:val="none" w:sz="0" w:space="0" w:color="auto"/>
            <w:left w:val="none" w:sz="0" w:space="0" w:color="auto"/>
            <w:bottom w:val="none" w:sz="0" w:space="0" w:color="auto"/>
            <w:right w:val="none" w:sz="0" w:space="0" w:color="auto"/>
          </w:divBdr>
          <w:divsChild>
            <w:div w:id="1142892206">
              <w:marLeft w:val="0"/>
              <w:marRight w:val="0"/>
              <w:marTop w:val="0"/>
              <w:marBottom w:val="0"/>
              <w:divBdr>
                <w:top w:val="none" w:sz="0" w:space="0" w:color="auto"/>
                <w:left w:val="none" w:sz="0" w:space="0" w:color="auto"/>
                <w:bottom w:val="none" w:sz="0" w:space="0" w:color="auto"/>
                <w:right w:val="none" w:sz="0" w:space="0" w:color="auto"/>
              </w:divBdr>
            </w:div>
          </w:divsChild>
        </w:div>
        <w:div w:id="349645212">
          <w:marLeft w:val="0"/>
          <w:marRight w:val="0"/>
          <w:marTop w:val="0"/>
          <w:marBottom w:val="0"/>
          <w:divBdr>
            <w:top w:val="none" w:sz="0" w:space="0" w:color="auto"/>
            <w:left w:val="none" w:sz="0" w:space="0" w:color="auto"/>
            <w:bottom w:val="none" w:sz="0" w:space="0" w:color="auto"/>
            <w:right w:val="none" w:sz="0" w:space="0" w:color="auto"/>
          </w:divBdr>
          <w:divsChild>
            <w:div w:id="198593238">
              <w:marLeft w:val="0"/>
              <w:marRight w:val="0"/>
              <w:marTop w:val="0"/>
              <w:marBottom w:val="0"/>
              <w:divBdr>
                <w:top w:val="none" w:sz="0" w:space="0" w:color="auto"/>
                <w:left w:val="none" w:sz="0" w:space="0" w:color="auto"/>
                <w:bottom w:val="none" w:sz="0" w:space="0" w:color="auto"/>
                <w:right w:val="none" w:sz="0" w:space="0" w:color="auto"/>
              </w:divBdr>
            </w:div>
          </w:divsChild>
        </w:div>
        <w:div w:id="570888369">
          <w:marLeft w:val="0"/>
          <w:marRight w:val="0"/>
          <w:marTop w:val="0"/>
          <w:marBottom w:val="0"/>
          <w:divBdr>
            <w:top w:val="none" w:sz="0" w:space="0" w:color="auto"/>
            <w:left w:val="none" w:sz="0" w:space="0" w:color="auto"/>
            <w:bottom w:val="none" w:sz="0" w:space="0" w:color="auto"/>
            <w:right w:val="none" w:sz="0" w:space="0" w:color="auto"/>
          </w:divBdr>
          <w:divsChild>
            <w:div w:id="1424449580">
              <w:marLeft w:val="0"/>
              <w:marRight w:val="0"/>
              <w:marTop w:val="0"/>
              <w:marBottom w:val="0"/>
              <w:divBdr>
                <w:top w:val="none" w:sz="0" w:space="0" w:color="auto"/>
                <w:left w:val="none" w:sz="0" w:space="0" w:color="auto"/>
                <w:bottom w:val="none" w:sz="0" w:space="0" w:color="auto"/>
                <w:right w:val="none" w:sz="0" w:space="0" w:color="auto"/>
              </w:divBdr>
            </w:div>
          </w:divsChild>
        </w:div>
        <w:div w:id="805119809">
          <w:marLeft w:val="0"/>
          <w:marRight w:val="0"/>
          <w:marTop w:val="0"/>
          <w:marBottom w:val="0"/>
          <w:divBdr>
            <w:top w:val="none" w:sz="0" w:space="0" w:color="auto"/>
            <w:left w:val="none" w:sz="0" w:space="0" w:color="auto"/>
            <w:bottom w:val="none" w:sz="0" w:space="0" w:color="auto"/>
            <w:right w:val="none" w:sz="0" w:space="0" w:color="auto"/>
          </w:divBdr>
          <w:divsChild>
            <w:div w:id="1781752246">
              <w:marLeft w:val="0"/>
              <w:marRight w:val="0"/>
              <w:marTop w:val="0"/>
              <w:marBottom w:val="0"/>
              <w:divBdr>
                <w:top w:val="none" w:sz="0" w:space="0" w:color="auto"/>
                <w:left w:val="none" w:sz="0" w:space="0" w:color="auto"/>
                <w:bottom w:val="none" w:sz="0" w:space="0" w:color="auto"/>
                <w:right w:val="none" w:sz="0" w:space="0" w:color="auto"/>
              </w:divBdr>
            </w:div>
          </w:divsChild>
        </w:div>
        <w:div w:id="269166577">
          <w:marLeft w:val="0"/>
          <w:marRight w:val="0"/>
          <w:marTop w:val="0"/>
          <w:marBottom w:val="0"/>
          <w:divBdr>
            <w:top w:val="none" w:sz="0" w:space="0" w:color="auto"/>
            <w:left w:val="none" w:sz="0" w:space="0" w:color="auto"/>
            <w:bottom w:val="none" w:sz="0" w:space="0" w:color="auto"/>
            <w:right w:val="none" w:sz="0" w:space="0" w:color="auto"/>
          </w:divBdr>
          <w:divsChild>
            <w:div w:id="2005664075">
              <w:marLeft w:val="0"/>
              <w:marRight w:val="0"/>
              <w:marTop w:val="0"/>
              <w:marBottom w:val="0"/>
              <w:divBdr>
                <w:top w:val="none" w:sz="0" w:space="0" w:color="auto"/>
                <w:left w:val="none" w:sz="0" w:space="0" w:color="auto"/>
                <w:bottom w:val="none" w:sz="0" w:space="0" w:color="auto"/>
                <w:right w:val="none" w:sz="0" w:space="0" w:color="auto"/>
              </w:divBdr>
            </w:div>
            <w:div w:id="877158517">
              <w:marLeft w:val="0"/>
              <w:marRight w:val="0"/>
              <w:marTop w:val="0"/>
              <w:marBottom w:val="0"/>
              <w:divBdr>
                <w:top w:val="none" w:sz="0" w:space="0" w:color="auto"/>
                <w:left w:val="none" w:sz="0" w:space="0" w:color="auto"/>
                <w:bottom w:val="none" w:sz="0" w:space="0" w:color="auto"/>
                <w:right w:val="none" w:sz="0" w:space="0" w:color="auto"/>
              </w:divBdr>
            </w:div>
          </w:divsChild>
        </w:div>
        <w:div w:id="1373574355">
          <w:marLeft w:val="0"/>
          <w:marRight w:val="0"/>
          <w:marTop w:val="0"/>
          <w:marBottom w:val="0"/>
          <w:divBdr>
            <w:top w:val="none" w:sz="0" w:space="0" w:color="auto"/>
            <w:left w:val="none" w:sz="0" w:space="0" w:color="auto"/>
            <w:bottom w:val="none" w:sz="0" w:space="0" w:color="auto"/>
            <w:right w:val="none" w:sz="0" w:space="0" w:color="auto"/>
          </w:divBdr>
          <w:divsChild>
            <w:div w:id="1438329444">
              <w:marLeft w:val="0"/>
              <w:marRight w:val="0"/>
              <w:marTop w:val="0"/>
              <w:marBottom w:val="0"/>
              <w:divBdr>
                <w:top w:val="none" w:sz="0" w:space="0" w:color="auto"/>
                <w:left w:val="none" w:sz="0" w:space="0" w:color="auto"/>
                <w:bottom w:val="none" w:sz="0" w:space="0" w:color="auto"/>
                <w:right w:val="none" w:sz="0" w:space="0" w:color="auto"/>
              </w:divBdr>
            </w:div>
          </w:divsChild>
        </w:div>
        <w:div w:id="1883249071">
          <w:marLeft w:val="0"/>
          <w:marRight w:val="0"/>
          <w:marTop w:val="0"/>
          <w:marBottom w:val="0"/>
          <w:divBdr>
            <w:top w:val="none" w:sz="0" w:space="0" w:color="auto"/>
            <w:left w:val="none" w:sz="0" w:space="0" w:color="auto"/>
            <w:bottom w:val="none" w:sz="0" w:space="0" w:color="auto"/>
            <w:right w:val="none" w:sz="0" w:space="0" w:color="auto"/>
          </w:divBdr>
          <w:divsChild>
            <w:div w:id="1598520939">
              <w:marLeft w:val="0"/>
              <w:marRight w:val="0"/>
              <w:marTop w:val="0"/>
              <w:marBottom w:val="0"/>
              <w:divBdr>
                <w:top w:val="none" w:sz="0" w:space="0" w:color="auto"/>
                <w:left w:val="none" w:sz="0" w:space="0" w:color="auto"/>
                <w:bottom w:val="none" w:sz="0" w:space="0" w:color="auto"/>
                <w:right w:val="none" w:sz="0" w:space="0" w:color="auto"/>
              </w:divBdr>
            </w:div>
          </w:divsChild>
        </w:div>
        <w:div w:id="641814210">
          <w:marLeft w:val="0"/>
          <w:marRight w:val="0"/>
          <w:marTop w:val="0"/>
          <w:marBottom w:val="0"/>
          <w:divBdr>
            <w:top w:val="none" w:sz="0" w:space="0" w:color="auto"/>
            <w:left w:val="none" w:sz="0" w:space="0" w:color="auto"/>
            <w:bottom w:val="none" w:sz="0" w:space="0" w:color="auto"/>
            <w:right w:val="none" w:sz="0" w:space="0" w:color="auto"/>
          </w:divBdr>
          <w:divsChild>
            <w:div w:id="1295216989">
              <w:marLeft w:val="0"/>
              <w:marRight w:val="0"/>
              <w:marTop w:val="0"/>
              <w:marBottom w:val="0"/>
              <w:divBdr>
                <w:top w:val="none" w:sz="0" w:space="0" w:color="auto"/>
                <w:left w:val="none" w:sz="0" w:space="0" w:color="auto"/>
                <w:bottom w:val="none" w:sz="0" w:space="0" w:color="auto"/>
                <w:right w:val="none" w:sz="0" w:space="0" w:color="auto"/>
              </w:divBdr>
            </w:div>
          </w:divsChild>
        </w:div>
        <w:div w:id="1572275423">
          <w:marLeft w:val="0"/>
          <w:marRight w:val="0"/>
          <w:marTop w:val="0"/>
          <w:marBottom w:val="0"/>
          <w:divBdr>
            <w:top w:val="none" w:sz="0" w:space="0" w:color="auto"/>
            <w:left w:val="none" w:sz="0" w:space="0" w:color="auto"/>
            <w:bottom w:val="none" w:sz="0" w:space="0" w:color="auto"/>
            <w:right w:val="none" w:sz="0" w:space="0" w:color="auto"/>
          </w:divBdr>
          <w:divsChild>
            <w:div w:id="162547819">
              <w:marLeft w:val="0"/>
              <w:marRight w:val="0"/>
              <w:marTop w:val="0"/>
              <w:marBottom w:val="0"/>
              <w:divBdr>
                <w:top w:val="none" w:sz="0" w:space="0" w:color="auto"/>
                <w:left w:val="none" w:sz="0" w:space="0" w:color="auto"/>
                <w:bottom w:val="none" w:sz="0" w:space="0" w:color="auto"/>
                <w:right w:val="none" w:sz="0" w:space="0" w:color="auto"/>
              </w:divBdr>
            </w:div>
          </w:divsChild>
        </w:div>
        <w:div w:id="1719157882">
          <w:marLeft w:val="0"/>
          <w:marRight w:val="0"/>
          <w:marTop w:val="0"/>
          <w:marBottom w:val="0"/>
          <w:divBdr>
            <w:top w:val="none" w:sz="0" w:space="0" w:color="auto"/>
            <w:left w:val="none" w:sz="0" w:space="0" w:color="auto"/>
            <w:bottom w:val="none" w:sz="0" w:space="0" w:color="auto"/>
            <w:right w:val="none" w:sz="0" w:space="0" w:color="auto"/>
          </w:divBdr>
          <w:divsChild>
            <w:div w:id="1548685609">
              <w:marLeft w:val="0"/>
              <w:marRight w:val="0"/>
              <w:marTop w:val="0"/>
              <w:marBottom w:val="0"/>
              <w:divBdr>
                <w:top w:val="none" w:sz="0" w:space="0" w:color="auto"/>
                <w:left w:val="none" w:sz="0" w:space="0" w:color="auto"/>
                <w:bottom w:val="none" w:sz="0" w:space="0" w:color="auto"/>
                <w:right w:val="none" w:sz="0" w:space="0" w:color="auto"/>
              </w:divBdr>
            </w:div>
          </w:divsChild>
        </w:div>
        <w:div w:id="907687657">
          <w:marLeft w:val="0"/>
          <w:marRight w:val="0"/>
          <w:marTop w:val="0"/>
          <w:marBottom w:val="0"/>
          <w:divBdr>
            <w:top w:val="none" w:sz="0" w:space="0" w:color="auto"/>
            <w:left w:val="none" w:sz="0" w:space="0" w:color="auto"/>
            <w:bottom w:val="none" w:sz="0" w:space="0" w:color="auto"/>
            <w:right w:val="none" w:sz="0" w:space="0" w:color="auto"/>
          </w:divBdr>
          <w:divsChild>
            <w:div w:id="556817926">
              <w:marLeft w:val="0"/>
              <w:marRight w:val="0"/>
              <w:marTop w:val="0"/>
              <w:marBottom w:val="0"/>
              <w:divBdr>
                <w:top w:val="none" w:sz="0" w:space="0" w:color="auto"/>
                <w:left w:val="none" w:sz="0" w:space="0" w:color="auto"/>
                <w:bottom w:val="none" w:sz="0" w:space="0" w:color="auto"/>
                <w:right w:val="none" w:sz="0" w:space="0" w:color="auto"/>
              </w:divBdr>
            </w:div>
          </w:divsChild>
        </w:div>
        <w:div w:id="1968730228">
          <w:marLeft w:val="0"/>
          <w:marRight w:val="0"/>
          <w:marTop w:val="0"/>
          <w:marBottom w:val="0"/>
          <w:divBdr>
            <w:top w:val="none" w:sz="0" w:space="0" w:color="auto"/>
            <w:left w:val="none" w:sz="0" w:space="0" w:color="auto"/>
            <w:bottom w:val="none" w:sz="0" w:space="0" w:color="auto"/>
            <w:right w:val="none" w:sz="0" w:space="0" w:color="auto"/>
          </w:divBdr>
          <w:divsChild>
            <w:div w:id="293339643">
              <w:marLeft w:val="0"/>
              <w:marRight w:val="0"/>
              <w:marTop w:val="0"/>
              <w:marBottom w:val="0"/>
              <w:divBdr>
                <w:top w:val="none" w:sz="0" w:space="0" w:color="auto"/>
                <w:left w:val="none" w:sz="0" w:space="0" w:color="auto"/>
                <w:bottom w:val="none" w:sz="0" w:space="0" w:color="auto"/>
                <w:right w:val="none" w:sz="0" w:space="0" w:color="auto"/>
              </w:divBdr>
            </w:div>
          </w:divsChild>
        </w:div>
        <w:div w:id="684214230">
          <w:marLeft w:val="0"/>
          <w:marRight w:val="0"/>
          <w:marTop w:val="0"/>
          <w:marBottom w:val="0"/>
          <w:divBdr>
            <w:top w:val="none" w:sz="0" w:space="0" w:color="auto"/>
            <w:left w:val="none" w:sz="0" w:space="0" w:color="auto"/>
            <w:bottom w:val="none" w:sz="0" w:space="0" w:color="auto"/>
            <w:right w:val="none" w:sz="0" w:space="0" w:color="auto"/>
          </w:divBdr>
          <w:divsChild>
            <w:div w:id="999119165">
              <w:marLeft w:val="0"/>
              <w:marRight w:val="0"/>
              <w:marTop w:val="0"/>
              <w:marBottom w:val="0"/>
              <w:divBdr>
                <w:top w:val="none" w:sz="0" w:space="0" w:color="auto"/>
                <w:left w:val="none" w:sz="0" w:space="0" w:color="auto"/>
                <w:bottom w:val="none" w:sz="0" w:space="0" w:color="auto"/>
                <w:right w:val="none" w:sz="0" w:space="0" w:color="auto"/>
              </w:divBdr>
            </w:div>
          </w:divsChild>
        </w:div>
        <w:div w:id="276832910">
          <w:marLeft w:val="0"/>
          <w:marRight w:val="0"/>
          <w:marTop w:val="0"/>
          <w:marBottom w:val="0"/>
          <w:divBdr>
            <w:top w:val="none" w:sz="0" w:space="0" w:color="auto"/>
            <w:left w:val="none" w:sz="0" w:space="0" w:color="auto"/>
            <w:bottom w:val="none" w:sz="0" w:space="0" w:color="auto"/>
            <w:right w:val="none" w:sz="0" w:space="0" w:color="auto"/>
          </w:divBdr>
          <w:divsChild>
            <w:div w:id="126895920">
              <w:marLeft w:val="0"/>
              <w:marRight w:val="0"/>
              <w:marTop w:val="0"/>
              <w:marBottom w:val="0"/>
              <w:divBdr>
                <w:top w:val="none" w:sz="0" w:space="0" w:color="auto"/>
                <w:left w:val="none" w:sz="0" w:space="0" w:color="auto"/>
                <w:bottom w:val="none" w:sz="0" w:space="0" w:color="auto"/>
                <w:right w:val="none" w:sz="0" w:space="0" w:color="auto"/>
              </w:divBdr>
            </w:div>
          </w:divsChild>
        </w:div>
        <w:div w:id="1007443429">
          <w:marLeft w:val="0"/>
          <w:marRight w:val="0"/>
          <w:marTop w:val="0"/>
          <w:marBottom w:val="0"/>
          <w:divBdr>
            <w:top w:val="none" w:sz="0" w:space="0" w:color="auto"/>
            <w:left w:val="none" w:sz="0" w:space="0" w:color="auto"/>
            <w:bottom w:val="none" w:sz="0" w:space="0" w:color="auto"/>
            <w:right w:val="none" w:sz="0" w:space="0" w:color="auto"/>
          </w:divBdr>
          <w:divsChild>
            <w:div w:id="623732514">
              <w:marLeft w:val="0"/>
              <w:marRight w:val="0"/>
              <w:marTop w:val="0"/>
              <w:marBottom w:val="0"/>
              <w:divBdr>
                <w:top w:val="none" w:sz="0" w:space="0" w:color="auto"/>
                <w:left w:val="none" w:sz="0" w:space="0" w:color="auto"/>
                <w:bottom w:val="none" w:sz="0" w:space="0" w:color="auto"/>
                <w:right w:val="none" w:sz="0" w:space="0" w:color="auto"/>
              </w:divBdr>
            </w:div>
          </w:divsChild>
        </w:div>
        <w:div w:id="1818065391">
          <w:marLeft w:val="0"/>
          <w:marRight w:val="0"/>
          <w:marTop w:val="0"/>
          <w:marBottom w:val="0"/>
          <w:divBdr>
            <w:top w:val="none" w:sz="0" w:space="0" w:color="auto"/>
            <w:left w:val="none" w:sz="0" w:space="0" w:color="auto"/>
            <w:bottom w:val="none" w:sz="0" w:space="0" w:color="auto"/>
            <w:right w:val="none" w:sz="0" w:space="0" w:color="auto"/>
          </w:divBdr>
          <w:divsChild>
            <w:div w:id="891961812">
              <w:marLeft w:val="0"/>
              <w:marRight w:val="0"/>
              <w:marTop w:val="0"/>
              <w:marBottom w:val="0"/>
              <w:divBdr>
                <w:top w:val="none" w:sz="0" w:space="0" w:color="auto"/>
                <w:left w:val="none" w:sz="0" w:space="0" w:color="auto"/>
                <w:bottom w:val="none" w:sz="0" w:space="0" w:color="auto"/>
                <w:right w:val="none" w:sz="0" w:space="0" w:color="auto"/>
              </w:divBdr>
            </w:div>
          </w:divsChild>
        </w:div>
        <w:div w:id="634717977">
          <w:marLeft w:val="0"/>
          <w:marRight w:val="0"/>
          <w:marTop w:val="0"/>
          <w:marBottom w:val="0"/>
          <w:divBdr>
            <w:top w:val="none" w:sz="0" w:space="0" w:color="auto"/>
            <w:left w:val="none" w:sz="0" w:space="0" w:color="auto"/>
            <w:bottom w:val="none" w:sz="0" w:space="0" w:color="auto"/>
            <w:right w:val="none" w:sz="0" w:space="0" w:color="auto"/>
          </w:divBdr>
          <w:divsChild>
            <w:div w:id="1654140363">
              <w:marLeft w:val="0"/>
              <w:marRight w:val="0"/>
              <w:marTop w:val="0"/>
              <w:marBottom w:val="0"/>
              <w:divBdr>
                <w:top w:val="none" w:sz="0" w:space="0" w:color="auto"/>
                <w:left w:val="none" w:sz="0" w:space="0" w:color="auto"/>
                <w:bottom w:val="none" w:sz="0" w:space="0" w:color="auto"/>
                <w:right w:val="none" w:sz="0" w:space="0" w:color="auto"/>
              </w:divBdr>
            </w:div>
            <w:div w:id="1573153530">
              <w:marLeft w:val="0"/>
              <w:marRight w:val="0"/>
              <w:marTop w:val="0"/>
              <w:marBottom w:val="0"/>
              <w:divBdr>
                <w:top w:val="none" w:sz="0" w:space="0" w:color="auto"/>
                <w:left w:val="none" w:sz="0" w:space="0" w:color="auto"/>
                <w:bottom w:val="none" w:sz="0" w:space="0" w:color="auto"/>
                <w:right w:val="none" w:sz="0" w:space="0" w:color="auto"/>
              </w:divBdr>
            </w:div>
          </w:divsChild>
        </w:div>
        <w:div w:id="887912920">
          <w:marLeft w:val="0"/>
          <w:marRight w:val="0"/>
          <w:marTop w:val="0"/>
          <w:marBottom w:val="0"/>
          <w:divBdr>
            <w:top w:val="none" w:sz="0" w:space="0" w:color="auto"/>
            <w:left w:val="none" w:sz="0" w:space="0" w:color="auto"/>
            <w:bottom w:val="none" w:sz="0" w:space="0" w:color="auto"/>
            <w:right w:val="none" w:sz="0" w:space="0" w:color="auto"/>
          </w:divBdr>
          <w:divsChild>
            <w:div w:id="1475638835">
              <w:marLeft w:val="0"/>
              <w:marRight w:val="0"/>
              <w:marTop w:val="0"/>
              <w:marBottom w:val="0"/>
              <w:divBdr>
                <w:top w:val="none" w:sz="0" w:space="0" w:color="auto"/>
                <w:left w:val="none" w:sz="0" w:space="0" w:color="auto"/>
                <w:bottom w:val="none" w:sz="0" w:space="0" w:color="auto"/>
                <w:right w:val="none" w:sz="0" w:space="0" w:color="auto"/>
              </w:divBdr>
            </w:div>
          </w:divsChild>
        </w:div>
        <w:div w:id="488907696">
          <w:marLeft w:val="0"/>
          <w:marRight w:val="0"/>
          <w:marTop w:val="0"/>
          <w:marBottom w:val="0"/>
          <w:divBdr>
            <w:top w:val="none" w:sz="0" w:space="0" w:color="auto"/>
            <w:left w:val="none" w:sz="0" w:space="0" w:color="auto"/>
            <w:bottom w:val="none" w:sz="0" w:space="0" w:color="auto"/>
            <w:right w:val="none" w:sz="0" w:space="0" w:color="auto"/>
          </w:divBdr>
          <w:divsChild>
            <w:div w:id="1939439068">
              <w:marLeft w:val="0"/>
              <w:marRight w:val="0"/>
              <w:marTop w:val="0"/>
              <w:marBottom w:val="0"/>
              <w:divBdr>
                <w:top w:val="none" w:sz="0" w:space="0" w:color="auto"/>
                <w:left w:val="none" w:sz="0" w:space="0" w:color="auto"/>
                <w:bottom w:val="none" w:sz="0" w:space="0" w:color="auto"/>
                <w:right w:val="none" w:sz="0" w:space="0" w:color="auto"/>
              </w:divBdr>
            </w:div>
          </w:divsChild>
        </w:div>
        <w:div w:id="1419524721">
          <w:marLeft w:val="0"/>
          <w:marRight w:val="0"/>
          <w:marTop w:val="0"/>
          <w:marBottom w:val="0"/>
          <w:divBdr>
            <w:top w:val="none" w:sz="0" w:space="0" w:color="auto"/>
            <w:left w:val="none" w:sz="0" w:space="0" w:color="auto"/>
            <w:bottom w:val="none" w:sz="0" w:space="0" w:color="auto"/>
            <w:right w:val="none" w:sz="0" w:space="0" w:color="auto"/>
          </w:divBdr>
          <w:divsChild>
            <w:div w:id="511797010">
              <w:marLeft w:val="0"/>
              <w:marRight w:val="0"/>
              <w:marTop w:val="0"/>
              <w:marBottom w:val="0"/>
              <w:divBdr>
                <w:top w:val="none" w:sz="0" w:space="0" w:color="auto"/>
                <w:left w:val="none" w:sz="0" w:space="0" w:color="auto"/>
                <w:bottom w:val="none" w:sz="0" w:space="0" w:color="auto"/>
                <w:right w:val="none" w:sz="0" w:space="0" w:color="auto"/>
              </w:divBdr>
            </w:div>
          </w:divsChild>
        </w:div>
        <w:div w:id="1996640602">
          <w:marLeft w:val="0"/>
          <w:marRight w:val="0"/>
          <w:marTop w:val="0"/>
          <w:marBottom w:val="0"/>
          <w:divBdr>
            <w:top w:val="none" w:sz="0" w:space="0" w:color="auto"/>
            <w:left w:val="none" w:sz="0" w:space="0" w:color="auto"/>
            <w:bottom w:val="none" w:sz="0" w:space="0" w:color="auto"/>
            <w:right w:val="none" w:sz="0" w:space="0" w:color="auto"/>
          </w:divBdr>
          <w:divsChild>
            <w:div w:id="330985012">
              <w:marLeft w:val="0"/>
              <w:marRight w:val="0"/>
              <w:marTop w:val="0"/>
              <w:marBottom w:val="0"/>
              <w:divBdr>
                <w:top w:val="none" w:sz="0" w:space="0" w:color="auto"/>
                <w:left w:val="none" w:sz="0" w:space="0" w:color="auto"/>
                <w:bottom w:val="none" w:sz="0" w:space="0" w:color="auto"/>
                <w:right w:val="none" w:sz="0" w:space="0" w:color="auto"/>
              </w:divBdr>
            </w:div>
          </w:divsChild>
        </w:div>
        <w:div w:id="1293633088">
          <w:marLeft w:val="0"/>
          <w:marRight w:val="0"/>
          <w:marTop w:val="0"/>
          <w:marBottom w:val="0"/>
          <w:divBdr>
            <w:top w:val="none" w:sz="0" w:space="0" w:color="auto"/>
            <w:left w:val="none" w:sz="0" w:space="0" w:color="auto"/>
            <w:bottom w:val="none" w:sz="0" w:space="0" w:color="auto"/>
            <w:right w:val="none" w:sz="0" w:space="0" w:color="auto"/>
          </w:divBdr>
          <w:divsChild>
            <w:div w:id="60910174">
              <w:marLeft w:val="0"/>
              <w:marRight w:val="0"/>
              <w:marTop w:val="0"/>
              <w:marBottom w:val="0"/>
              <w:divBdr>
                <w:top w:val="none" w:sz="0" w:space="0" w:color="auto"/>
                <w:left w:val="none" w:sz="0" w:space="0" w:color="auto"/>
                <w:bottom w:val="none" w:sz="0" w:space="0" w:color="auto"/>
                <w:right w:val="none" w:sz="0" w:space="0" w:color="auto"/>
              </w:divBdr>
            </w:div>
          </w:divsChild>
        </w:div>
        <w:div w:id="683944299">
          <w:marLeft w:val="0"/>
          <w:marRight w:val="0"/>
          <w:marTop w:val="0"/>
          <w:marBottom w:val="0"/>
          <w:divBdr>
            <w:top w:val="none" w:sz="0" w:space="0" w:color="auto"/>
            <w:left w:val="none" w:sz="0" w:space="0" w:color="auto"/>
            <w:bottom w:val="none" w:sz="0" w:space="0" w:color="auto"/>
            <w:right w:val="none" w:sz="0" w:space="0" w:color="auto"/>
          </w:divBdr>
          <w:divsChild>
            <w:div w:id="757289610">
              <w:marLeft w:val="0"/>
              <w:marRight w:val="0"/>
              <w:marTop w:val="0"/>
              <w:marBottom w:val="0"/>
              <w:divBdr>
                <w:top w:val="none" w:sz="0" w:space="0" w:color="auto"/>
                <w:left w:val="none" w:sz="0" w:space="0" w:color="auto"/>
                <w:bottom w:val="none" w:sz="0" w:space="0" w:color="auto"/>
                <w:right w:val="none" w:sz="0" w:space="0" w:color="auto"/>
              </w:divBdr>
            </w:div>
          </w:divsChild>
        </w:div>
        <w:div w:id="184101602">
          <w:marLeft w:val="0"/>
          <w:marRight w:val="0"/>
          <w:marTop w:val="0"/>
          <w:marBottom w:val="0"/>
          <w:divBdr>
            <w:top w:val="none" w:sz="0" w:space="0" w:color="auto"/>
            <w:left w:val="none" w:sz="0" w:space="0" w:color="auto"/>
            <w:bottom w:val="none" w:sz="0" w:space="0" w:color="auto"/>
            <w:right w:val="none" w:sz="0" w:space="0" w:color="auto"/>
          </w:divBdr>
          <w:divsChild>
            <w:div w:id="1960406174">
              <w:marLeft w:val="0"/>
              <w:marRight w:val="0"/>
              <w:marTop w:val="0"/>
              <w:marBottom w:val="0"/>
              <w:divBdr>
                <w:top w:val="none" w:sz="0" w:space="0" w:color="auto"/>
                <w:left w:val="none" w:sz="0" w:space="0" w:color="auto"/>
                <w:bottom w:val="none" w:sz="0" w:space="0" w:color="auto"/>
                <w:right w:val="none" w:sz="0" w:space="0" w:color="auto"/>
              </w:divBdr>
            </w:div>
          </w:divsChild>
        </w:div>
        <w:div w:id="1345978567">
          <w:marLeft w:val="0"/>
          <w:marRight w:val="0"/>
          <w:marTop w:val="0"/>
          <w:marBottom w:val="0"/>
          <w:divBdr>
            <w:top w:val="none" w:sz="0" w:space="0" w:color="auto"/>
            <w:left w:val="none" w:sz="0" w:space="0" w:color="auto"/>
            <w:bottom w:val="none" w:sz="0" w:space="0" w:color="auto"/>
            <w:right w:val="none" w:sz="0" w:space="0" w:color="auto"/>
          </w:divBdr>
          <w:divsChild>
            <w:div w:id="914779599">
              <w:marLeft w:val="0"/>
              <w:marRight w:val="0"/>
              <w:marTop w:val="0"/>
              <w:marBottom w:val="0"/>
              <w:divBdr>
                <w:top w:val="none" w:sz="0" w:space="0" w:color="auto"/>
                <w:left w:val="none" w:sz="0" w:space="0" w:color="auto"/>
                <w:bottom w:val="none" w:sz="0" w:space="0" w:color="auto"/>
                <w:right w:val="none" w:sz="0" w:space="0" w:color="auto"/>
              </w:divBdr>
            </w:div>
          </w:divsChild>
        </w:div>
        <w:div w:id="81265421">
          <w:marLeft w:val="0"/>
          <w:marRight w:val="0"/>
          <w:marTop w:val="0"/>
          <w:marBottom w:val="0"/>
          <w:divBdr>
            <w:top w:val="none" w:sz="0" w:space="0" w:color="auto"/>
            <w:left w:val="none" w:sz="0" w:space="0" w:color="auto"/>
            <w:bottom w:val="none" w:sz="0" w:space="0" w:color="auto"/>
            <w:right w:val="none" w:sz="0" w:space="0" w:color="auto"/>
          </w:divBdr>
          <w:divsChild>
            <w:div w:id="1534659668">
              <w:marLeft w:val="0"/>
              <w:marRight w:val="0"/>
              <w:marTop w:val="0"/>
              <w:marBottom w:val="0"/>
              <w:divBdr>
                <w:top w:val="none" w:sz="0" w:space="0" w:color="auto"/>
                <w:left w:val="none" w:sz="0" w:space="0" w:color="auto"/>
                <w:bottom w:val="none" w:sz="0" w:space="0" w:color="auto"/>
                <w:right w:val="none" w:sz="0" w:space="0" w:color="auto"/>
              </w:divBdr>
            </w:div>
          </w:divsChild>
        </w:div>
        <w:div w:id="226384083">
          <w:marLeft w:val="0"/>
          <w:marRight w:val="0"/>
          <w:marTop w:val="0"/>
          <w:marBottom w:val="0"/>
          <w:divBdr>
            <w:top w:val="none" w:sz="0" w:space="0" w:color="auto"/>
            <w:left w:val="none" w:sz="0" w:space="0" w:color="auto"/>
            <w:bottom w:val="none" w:sz="0" w:space="0" w:color="auto"/>
            <w:right w:val="none" w:sz="0" w:space="0" w:color="auto"/>
          </w:divBdr>
          <w:divsChild>
            <w:div w:id="280057">
              <w:marLeft w:val="0"/>
              <w:marRight w:val="0"/>
              <w:marTop w:val="0"/>
              <w:marBottom w:val="0"/>
              <w:divBdr>
                <w:top w:val="none" w:sz="0" w:space="0" w:color="auto"/>
                <w:left w:val="none" w:sz="0" w:space="0" w:color="auto"/>
                <w:bottom w:val="none" w:sz="0" w:space="0" w:color="auto"/>
                <w:right w:val="none" w:sz="0" w:space="0" w:color="auto"/>
              </w:divBdr>
            </w:div>
          </w:divsChild>
        </w:div>
        <w:div w:id="1657340108">
          <w:marLeft w:val="0"/>
          <w:marRight w:val="0"/>
          <w:marTop w:val="0"/>
          <w:marBottom w:val="0"/>
          <w:divBdr>
            <w:top w:val="none" w:sz="0" w:space="0" w:color="auto"/>
            <w:left w:val="none" w:sz="0" w:space="0" w:color="auto"/>
            <w:bottom w:val="none" w:sz="0" w:space="0" w:color="auto"/>
            <w:right w:val="none" w:sz="0" w:space="0" w:color="auto"/>
          </w:divBdr>
          <w:divsChild>
            <w:div w:id="1200705327">
              <w:marLeft w:val="0"/>
              <w:marRight w:val="0"/>
              <w:marTop w:val="0"/>
              <w:marBottom w:val="0"/>
              <w:divBdr>
                <w:top w:val="none" w:sz="0" w:space="0" w:color="auto"/>
                <w:left w:val="none" w:sz="0" w:space="0" w:color="auto"/>
                <w:bottom w:val="none" w:sz="0" w:space="0" w:color="auto"/>
                <w:right w:val="none" w:sz="0" w:space="0" w:color="auto"/>
              </w:divBdr>
            </w:div>
          </w:divsChild>
        </w:div>
        <w:div w:id="1600913676">
          <w:marLeft w:val="0"/>
          <w:marRight w:val="0"/>
          <w:marTop w:val="0"/>
          <w:marBottom w:val="0"/>
          <w:divBdr>
            <w:top w:val="none" w:sz="0" w:space="0" w:color="auto"/>
            <w:left w:val="none" w:sz="0" w:space="0" w:color="auto"/>
            <w:bottom w:val="none" w:sz="0" w:space="0" w:color="auto"/>
            <w:right w:val="none" w:sz="0" w:space="0" w:color="auto"/>
          </w:divBdr>
          <w:divsChild>
            <w:div w:id="171531368">
              <w:marLeft w:val="0"/>
              <w:marRight w:val="0"/>
              <w:marTop w:val="0"/>
              <w:marBottom w:val="0"/>
              <w:divBdr>
                <w:top w:val="none" w:sz="0" w:space="0" w:color="auto"/>
                <w:left w:val="none" w:sz="0" w:space="0" w:color="auto"/>
                <w:bottom w:val="none" w:sz="0" w:space="0" w:color="auto"/>
                <w:right w:val="none" w:sz="0" w:space="0" w:color="auto"/>
              </w:divBdr>
            </w:div>
            <w:div w:id="876891194">
              <w:marLeft w:val="0"/>
              <w:marRight w:val="0"/>
              <w:marTop w:val="0"/>
              <w:marBottom w:val="0"/>
              <w:divBdr>
                <w:top w:val="none" w:sz="0" w:space="0" w:color="auto"/>
                <w:left w:val="none" w:sz="0" w:space="0" w:color="auto"/>
                <w:bottom w:val="none" w:sz="0" w:space="0" w:color="auto"/>
                <w:right w:val="none" w:sz="0" w:space="0" w:color="auto"/>
              </w:divBdr>
            </w:div>
          </w:divsChild>
        </w:div>
        <w:div w:id="413361358">
          <w:marLeft w:val="0"/>
          <w:marRight w:val="0"/>
          <w:marTop w:val="0"/>
          <w:marBottom w:val="0"/>
          <w:divBdr>
            <w:top w:val="none" w:sz="0" w:space="0" w:color="auto"/>
            <w:left w:val="none" w:sz="0" w:space="0" w:color="auto"/>
            <w:bottom w:val="none" w:sz="0" w:space="0" w:color="auto"/>
            <w:right w:val="none" w:sz="0" w:space="0" w:color="auto"/>
          </w:divBdr>
          <w:divsChild>
            <w:div w:id="713770049">
              <w:marLeft w:val="0"/>
              <w:marRight w:val="0"/>
              <w:marTop w:val="0"/>
              <w:marBottom w:val="0"/>
              <w:divBdr>
                <w:top w:val="none" w:sz="0" w:space="0" w:color="auto"/>
                <w:left w:val="none" w:sz="0" w:space="0" w:color="auto"/>
                <w:bottom w:val="none" w:sz="0" w:space="0" w:color="auto"/>
                <w:right w:val="none" w:sz="0" w:space="0" w:color="auto"/>
              </w:divBdr>
            </w:div>
          </w:divsChild>
        </w:div>
        <w:div w:id="161825008">
          <w:marLeft w:val="0"/>
          <w:marRight w:val="0"/>
          <w:marTop w:val="0"/>
          <w:marBottom w:val="0"/>
          <w:divBdr>
            <w:top w:val="none" w:sz="0" w:space="0" w:color="auto"/>
            <w:left w:val="none" w:sz="0" w:space="0" w:color="auto"/>
            <w:bottom w:val="none" w:sz="0" w:space="0" w:color="auto"/>
            <w:right w:val="none" w:sz="0" w:space="0" w:color="auto"/>
          </w:divBdr>
          <w:divsChild>
            <w:div w:id="1213999681">
              <w:marLeft w:val="0"/>
              <w:marRight w:val="0"/>
              <w:marTop w:val="0"/>
              <w:marBottom w:val="0"/>
              <w:divBdr>
                <w:top w:val="none" w:sz="0" w:space="0" w:color="auto"/>
                <w:left w:val="none" w:sz="0" w:space="0" w:color="auto"/>
                <w:bottom w:val="none" w:sz="0" w:space="0" w:color="auto"/>
                <w:right w:val="none" w:sz="0" w:space="0" w:color="auto"/>
              </w:divBdr>
            </w:div>
          </w:divsChild>
        </w:div>
        <w:div w:id="998268855">
          <w:marLeft w:val="0"/>
          <w:marRight w:val="0"/>
          <w:marTop w:val="0"/>
          <w:marBottom w:val="0"/>
          <w:divBdr>
            <w:top w:val="none" w:sz="0" w:space="0" w:color="auto"/>
            <w:left w:val="none" w:sz="0" w:space="0" w:color="auto"/>
            <w:bottom w:val="none" w:sz="0" w:space="0" w:color="auto"/>
            <w:right w:val="none" w:sz="0" w:space="0" w:color="auto"/>
          </w:divBdr>
          <w:divsChild>
            <w:div w:id="1233157344">
              <w:marLeft w:val="0"/>
              <w:marRight w:val="0"/>
              <w:marTop w:val="0"/>
              <w:marBottom w:val="0"/>
              <w:divBdr>
                <w:top w:val="none" w:sz="0" w:space="0" w:color="auto"/>
                <w:left w:val="none" w:sz="0" w:space="0" w:color="auto"/>
                <w:bottom w:val="none" w:sz="0" w:space="0" w:color="auto"/>
                <w:right w:val="none" w:sz="0" w:space="0" w:color="auto"/>
              </w:divBdr>
            </w:div>
          </w:divsChild>
        </w:div>
        <w:div w:id="851185215">
          <w:marLeft w:val="0"/>
          <w:marRight w:val="0"/>
          <w:marTop w:val="0"/>
          <w:marBottom w:val="0"/>
          <w:divBdr>
            <w:top w:val="none" w:sz="0" w:space="0" w:color="auto"/>
            <w:left w:val="none" w:sz="0" w:space="0" w:color="auto"/>
            <w:bottom w:val="none" w:sz="0" w:space="0" w:color="auto"/>
            <w:right w:val="none" w:sz="0" w:space="0" w:color="auto"/>
          </w:divBdr>
          <w:divsChild>
            <w:div w:id="654652901">
              <w:marLeft w:val="0"/>
              <w:marRight w:val="0"/>
              <w:marTop w:val="0"/>
              <w:marBottom w:val="0"/>
              <w:divBdr>
                <w:top w:val="none" w:sz="0" w:space="0" w:color="auto"/>
                <w:left w:val="none" w:sz="0" w:space="0" w:color="auto"/>
                <w:bottom w:val="none" w:sz="0" w:space="0" w:color="auto"/>
                <w:right w:val="none" w:sz="0" w:space="0" w:color="auto"/>
              </w:divBdr>
            </w:div>
          </w:divsChild>
        </w:div>
        <w:div w:id="1203521691">
          <w:marLeft w:val="0"/>
          <w:marRight w:val="0"/>
          <w:marTop w:val="0"/>
          <w:marBottom w:val="0"/>
          <w:divBdr>
            <w:top w:val="none" w:sz="0" w:space="0" w:color="auto"/>
            <w:left w:val="none" w:sz="0" w:space="0" w:color="auto"/>
            <w:bottom w:val="none" w:sz="0" w:space="0" w:color="auto"/>
            <w:right w:val="none" w:sz="0" w:space="0" w:color="auto"/>
          </w:divBdr>
          <w:divsChild>
            <w:div w:id="368798703">
              <w:marLeft w:val="0"/>
              <w:marRight w:val="0"/>
              <w:marTop w:val="0"/>
              <w:marBottom w:val="0"/>
              <w:divBdr>
                <w:top w:val="none" w:sz="0" w:space="0" w:color="auto"/>
                <w:left w:val="none" w:sz="0" w:space="0" w:color="auto"/>
                <w:bottom w:val="none" w:sz="0" w:space="0" w:color="auto"/>
                <w:right w:val="none" w:sz="0" w:space="0" w:color="auto"/>
              </w:divBdr>
            </w:div>
          </w:divsChild>
        </w:div>
        <w:div w:id="166604195">
          <w:marLeft w:val="0"/>
          <w:marRight w:val="0"/>
          <w:marTop w:val="0"/>
          <w:marBottom w:val="0"/>
          <w:divBdr>
            <w:top w:val="none" w:sz="0" w:space="0" w:color="auto"/>
            <w:left w:val="none" w:sz="0" w:space="0" w:color="auto"/>
            <w:bottom w:val="none" w:sz="0" w:space="0" w:color="auto"/>
            <w:right w:val="none" w:sz="0" w:space="0" w:color="auto"/>
          </w:divBdr>
          <w:divsChild>
            <w:div w:id="275908440">
              <w:marLeft w:val="0"/>
              <w:marRight w:val="0"/>
              <w:marTop w:val="0"/>
              <w:marBottom w:val="0"/>
              <w:divBdr>
                <w:top w:val="none" w:sz="0" w:space="0" w:color="auto"/>
                <w:left w:val="none" w:sz="0" w:space="0" w:color="auto"/>
                <w:bottom w:val="none" w:sz="0" w:space="0" w:color="auto"/>
                <w:right w:val="none" w:sz="0" w:space="0" w:color="auto"/>
              </w:divBdr>
            </w:div>
            <w:div w:id="938174920">
              <w:marLeft w:val="0"/>
              <w:marRight w:val="0"/>
              <w:marTop w:val="0"/>
              <w:marBottom w:val="0"/>
              <w:divBdr>
                <w:top w:val="none" w:sz="0" w:space="0" w:color="auto"/>
                <w:left w:val="none" w:sz="0" w:space="0" w:color="auto"/>
                <w:bottom w:val="none" w:sz="0" w:space="0" w:color="auto"/>
                <w:right w:val="none" w:sz="0" w:space="0" w:color="auto"/>
              </w:divBdr>
            </w:div>
            <w:div w:id="1422264648">
              <w:marLeft w:val="0"/>
              <w:marRight w:val="0"/>
              <w:marTop w:val="0"/>
              <w:marBottom w:val="0"/>
              <w:divBdr>
                <w:top w:val="none" w:sz="0" w:space="0" w:color="auto"/>
                <w:left w:val="none" w:sz="0" w:space="0" w:color="auto"/>
                <w:bottom w:val="none" w:sz="0" w:space="0" w:color="auto"/>
                <w:right w:val="none" w:sz="0" w:space="0" w:color="auto"/>
              </w:divBdr>
            </w:div>
          </w:divsChild>
        </w:div>
        <w:div w:id="2108453588">
          <w:marLeft w:val="0"/>
          <w:marRight w:val="0"/>
          <w:marTop w:val="0"/>
          <w:marBottom w:val="0"/>
          <w:divBdr>
            <w:top w:val="none" w:sz="0" w:space="0" w:color="auto"/>
            <w:left w:val="none" w:sz="0" w:space="0" w:color="auto"/>
            <w:bottom w:val="none" w:sz="0" w:space="0" w:color="auto"/>
            <w:right w:val="none" w:sz="0" w:space="0" w:color="auto"/>
          </w:divBdr>
          <w:divsChild>
            <w:div w:id="1829248499">
              <w:marLeft w:val="0"/>
              <w:marRight w:val="0"/>
              <w:marTop w:val="0"/>
              <w:marBottom w:val="0"/>
              <w:divBdr>
                <w:top w:val="none" w:sz="0" w:space="0" w:color="auto"/>
                <w:left w:val="none" w:sz="0" w:space="0" w:color="auto"/>
                <w:bottom w:val="none" w:sz="0" w:space="0" w:color="auto"/>
                <w:right w:val="none" w:sz="0" w:space="0" w:color="auto"/>
              </w:divBdr>
            </w:div>
          </w:divsChild>
        </w:div>
        <w:div w:id="484669395">
          <w:marLeft w:val="0"/>
          <w:marRight w:val="0"/>
          <w:marTop w:val="0"/>
          <w:marBottom w:val="0"/>
          <w:divBdr>
            <w:top w:val="none" w:sz="0" w:space="0" w:color="auto"/>
            <w:left w:val="none" w:sz="0" w:space="0" w:color="auto"/>
            <w:bottom w:val="none" w:sz="0" w:space="0" w:color="auto"/>
            <w:right w:val="none" w:sz="0" w:space="0" w:color="auto"/>
          </w:divBdr>
          <w:divsChild>
            <w:div w:id="1367484947">
              <w:marLeft w:val="0"/>
              <w:marRight w:val="0"/>
              <w:marTop w:val="0"/>
              <w:marBottom w:val="0"/>
              <w:divBdr>
                <w:top w:val="none" w:sz="0" w:space="0" w:color="auto"/>
                <w:left w:val="none" w:sz="0" w:space="0" w:color="auto"/>
                <w:bottom w:val="none" w:sz="0" w:space="0" w:color="auto"/>
                <w:right w:val="none" w:sz="0" w:space="0" w:color="auto"/>
              </w:divBdr>
            </w:div>
          </w:divsChild>
        </w:div>
        <w:div w:id="2024896303">
          <w:marLeft w:val="0"/>
          <w:marRight w:val="0"/>
          <w:marTop w:val="0"/>
          <w:marBottom w:val="0"/>
          <w:divBdr>
            <w:top w:val="none" w:sz="0" w:space="0" w:color="auto"/>
            <w:left w:val="none" w:sz="0" w:space="0" w:color="auto"/>
            <w:bottom w:val="none" w:sz="0" w:space="0" w:color="auto"/>
            <w:right w:val="none" w:sz="0" w:space="0" w:color="auto"/>
          </w:divBdr>
          <w:divsChild>
            <w:div w:id="1929773249">
              <w:marLeft w:val="0"/>
              <w:marRight w:val="0"/>
              <w:marTop w:val="0"/>
              <w:marBottom w:val="0"/>
              <w:divBdr>
                <w:top w:val="none" w:sz="0" w:space="0" w:color="auto"/>
                <w:left w:val="none" w:sz="0" w:space="0" w:color="auto"/>
                <w:bottom w:val="none" w:sz="0" w:space="0" w:color="auto"/>
                <w:right w:val="none" w:sz="0" w:space="0" w:color="auto"/>
              </w:divBdr>
            </w:div>
          </w:divsChild>
        </w:div>
        <w:div w:id="2086948263">
          <w:marLeft w:val="0"/>
          <w:marRight w:val="0"/>
          <w:marTop w:val="0"/>
          <w:marBottom w:val="0"/>
          <w:divBdr>
            <w:top w:val="none" w:sz="0" w:space="0" w:color="auto"/>
            <w:left w:val="none" w:sz="0" w:space="0" w:color="auto"/>
            <w:bottom w:val="none" w:sz="0" w:space="0" w:color="auto"/>
            <w:right w:val="none" w:sz="0" w:space="0" w:color="auto"/>
          </w:divBdr>
          <w:divsChild>
            <w:div w:id="2043628202">
              <w:marLeft w:val="0"/>
              <w:marRight w:val="0"/>
              <w:marTop w:val="0"/>
              <w:marBottom w:val="0"/>
              <w:divBdr>
                <w:top w:val="none" w:sz="0" w:space="0" w:color="auto"/>
                <w:left w:val="none" w:sz="0" w:space="0" w:color="auto"/>
                <w:bottom w:val="none" w:sz="0" w:space="0" w:color="auto"/>
                <w:right w:val="none" w:sz="0" w:space="0" w:color="auto"/>
              </w:divBdr>
            </w:div>
          </w:divsChild>
        </w:div>
        <w:div w:id="15927408">
          <w:marLeft w:val="0"/>
          <w:marRight w:val="0"/>
          <w:marTop w:val="0"/>
          <w:marBottom w:val="0"/>
          <w:divBdr>
            <w:top w:val="none" w:sz="0" w:space="0" w:color="auto"/>
            <w:left w:val="none" w:sz="0" w:space="0" w:color="auto"/>
            <w:bottom w:val="none" w:sz="0" w:space="0" w:color="auto"/>
            <w:right w:val="none" w:sz="0" w:space="0" w:color="auto"/>
          </w:divBdr>
          <w:divsChild>
            <w:div w:id="296181510">
              <w:marLeft w:val="0"/>
              <w:marRight w:val="0"/>
              <w:marTop w:val="0"/>
              <w:marBottom w:val="0"/>
              <w:divBdr>
                <w:top w:val="none" w:sz="0" w:space="0" w:color="auto"/>
                <w:left w:val="none" w:sz="0" w:space="0" w:color="auto"/>
                <w:bottom w:val="none" w:sz="0" w:space="0" w:color="auto"/>
                <w:right w:val="none" w:sz="0" w:space="0" w:color="auto"/>
              </w:divBdr>
            </w:div>
          </w:divsChild>
        </w:div>
        <w:div w:id="294263007">
          <w:marLeft w:val="0"/>
          <w:marRight w:val="0"/>
          <w:marTop w:val="0"/>
          <w:marBottom w:val="0"/>
          <w:divBdr>
            <w:top w:val="none" w:sz="0" w:space="0" w:color="auto"/>
            <w:left w:val="none" w:sz="0" w:space="0" w:color="auto"/>
            <w:bottom w:val="none" w:sz="0" w:space="0" w:color="auto"/>
            <w:right w:val="none" w:sz="0" w:space="0" w:color="auto"/>
          </w:divBdr>
          <w:divsChild>
            <w:div w:id="1308628780">
              <w:marLeft w:val="0"/>
              <w:marRight w:val="0"/>
              <w:marTop w:val="0"/>
              <w:marBottom w:val="0"/>
              <w:divBdr>
                <w:top w:val="none" w:sz="0" w:space="0" w:color="auto"/>
                <w:left w:val="none" w:sz="0" w:space="0" w:color="auto"/>
                <w:bottom w:val="none" w:sz="0" w:space="0" w:color="auto"/>
                <w:right w:val="none" w:sz="0" w:space="0" w:color="auto"/>
              </w:divBdr>
            </w:div>
          </w:divsChild>
        </w:div>
        <w:div w:id="1298923651">
          <w:marLeft w:val="0"/>
          <w:marRight w:val="0"/>
          <w:marTop w:val="0"/>
          <w:marBottom w:val="0"/>
          <w:divBdr>
            <w:top w:val="none" w:sz="0" w:space="0" w:color="auto"/>
            <w:left w:val="none" w:sz="0" w:space="0" w:color="auto"/>
            <w:bottom w:val="none" w:sz="0" w:space="0" w:color="auto"/>
            <w:right w:val="none" w:sz="0" w:space="0" w:color="auto"/>
          </w:divBdr>
          <w:divsChild>
            <w:div w:id="854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1685">
      <w:bodyDiv w:val="1"/>
      <w:marLeft w:val="0"/>
      <w:marRight w:val="0"/>
      <w:marTop w:val="0"/>
      <w:marBottom w:val="0"/>
      <w:divBdr>
        <w:top w:val="none" w:sz="0" w:space="0" w:color="auto"/>
        <w:left w:val="none" w:sz="0" w:space="0" w:color="auto"/>
        <w:bottom w:val="none" w:sz="0" w:space="0" w:color="auto"/>
        <w:right w:val="none" w:sz="0" w:space="0" w:color="auto"/>
      </w:divBdr>
    </w:div>
    <w:div w:id="2114394531">
      <w:bodyDiv w:val="1"/>
      <w:marLeft w:val="0"/>
      <w:marRight w:val="0"/>
      <w:marTop w:val="0"/>
      <w:marBottom w:val="0"/>
      <w:divBdr>
        <w:top w:val="none" w:sz="0" w:space="0" w:color="auto"/>
        <w:left w:val="none" w:sz="0" w:space="0" w:color="auto"/>
        <w:bottom w:val="none" w:sz="0" w:space="0" w:color="auto"/>
        <w:right w:val="none" w:sz="0" w:space="0" w:color="auto"/>
      </w:divBdr>
    </w:div>
    <w:div w:id="2115903893">
      <w:bodyDiv w:val="1"/>
      <w:marLeft w:val="0"/>
      <w:marRight w:val="0"/>
      <w:marTop w:val="0"/>
      <w:marBottom w:val="0"/>
      <w:divBdr>
        <w:top w:val="none" w:sz="0" w:space="0" w:color="auto"/>
        <w:left w:val="none" w:sz="0" w:space="0" w:color="auto"/>
        <w:bottom w:val="none" w:sz="0" w:space="0" w:color="auto"/>
        <w:right w:val="none" w:sz="0" w:space="0" w:color="auto"/>
      </w:divBdr>
    </w:div>
    <w:div w:id="21280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dc.europa.eu/en/publications-data/campylobacteriosis-annual-epidemiological-report-2022" TargetMode="External"/><Relationship Id="rId21" Type="http://schemas.openxmlformats.org/officeDocument/2006/relationships/hyperlink" Target="https://www.ecdc.europa.eu/en/campylobacteriosis" TargetMode="External"/><Relationship Id="rId42" Type="http://schemas.openxmlformats.org/officeDocument/2006/relationships/hyperlink" Target="https://ecdc.europa.eu/en/publications-data/rapid-risk-assessment-hepatitis-outbreak-eueea-mostly-affecting-men-who-have-sex" TargetMode="External"/><Relationship Id="rId47" Type="http://schemas.openxmlformats.org/officeDocument/2006/relationships/hyperlink" Target="https://www.eurosurveillance.org/content/10.2807/1560-7917.ES.2024.29.7.2300266" TargetMode="External"/><Relationship Id="rId63" Type="http://schemas.openxmlformats.org/officeDocument/2006/relationships/hyperlink" Target="https://www.ecdc.europa.eu/en/publications-data/thirteenth-external-quality-assessment-salmonella-typing" TargetMode="External"/><Relationship Id="rId68" Type="http://schemas.openxmlformats.org/officeDocument/2006/relationships/hyperlink" Target="https://www.ecdc.europa.eu/sites/default/files/documents/ROA-Salmonella-Virchow-ST16-march-2023.pdf" TargetMode="External"/><Relationship Id="rId84" Type="http://schemas.openxmlformats.org/officeDocument/2006/relationships/hyperlink" Target="https://www.ecdc.europa.eu/sites/default/files/documents/STEC_AER_2022_Report.pdf" TargetMode="External"/><Relationship Id="rId89" Type="http://schemas.openxmlformats.org/officeDocument/2006/relationships/hyperlink" Target="http://www.ecdc.europa.eu/en/healthtopics/toxoplasmosis/Pages/index.aspx" TargetMode="External"/><Relationship Id="rId16" Type="http://schemas.openxmlformats.org/officeDocument/2006/relationships/hyperlink" Target="https://www.ecdc.europa.eu/sites/default/files/documents/BOTU_AER_2022_Report%20FINAL.pdf" TargetMode="External"/><Relationship Id="rId11" Type="http://schemas.openxmlformats.org/officeDocument/2006/relationships/footnotes" Target="footnotes.xml"/><Relationship Id="rId32" Type="http://schemas.openxmlformats.org/officeDocument/2006/relationships/hyperlink" Target="http://www.ecdc.europa.eu/en/healthtopics/cryptosporidiosis/Pages/index.aspx" TargetMode="External"/><Relationship Id="rId37" Type="http://schemas.openxmlformats.org/officeDocument/2006/relationships/hyperlink" Target="http://www.ecdc.europa.eu/en/healthtopics/giardiasis/Pages/index.aspx" TargetMode="External"/><Relationship Id="rId53" Type="http://schemas.openxmlformats.org/officeDocument/2006/relationships/hyperlink" Target="http://ecdc.europa.eu/sites/portal/files/documents/Listeria-WGA-2019.pdf" TargetMode="External"/><Relationship Id="rId58" Type="http://schemas.openxmlformats.org/officeDocument/2006/relationships/hyperlink" Target="http://www.ecdc.europa.eu/en/healthtopics/typhoid_paratyphoid_fever/pages/index.aspx" TargetMode="External"/><Relationship Id="rId74" Type="http://schemas.openxmlformats.org/officeDocument/2006/relationships/hyperlink" Target="https://www.ecdc.europa.eu/en/publications-data/fourth-external-quality-assessment-antimicrobial-susceptibility-testing-salmonella" TargetMode="External"/><Relationship Id="rId79" Type="http://schemas.openxmlformats.org/officeDocument/2006/relationships/hyperlink" Target="https://www.ecdc.europa.eu/en/publications-data/rapid-risk-assessment-increase-extensively-drug-resistant-shigella-sonnei"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ecdc.europa.eu/sites/default/files/documents/congenital-toxoplasmosis-annual-epidemiological-report-2021.pdf" TargetMode="External"/><Relationship Id="rId95" Type="http://schemas.openxmlformats.org/officeDocument/2006/relationships/hyperlink" Target="http://ecdc.europa.eu/en/healthtopics/Variant_Creutzfeldt-Jakob_disease(vCJD)/Pages/index.aspx" TargetMode="External"/><Relationship Id="rId22" Type="http://schemas.openxmlformats.org/officeDocument/2006/relationships/hyperlink" Target="https://www.ecdc.europa.eu/sites/default/files/documents/CAMP_AER_2022_final.pdf" TargetMode="External"/><Relationship Id="rId27" Type="http://schemas.openxmlformats.org/officeDocument/2006/relationships/hyperlink" Target="https://www.ecdc.europa.eu/en/publications-data/european-union-summary-report-antimicrobial-resistance-zoonotic-and-indicator-7" TargetMode="External"/><Relationship Id="rId43" Type="http://schemas.openxmlformats.org/officeDocument/2006/relationships/hyperlink" Target="https://ecdc.europa.eu/en/news-events/epidemiological-update-hepatitis-outbreak-eueea-mostly-affecting-men-who-have-sex-men-2" TargetMode="External"/><Relationship Id="rId48" Type="http://schemas.openxmlformats.org/officeDocument/2006/relationships/hyperlink" Target="http://www.ecdc.europa.eu/en/healthtopics/listeriosis/Pages/index.aspx" TargetMode="External"/><Relationship Id="rId64" Type="http://schemas.openxmlformats.org/officeDocument/2006/relationships/hyperlink" Target="https://www.ecdc.europa.eu/en/publications-data/fourth-external-quality-assessment-antimicrobial-susceptibility-testing-salmonella" TargetMode="External"/><Relationship Id="rId69" Type="http://schemas.openxmlformats.org/officeDocument/2006/relationships/hyperlink" Target="http://www.ecdc.europa.eu/en/healthtopics/salmonellosis/Pages/index.aspx" TargetMode="External"/><Relationship Id="rId80" Type="http://schemas.openxmlformats.org/officeDocument/2006/relationships/hyperlink" Target="http://www.ecdc.europa.eu/en/healthtopics/shigellosis/Pages/index.aspx" TargetMode="External"/><Relationship Id="rId85" Type="http://schemas.openxmlformats.org/officeDocument/2006/relationships/hyperlink" Target="https://efsa.onlinelibrary.wiley.com/doi/epdf/10.2903/j.efsa.2023.8442" TargetMode="External"/><Relationship Id="rId12" Type="http://schemas.openxmlformats.org/officeDocument/2006/relationships/endnotes" Target="endnotes.xml"/><Relationship Id="rId17" Type="http://schemas.openxmlformats.org/officeDocument/2006/relationships/hyperlink" Target="https://www.ecdc.europa.eu/en/news-events/botulism-iatrogenic-update-cases-europe-march-2023" TargetMode="External"/><Relationship Id="rId25" Type="http://schemas.openxmlformats.org/officeDocument/2006/relationships/hyperlink" Target="http://www.ecdc.europa.eu/en/healthtopics/campylobacteriosis/Pages/index.aspx" TargetMode="External"/><Relationship Id="rId33" Type="http://schemas.openxmlformats.org/officeDocument/2006/relationships/hyperlink" Target="https://www.ecdc.europa.eu/sites/default/files/documents/cryptosporidiosis-annual-epidemiological-report-2021.pdf" TargetMode="External"/><Relationship Id="rId38" Type="http://schemas.openxmlformats.org/officeDocument/2006/relationships/hyperlink" Target="http://www.ecdc.europa.eu/en/healthtopics/hepatitis_A/Pages/index.aspx" TargetMode="External"/><Relationship Id="rId46" Type="http://schemas.openxmlformats.org/officeDocument/2006/relationships/hyperlink" Target="https://www.ecdc.europa.eu/sites/default/files/documents/LEPT_AER_2022_Report.pdf" TargetMode="External"/><Relationship Id="rId59" Type="http://schemas.openxmlformats.org/officeDocument/2006/relationships/hyperlink" Target="https://www.ecdc.europa.eu/sites/default/files/documents/SALM_AER_2022_Report.pdf" TargetMode="External"/><Relationship Id="rId67" Type="http://schemas.openxmlformats.org/officeDocument/2006/relationships/hyperlink" Target="https://www.ecdc.europa.eu/sites/default/files/documents/ROA_S_Senftenberg-ST15_2023-FWD-00009.pdf" TargetMode="External"/><Relationship Id="rId103" Type="http://schemas.openxmlformats.org/officeDocument/2006/relationships/theme" Target="theme/theme1.xml"/><Relationship Id="rId20" Type="http://schemas.openxmlformats.org/officeDocument/2006/relationships/hyperlink" Target="https://www.ecdc.europa.eu/sites/default/files/documents/BRUC_AER_2022_Report.pdf" TargetMode="External"/><Relationship Id="rId41" Type="http://schemas.openxmlformats.org/officeDocument/2006/relationships/hyperlink" Target="https://www.ecdc.europa.eu/en/news-events/spread-hepatitis-virus-strains-genotype-ib-several-eu-countries-and-united-kingdom" TargetMode="External"/><Relationship Id="rId54" Type="http://schemas.openxmlformats.org/officeDocument/2006/relationships/hyperlink" Target="https://efsa.onlinelibrary.wiley.com/doi/pdf/10.2903/sp.efsa.2024.EN-8885" TargetMode="External"/><Relationship Id="rId62" Type="http://schemas.openxmlformats.org/officeDocument/2006/relationships/hyperlink" Target="https://efsa.onlinelibrary.wiley.com/doi/epdf/10.2903/j.efsa.2024.8583" TargetMode="External"/><Relationship Id="rId70" Type="http://schemas.openxmlformats.org/officeDocument/2006/relationships/hyperlink" Target="http://www.ecdc.europa.eu/en/healthtopics/typhoid_paratyphoid_fever/pages/index.aspx" TargetMode="External"/><Relationship Id="rId75" Type="http://schemas.openxmlformats.org/officeDocument/2006/relationships/hyperlink" Target="http://www.ecdc.europa.eu/en/healthtopics/shigellosis/Pages/index.aspx" TargetMode="External"/><Relationship Id="rId83" Type="http://schemas.openxmlformats.org/officeDocument/2006/relationships/hyperlink" Target="http://www.ecdc.europa.eu/en/healthtopics/escherichia_coli/Pages/index.aspx" TargetMode="External"/><Relationship Id="rId88" Type="http://schemas.openxmlformats.org/officeDocument/2006/relationships/hyperlink" Target="https://www.ecdc.europa.eu/sites/default/files/documents/RRA-E-coli-OXA-244-producing-E-coli-EU-EEA-UK-since-2013.pdf" TargetMode="External"/><Relationship Id="rId91" Type="http://schemas.openxmlformats.org/officeDocument/2006/relationships/hyperlink" Target="https://www.ecdc.europa.eu/sites/default/files/documents/EFS2_7666_Rev3.pdf" TargetMode="External"/><Relationship Id="rId96" Type="http://schemas.openxmlformats.org/officeDocument/2006/relationships/hyperlink" Target="https://www.ecdc.europa.eu/sites/default/files/documents/AER-vCJD-2021.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ecdc.europa.eu/en/healthtopics/botulism/Pages/index.aspx" TargetMode="External"/><Relationship Id="rId23" Type="http://schemas.openxmlformats.org/officeDocument/2006/relationships/hyperlink" Target="https://efsa.onlinelibrary.wiley.com/doi/epdf/10.2903/j.efsa.2023.8442" TargetMode="External"/><Relationship Id="rId28" Type="http://schemas.openxmlformats.org/officeDocument/2006/relationships/hyperlink" Target="https://www.ecdc.europa.eu/sites/default/files/documents/fourth-campylobacter-external-quality-ssessment.pdf" TargetMode="External"/><Relationship Id="rId36" Type="http://schemas.openxmlformats.org/officeDocument/2006/relationships/hyperlink" Target="https://efsa.onlinelibrary.wiley.com/doi/epdf/10.2903/j.efsa.2023.8442" TargetMode="External"/><Relationship Id="rId49" Type="http://schemas.openxmlformats.org/officeDocument/2006/relationships/hyperlink" Target="https://www.ecdc.europa.eu/sites/default/files/documents/LIST_AER_2022_Report.pdf" TargetMode="External"/><Relationship Id="rId57" Type="http://schemas.openxmlformats.org/officeDocument/2006/relationships/hyperlink" Target="http://www.ecdc.europa.eu/en/healthtopics/salmonellosis/Pages/index.aspx" TargetMode="External"/><Relationship Id="rId10" Type="http://schemas.openxmlformats.org/officeDocument/2006/relationships/webSettings" Target="webSettings.xml"/><Relationship Id="rId31" Type="http://schemas.openxmlformats.org/officeDocument/2006/relationships/hyperlink" Target="https://www.ecdc.europa.eu/en/all-topics-z/cholera/surveillance-and-disease-data/cholera-monthly" TargetMode="External"/><Relationship Id="rId44" Type="http://schemas.openxmlformats.org/officeDocument/2006/relationships/hyperlink" Target="https://ecdc.europa.eu/sites/portal/files/media/en/publications/Publications/hepatitis-a-virus-EU-EEA-1975-2014.pdf" TargetMode="External"/><Relationship Id="rId52" Type="http://schemas.openxmlformats.org/officeDocument/2006/relationships/hyperlink" Target="https://www.ecdc.europa.eu/sites/default/files/documents/European-listeria-typing-exercise-ELiTE-joint-report.pdf" TargetMode="External"/><Relationship Id="rId60" Type="http://schemas.openxmlformats.org/officeDocument/2006/relationships/hyperlink" Target="https://www.ecdc.europa.eu/sites/default/files/documents/AER-Typhoid-paratyphoid-2021.pdf" TargetMode="External"/><Relationship Id="rId65" Type="http://schemas.openxmlformats.org/officeDocument/2006/relationships/hyperlink" Target="https://www.ecdc.europa.eu/sites/default/files/documents/ROA_S.%20Mbandaka_2022-33-42_281122_final.pdf" TargetMode="External"/><Relationship Id="rId73" Type="http://schemas.openxmlformats.org/officeDocument/2006/relationships/hyperlink" Target="https://www.ecdc.europa.eu/en/publications-data/salmonellosis-annual-epidemiological-report-2022" TargetMode="External"/><Relationship Id="rId78" Type="http://schemas.openxmlformats.org/officeDocument/2006/relationships/hyperlink" Target="https://www.ecdc.europa.eu/sites/default/files/documents/shigella-sonnei-risk-assessment-february-2023.pdf" TargetMode="External"/><Relationship Id="rId81" Type="http://schemas.openxmlformats.org/officeDocument/2006/relationships/hyperlink" Target="https://www.ecdc.europa.eu/en/publications-data/shigellosis-annual-epidemiological-report-2022" TargetMode="External"/><Relationship Id="rId86" Type="http://schemas.openxmlformats.org/officeDocument/2006/relationships/hyperlink" Target="https://www.ecdc.europa.eu/en/publications-data/twelfth-external-quality-assessment-scheme-typing-shiga-toxin-producing" TargetMode="External"/><Relationship Id="rId94" Type="http://schemas.openxmlformats.org/officeDocument/2006/relationships/hyperlink" Target="https://efsa.onlinelibrary.wiley.com/doi/epdf/10.2903/j.efsa.2023.8442" TargetMode="External"/><Relationship Id="rId99" Type="http://schemas.openxmlformats.org/officeDocument/2006/relationships/hyperlink" Target="https://www.ecdc.europa.eu/sites/default/files/documents/YERS_AER_2022_Report.pdf"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ecdc.europa.eu/en/healthtopics/anthrax/Pages/index.aspx" TargetMode="External"/><Relationship Id="rId18" Type="http://schemas.openxmlformats.org/officeDocument/2006/relationships/hyperlink" Target="https://www.ecdc.europa.eu/en/news-events/botulism-cases-europe-following-medical-interventions-botulinum-neurotoxin" TargetMode="External"/><Relationship Id="rId39" Type="http://schemas.openxmlformats.org/officeDocument/2006/relationships/hyperlink" Target="https://www.ecdc.europa.eu/sites/default/files/documents/HEPA_AER_2022_Report.pdf" TargetMode="External"/><Relationship Id="rId34" Type="http://schemas.openxmlformats.org/officeDocument/2006/relationships/hyperlink" Target="http://www.ecdc.europa.eu/en/healthtopics/echinococcosis/Pages/index.aspx" TargetMode="External"/><Relationship Id="rId50" Type="http://schemas.openxmlformats.org/officeDocument/2006/relationships/hyperlink" Target="https://efsa.onlinelibrary.wiley.com/doi/epdf/10.2903/j.efsa.2023.8442" TargetMode="External"/><Relationship Id="rId55" Type="http://schemas.openxmlformats.org/officeDocument/2006/relationships/hyperlink" Target="https://www.ecdc.europa.eu/sites/default/files/documents/ROA_2023-FWD-00003-Lm-ST1607_DK.pdf" TargetMode="External"/><Relationship Id="rId76" Type="http://schemas.openxmlformats.org/officeDocument/2006/relationships/hyperlink" Target="https://www.ecdc.europa.eu/sites/default/files/documents/SHIG_AER_2022_Report.pdf" TargetMode="External"/><Relationship Id="rId97" Type="http://schemas.openxmlformats.org/officeDocument/2006/relationships/hyperlink" Target="https://www.ecdc.europa.eu/sites/default/files/documents/vCJD-blood-plasma-amended-version-July-2022-JD.pdf" TargetMode="External"/><Relationship Id="rId7" Type="http://schemas.openxmlformats.org/officeDocument/2006/relationships/numbering" Target="numbering.xml"/><Relationship Id="rId71" Type="http://schemas.openxmlformats.org/officeDocument/2006/relationships/hyperlink" Target="https://www.efsa.europa.eu/en/supporting/pub/en-7826" TargetMode="External"/><Relationship Id="rId92" Type="http://schemas.openxmlformats.org/officeDocument/2006/relationships/hyperlink" Target="http://www.ecdc.europa.eu/en/healthtopics/trichinellosis/Pages/index.aspx" TargetMode="External"/><Relationship Id="rId2" Type="http://schemas.openxmlformats.org/officeDocument/2006/relationships/customXml" Target="../customXml/item2.xml"/><Relationship Id="rId29" Type="http://schemas.openxmlformats.org/officeDocument/2006/relationships/hyperlink" Target="https://www.ecdc.europa.eu/en/cholera" TargetMode="External"/><Relationship Id="rId24" Type="http://schemas.openxmlformats.org/officeDocument/2006/relationships/hyperlink" Target="https://www.ecdc.europa.eu/sites/default/files/documents/fourth-campylobacter-external-quality-assessment.pdf" TargetMode="External"/><Relationship Id="rId40" Type="http://schemas.openxmlformats.org/officeDocument/2006/relationships/hyperlink" Target="https://www.eurosurveillance.org/content/10.2807/1560-7917.ES.2023.28.19.2200575" TargetMode="External"/><Relationship Id="rId45" Type="http://schemas.openxmlformats.org/officeDocument/2006/relationships/hyperlink" Target="http://www.ecdc.europa.eu/en/healthtopics/leptospirosis/Pages/index.aspx" TargetMode="External"/><Relationship Id="rId66" Type="http://schemas.openxmlformats.org/officeDocument/2006/relationships/hyperlink" Target="https://www.ecdc.europa.eu/sites/default/files/documents/ROA_S-Enteritidis-ST11_chicken-meat_2023_amended.pdf" TargetMode="External"/><Relationship Id="rId87" Type="http://schemas.openxmlformats.org/officeDocument/2006/relationships/hyperlink" Target="https://www.ecdc.europa.eu/sites/default/files/documents/OXA-244-producing-E-coli-in-EU-EEA-since-2013-first-update.pdf" TargetMode="External"/><Relationship Id="rId61" Type="http://schemas.openxmlformats.org/officeDocument/2006/relationships/hyperlink" Target="https://efsa.onlinelibrary.wiley.com/doi/epdf/10.2903/j.efsa.2023.8442" TargetMode="External"/><Relationship Id="rId82" Type="http://schemas.openxmlformats.org/officeDocument/2006/relationships/hyperlink" Target="https://www.ecdc.europa.eu/en/news-events/spread-multidrug-resistant-shigella-eueea-among-gay-bisexual-and-other-men-who-have-sex" TargetMode="External"/><Relationship Id="rId19" Type="http://schemas.openxmlformats.org/officeDocument/2006/relationships/hyperlink" Target="http://www.ecdc.europa.eu/en/healthtopics/brucellosis/Pages/index.aspx" TargetMode="External"/><Relationship Id="rId14" Type="http://schemas.openxmlformats.org/officeDocument/2006/relationships/hyperlink" Target="https://www.ecdc.europa.eu/sites/default/files/documents/anthrax-annual-epidemiological-report-for-2021.pdf" TargetMode="External"/><Relationship Id="rId30" Type="http://schemas.openxmlformats.org/officeDocument/2006/relationships/hyperlink" Target="https://www.ecdc.europa.eu/sites/default/files/documents/cholera-annual-epidemiological-report-2021.pdf" TargetMode="External"/><Relationship Id="rId35" Type="http://schemas.openxmlformats.org/officeDocument/2006/relationships/hyperlink" Target="https://www.ecdc.europa.eu/sites/default/files/documents/ECHI_AER_2022_Report.pdf" TargetMode="External"/><Relationship Id="rId56" Type="http://schemas.openxmlformats.org/officeDocument/2006/relationships/hyperlink" Target="https://www.ecdc.europa.eu/sites/default/files/documents/listeria-monocytogenes-ST155-infections-fish-products_0.pdf" TargetMode="External"/><Relationship Id="rId77" Type="http://schemas.openxmlformats.org/officeDocument/2006/relationships/hyperlink" Target="https://www.ecdc.europa.eu/en/news-events/spread-multidrug-resistant-shigella-eueea-among-gay-bisexual-and-other-men-who-have-sex" TargetMode="External"/><Relationship Id="rId100" Type="http://schemas.openxmlformats.org/officeDocument/2006/relationships/hyperlink" Target="https://efsa.onlinelibrary.wiley.com/doi/epdf/10.2903/j.efsa.2023.8442" TargetMode="External"/><Relationship Id="rId8" Type="http://schemas.openxmlformats.org/officeDocument/2006/relationships/styles" Target="styles.xml"/><Relationship Id="rId51" Type="http://schemas.openxmlformats.org/officeDocument/2006/relationships/hyperlink" Target="https://www.ecdc.europa.eu/sites/default/files/documents/Ninth-eqa-Listeria-monocytogenes-typing.pdf" TargetMode="External"/><Relationship Id="rId72" Type="http://schemas.openxmlformats.org/officeDocument/2006/relationships/hyperlink" Target="https://www.ecdc.europa.eu/en/publications-data/european-union-summary-report-antimicrobial-resistance-zoonotic-and-indicator-7" TargetMode="External"/><Relationship Id="rId93" Type="http://schemas.openxmlformats.org/officeDocument/2006/relationships/hyperlink" Target="https://www.ecdc.europa.eu/sites/default/files/documents/trichinellosis-annual-epidemiological-report-2022.pdf" TargetMode="External"/><Relationship Id="rId98" Type="http://schemas.openxmlformats.org/officeDocument/2006/relationships/hyperlink" Target="http://www.ecdc.europa.eu/en/healthtopics/yersiniosis/Pages/index.aspx"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PDF/?uri=CELEX:32018D0945&amp;from=EN" TargetMode="External"/><Relationship Id="rId18" Type="http://schemas.openxmlformats.org/officeDocument/2006/relationships/hyperlink" Target="https://ec.europa.eu/eurostat/web/main/home" TargetMode="External"/><Relationship Id="rId26" Type="http://schemas.openxmlformats.org/officeDocument/2006/relationships/hyperlink" Target="https://ecdc.europa.eu/en/publications-%20data/eu-protocol-harmonised-monitoring-antimicrobial-resistance-human-salmonella-and-0" TargetMode="External"/><Relationship Id="rId39" Type="http://schemas.openxmlformats.org/officeDocument/2006/relationships/hyperlink" Target="https://eur-lex.europa.eu/legal-content/EN/TXT/PDF/?uri=CELEX:32018D0945&amp;from=EN" TargetMode="External"/><Relationship Id="rId21" Type="http://schemas.openxmlformats.org/officeDocument/2006/relationships/hyperlink" Target="https://eur-lex.europa.eu/legal-content/EN/TXT/PDF/?uri=CELEX:32018D0945&amp;from=EN" TargetMode="External"/><Relationship Id="rId34" Type="http://schemas.openxmlformats.org/officeDocument/2006/relationships/hyperlink" Target="https://ec.europa.eu/eurostat/web/main/home" TargetMode="External"/><Relationship Id="rId7" Type="http://schemas.openxmlformats.org/officeDocument/2006/relationships/hyperlink" Target="https://ecdc.europa.eu/en/publications-%20data/eu-protocol-harmonised-monitoring-antimicrobial-resistance-human-salmonella-and-0" TargetMode="External"/><Relationship Id="rId2" Type="http://schemas.openxmlformats.org/officeDocument/2006/relationships/hyperlink" Target="https://eur-lex.europa.eu/legal-content/EN/TXT/PDF/?uri=CELEX:32018D0945&amp;from=EN" TargetMode="External"/><Relationship Id="rId16" Type="http://schemas.openxmlformats.org/officeDocument/2006/relationships/hyperlink" Target="https://ec.europa.eu/eurostat/web/main/home" TargetMode="External"/><Relationship Id="rId20" Type="http://schemas.openxmlformats.org/officeDocument/2006/relationships/hyperlink" Target="https://ec.europa.eu/eurostat/web/main/home" TargetMode="External"/><Relationship Id="rId29" Type="http://schemas.openxmlformats.org/officeDocument/2006/relationships/hyperlink" Target="https://ecdc.europa.eu/en/publications-%20data/eu-protocol-harmonised-monitoring-antimicrobial-resistance-human-salmonella-and-0" TargetMode="External"/><Relationship Id="rId41" Type="http://schemas.openxmlformats.org/officeDocument/2006/relationships/hyperlink" Target="https://ec.europa.eu/eurostat/web/main/home" TargetMode="External"/><Relationship Id="rId1" Type="http://schemas.openxmlformats.org/officeDocument/2006/relationships/hyperlink" Target="https://eur-lex.europa.eu/legal-content/EN/TXT/PDF/?uri=CELEX:32018D0945&amp;from=EN" TargetMode="External"/><Relationship Id="rId6" Type="http://schemas.openxmlformats.org/officeDocument/2006/relationships/hyperlink" Target="https://eur-lex.europa.eu/legal-content/EN/TXT/PDF/?uri=CELEX:32018D0945&amp;from=EN" TargetMode="External"/><Relationship Id="rId11" Type="http://schemas.openxmlformats.org/officeDocument/2006/relationships/hyperlink" Target="https://eur-lex.europa.eu/legal-content/EN/TXT/PDF/?uri=CELEX:32018D0945&amp;from=EN" TargetMode="External"/><Relationship Id="rId24" Type="http://schemas.openxmlformats.org/officeDocument/2006/relationships/hyperlink" Target="https://ec.europa.eu/eurostat/web/main/home" TargetMode="External"/><Relationship Id="rId32" Type="http://schemas.openxmlformats.org/officeDocument/2006/relationships/hyperlink" Target="https://eur-lex.europa.eu/legal-content/EN/TXT/PDF/?uri=CELEX:32018D0945&amp;from=EN" TargetMode="External"/><Relationship Id="rId37" Type="http://schemas.openxmlformats.org/officeDocument/2006/relationships/hyperlink" Target="https://eur-lex.europa.eu/legal-content/EN/TXT/PDF/?uri=CELEX:32018D0945&amp;from=EN" TargetMode="External"/><Relationship Id="rId40" Type="http://schemas.openxmlformats.org/officeDocument/2006/relationships/hyperlink" Target="https://eur-lex.europa.eu/legal-content/EN/TXT/PDF/?uri=CELEX:32018D0945&amp;from=EN" TargetMode="External"/><Relationship Id="rId5" Type="http://schemas.openxmlformats.org/officeDocument/2006/relationships/hyperlink" Target="https://ec.europa.eu/eurostat/web/main/home" TargetMode="External"/><Relationship Id="rId15" Type="http://schemas.openxmlformats.org/officeDocument/2006/relationships/hyperlink" Target="https://eur-lex.europa.eu/legal-content/EN/TXT/PDF/?uri=CELEX:32018D0945&amp;from=EN" TargetMode="External"/><Relationship Id="rId23" Type="http://schemas.openxmlformats.org/officeDocument/2006/relationships/hyperlink" Target="https://eur-lex.europa.eu/legal-content/EN/TXT/PDF/?uri=CELEX:32018D0945&amp;from=EN" TargetMode="External"/><Relationship Id="rId28" Type="http://schemas.openxmlformats.org/officeDocument/2006/relationships/hyperlink" Target="https://eur-lex.europa.eu/legal-content/EN/TXT/PDF/?uri=CELEX:32018D0945&amp;from=EN" TargetMode="External"/><Relationship Id="rId36" Type="http://schemas.openxmlformats.org/officeDocument/2006/relationships/hyperlink" Target="https://ec.europa.eu/eurostat/web/main/home" TargetMode="External"/><Relationship Id="rId10" Type="http://schemas.openxmlformats.org/officeDocument/2006/relationships/hyperlink" Target="https://ecdc.europa.eu/en/publications-%20data/eu-protocol-harmonised-monitoring-antimicrobial-resistance-human-salmonella-and-0" TargetMode="External"/><Relationship Id="rId19" Type="http://schemas.openxmlformats.org/officeDocument/2006/relationships/hyperlink" Target="https://eur-lex.europa.eu/legal-content/EN/TXT/PDF/?uri=CELEX:32018D0945&amp;from=EN" TargetMode="External"/><Relationship Id="rId31" Type="http://schemas.openxmlformats.org/officeDocument/2006/relationships/hyperlink" Target="https://ec.europa.eu/eurostat/web/main/home" TargetMode="External"/><Relationship Id="rId4" Type="http://schemas.openxmlformats.org/officeDocument/2006/relationships/hyperlink" Target="https://eur-lex.europa.eu/legal-content/EN/TXT/PDF/?uri=CELEX:32018D0945&amp;from=EN" TargetMode="External"/><Relationship Id="rId9" Type="http://schemas.openxmlformats.org/officeDocument/2006/relationships/hyperlink" Target="https://eur-lex.europa.eu/legal-content/EN/TXT/PDF/?uri=CELEX:32018D0945&amp;from=EN" TargetMode="External"/><Relationship Id="rId14" Type="http://schemas.openxmlformats.org/officeDocument/2006/relationships/hyperlink" Target="https://ec.europa.eu/eurostat/web/main/home" TargetMode="External"/><Relationship Id="rId22" Type="http://schemas.openxmlformats.org/officeDocument/2006/relationships/hyperlink" Target="https://ec.europa.eu/eurostat/web/main/home" TargetMode="External"/><Relationship Id="rId27" Type="http://schemas.openxmlformats.org/officeDocument/2006/relationships/hyperlink" Target="https://ec.europa.eu/eurostat/web/main/home" TargetMode="External"/><Relationship Id="rId30" Type="http://schemas.openxmlformats.org/officeDocument/2006/relationships/hyperlink" Target="https://eur-lex.europa.eu/legal-content/EN/TXT/PDF/?uri=CELEX:32018D0945&amp;from=EN" TargetMode="External"/><Relationship Id="rId35" Type="http://schemas.openxmlformats.org/officeDocument/2006/relationships/hyperlink" Target="https://eur-lex.europa.eu/legal-content/EN/TXT/PDF/?uri=CELEX:32018D0945&amp;from=EN" TargetMode="External"/><Relationship Id="rId8" Type="http://schemas.openxmlformats.org/officeDocument/2006/relationships/hyperlink" Target="https://ec.europa.eu/eurostat/web/main/home" TargetMode="External"/><Relationship Id="rId3" Type="http://schemas.openxmlformats.org/officeDocument/2006/relationships/hyperlink" Target="https://ec.europa.eu/eurostat/web/main/home" TargetMode="External"/><Relationship Id="rId12" Type="http://schemas.openxmlformats.org/officeDocument/2006/relationships/hyperlink" Target="https://ec.europa.eu/eurostat/web/main/home" TargetMode="External"/><Relationship Id="rId17" Type="http://schemas.openxmlformats.org/officeDocument/2006/relationships/hyperlink" Target="https://eur-lex.europa.eu/legal-content/EN/TXT/PDF/?uri=CELEX:32018D0945&amp;from=EN" TargetMode="External"/><Relationship Id="rId25" Type="http://schemas.openxmlformats.org/officeDocument/2006/relationships/hyperlink" Target="https://eur-lex.europa.eu/legal-content/EN/TXT/PDF/?uri=CELEX:32018D0945&amp;from=EN" TargetMode="External"/><Relationship Id="rId33" Type="http://schemas.openxmlformats.org/officeDocument/2006/relationships/hyperlink" Target="https://eur-lex.europa.eu/legal-content/EN/TXT/PDF/?uri=CELEX:32018D0945&amp;from=EN" TargetMode="External"/><Relationship Id="rId38" Type="http://schemas.openxmlformats.org/officeDocument/2006/relationships/hyperlink" Target="https://ec.europa.eu/eurostat/web/main/home" TargetMode="Externa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68BEDE18BC20DD46BFA0F3F218DAE1CB" ma:contentTypeVersion="45" ma:contentTypeDescription="Create a new document." ma:contentTypeScope="" ma:versionID="1b9d4c4e046ea33e8834a91ae78df665">
  <xsd:schema xmlns:xsd="http://www.w3.org/2001/XMLSchema" xmlns:xs="http://www.w3.org/2001/XMLSchema" xmlns:p="http://schemas.microsoft.com/office/2006/metadata/properties" xmlns:ns2="4240f11c-4df2-4a37-9be1-bdf0d4dfc218" xmlns:ns3="fe73b3f6-a427-4a99-886e-da32c6de835d" xmlns:ns4="2660229a-066c-4e45-9096-cf4438d90629" xmlns:ns5="ab41e61d-5c9e-45fe-9fd9-c0fcfa543eb0" targetNamespace="http://schemas.microsoft.com/office/2006/metadata/properties" ma:root="true" ma:fieldsID="bbddfe4b5764e8305b69afb792a4cf10" ns2:_="" ns3:_="" ns4:_="" ns5:_="">
    <xsd:import namespace="4240f11c-4df2-4a37-9be1-bdf0d4dfc218"/>
    <xsd:import namespace="fe73b3f6-a427-4a99-886e-da32c6de835d"/>
    <xsd:import namespace="2660229a-066c-4e45-9096-cf4438d90629"/>
    <xsd:import namespace="ab41e61d-5c9e-45fe-9fd9-c0fcfa543eb0"/>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MediaServiceDateTaken" minOccurs="0"/>
                <xsd:element ref="ns4:MediaServiceLocation" minOccurs="0"/>
                <xsd:element ref="ns4:MediaServiceOCR" minOccurs="0"/>
                <xsd:element ref="ns4:MediaLengthInSeconds" minOccurs="0"/>
                <xsd:element ref="ns5:_dlc_DocId" minOccurs="0"/>
                <xsd:element ref="ns5:_dlc_DocIdUrl" minOccurs="0"/>
                <xsd:element ref="ns5: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477;#Disease programmes|cee751c4-2d26-4b69-8170-8cbaaf007eb4"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ec4b49f-dfbc-4de9-baae-82bfdb554f98}" ma:internalName="TaxCatchAll" ma:showField="CatchAllData" ma:web="ab41e61d-5c9e-45fe-9fd9-c0fcfa543e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ec4b49f-dfbc-4de9-baae-82bfdb554f98}" ma:internalName="TaxCatchAllLabel" ma:readOnly="true" ma:showField="CatchAllDataLabel" ma:web="ab41e61d-5c9e-45fe-9fd9-c0fcfa543eb0">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60229a-066c-4e45-9096-cf4438d90629" elementFormDefault="qualified">
    <xsd:import namespace="http://schemas.microsoft.com/office/2006/documentManagement/types"/>
    <xsd:import namespace="http://schemas.microsoft.com/office/infopath/2007/PartnerControls"/>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1e61d-5c9e-45fe-9fd9-c0fcfa543eb0"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fe73b3f6-a427-4a99-886e-da32c6de835d">
      <Value>2</Value>
      <Value>1</Value>
      <Value>421</Value>
    </TaxCatchAll>
    <_dlc_DocId xmlns="ab41e61d-5c9e-45fe-9fd9-c0fcfa543eb0">IORGFWD-1269908465-24918</_dlc_DocId>
    <_dlc_DocIdPersistId xmlns="ab41e61d-5c9e-45fe-9fd9-c0fcfa543eb0">false</_dlc_DocIdPersistId>
    <_dlc_DocIdUrl xmlns="ab41e61d-5c9e-45fe-9fd9-c0fcfa543eb0">
      <Url>https://ecdc365.sharepoint.com/teams/iorg_dpr_fwd/_layouts/15/DocIdRedir.aspx?ID=IORGFWD-1269908465-24918</Url>
      <Description>IORGFWD-1269908465-24918</Description>
    </_dlc_DocIdUrl>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111e9faa-cbfa-4795-a77a-8126f9ae4d15</TermId>
        </TermInfo>
      </Terms>
    </c67668d6730c4bc2a26c654fc875ab99>
    <na274824997947589a1bfdfb0b645b50 xmlns="fe73b3f6-a427-4a99-886e-da32c6de835d">
      <Terms xmlns="http://schemas.microsoft.com/office/infopath/2007/PartnerControls"/>
    </na274824997947589a1bfdfb0b645b50>
    <ECMX_OPERATIONALID xmlns="4240f11c-4df2-4a37-9be1-bdf0d4dfc218" xsi:nil="true"/>
  </documentManagement>
</p:properties>
</file>

<file path=customXml/item6.xml><?xml version="1.0" encoding="utf-8"?>
<?mso-contentType ?>
<SharedContentType xmlns="Microsoft.SharePoint.Taxonomy.ContentTypeSync" SourceId="14c281f0-fdb2-43d6-8bd5-8268950107ba" ContentTypeId="0x010100EE95EE7DB3A482488E68FA4A7091999F" PreviousValue="false"/>
</file>

<file path=customXml/itemProps1.xml><?xml version="1.0" encoding="utf-8"?>
<ds:datastoreItem xmlns:ds="http://schemas.openxmlformats.org/officeDocument/2006/customXml" ds:itemID="{F0ACE9A3-79D4-4FDA-8575-DE02FA6E6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2660229a-066c-4e45-9096-cf4438d90629"/>
    <ds:schemaRef ds:uri="ab41e61d-5c9e-45fe-9fd9-c0fcfa54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58DAB-6D9E-422D-B2ED-95188AF3FA08}">
  <ds:schemaRefs>
    <ds:schemaRef ds:uri="http://schemas.openxmlformats.org/officeDocument/2006/bibliography"/>
  </ds:schemaRefs>
</ds:datastoreItem>
</file>

<file path=customXml/itemProps3.xml><?xml version="1.0" encoding="utf-8"?>
<ds:datastoreItem xmlns:ds="http://schemas.openxmlformats.org/officeDocument/2006/customXml" ds:itemID="{B86E6451-1984-4AC8-92E0-DD2F6BF7361E}">
  <ds:schemaRefs>
    <ds:schemaRef ds:uri="http://schemas.microsoft.com/sharepoint/v3/contenttype/forms"/>
  </ds:schemaRefs>
</ds:datastoreItem>
</file>

<file path=customXml/itemProps4.xml><?xml version="1.0" encoding="utf-8"?>
<ds:datastoreItem xmlns:ds="http://schemas.openxmlformats.org/officeDocument/2006/customXml" ds:itemID="{13045880-2827-4AD2-9C56-55FB74549780}">
  <ds:schemaRefs>
    <ds:schemaRef ds:uri="http://schemas.microsoft.com/sharepoint/events"/>
  </ds:schemaRefs>
</ds:datastoreItem>
</file>

<file path=customXml/itemProps5.xml><?xml version="1.0" encoding="utf-8"?>
<ds:datastoreItem xmlns:ds="http://schemas.openxmlformats.org/officeDocument/2006/customXml" ds:itemID="{2281103E-1545-49EA-A3BF-59336B9FF04C}">
  <ds:schemaRefs>
    <ds:schemaRef ds:uri="http://schemas.microsoft.com/office/2006/metadata/properties"/>
    <ds:schemaRef ds:uri="http://schemas.microsoft.com/office/infopath/2007/PartnerControls"/>
    <ds:schemaRef ds:uri="fe73b3f6-a427-4a99-886e-da32c6de835d"/>
    <ds:schemaRef ds:uri="ab41e61d-5c9e-45fe-9fd9-c0fcfa543eb0"/>
    <ds:schemaRef ds:uri="4240f11c-4df2-4a37-9be1-bdf0d4dfc218"/>
  </ds:schemaRefs>
</ds:datastoreItem>
</file>

<file path=customXml/itemProps6.xml><?xml version="1.0" encoding="utf-8"?>
<ds:datastoreItem xmlns:ds="http://schemas.openxmlformats.org/officeDocument/2006/customXml" ds:itemID="{708462F4-22EF-43A9-8CAD-C98C5E5715A0}">
  <ds:schemaRefs>
    <ds:schemaRef ds:uri="Microsoft.SharePoint.Taxonomy.ContentTypeSync"/>
  </ds:schemaRefs>
</ds:datastoreItem>
</file>

<file path=docMetadata/LabelInfo.xml><?xml version="1.0" encoding="utf-8"?>
<clbl:labelList xmlns:clbl="http://schemas.microsoft.com/office/2020/mipLabelMetadata">
  <clbl:label id="{e1ae1734-edf5-47c2-b34c-0d487d4ec322}" enabled="1" method="Privilege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Normal.dotm</Template>
  <TotalTime>1102</TotalTime>
  <Pages>93</Pages>
  <Words>33174</Words>
  <Characters>189095</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Surveillance Atlas FWD Information about the data 2018.docx</vt:lpstr>
    </vt:vector>
  </TitlesOfParts>
  <Company>ECDC</Company>
  <LinksUpToDate>false</LinksUpToDate>
  <CharactersWithSpaces>221826</CharactersWithSpaces>
  <SharedDoc>false</SharedDoc>
  <HLinks>
    <vt:vector size="798" baseType="variant">
      <vt:variant>
        <vt:i4>7471223</vt:i4>
      </vt:variant>
      <vt:variant>
        <vt:i4>351</vt:i4>
      </vt:variant>
      <vt:variant>
        <vt:i4>0</vt:i4>
      </vt:variant>
      <vt:variant>
        <vt:i4>5</vt:i4>
      </vt:variant>
      <vt:variant>
        <vt:lpwstr>https://www.ecdc.europa.eu/sites/default/files/documents/AER yersiniosis - 2021.pdf</vt:lpwstr>
      </vt:variant>
      <vt:variant>
        <vt:lpwstr/>
      </vt:variant>
      <vt:variant>
        <vt:i4>655377</vt:i4>
      </vt:variant>
      <vt:variant>
        <vt:i4>348</vt:i4>
      </vt:variant>
      <vt:variant>
        <vt:i4>0</vt:i4>
      </vt:variant>
      <vt:variant>
        <vt:i4>5</vt:i4>
      </vt:variant>
      <vt:variant>
        <vt:lpwstr>https://www.ecdc.europa.eu/sites/default/files/documents/EFS2_7666_Rev3.pdf</vt:lpwstr>
      </vt:variant>
      <vt:variant>
        <vt:lpwstr/>
      </vt:variant>
      <vt:variant>
        <vt:i4>3801145</vt:i4>
      </vt:variant>
      <vt:variant>
        <vt:i4>345</vt:i4>
      </vt:variant>
      <vt:variant>
        <vt:i4>0</vt:i4>
      </vt:variant>
      <vt:variant>
        <vt:i4>5</vt:i4>
      </vt:variant>
      <vt:variant>
        <vt:lpwstr>http://www.ecdc.europa.eu/en/healthtopics/yersiniosis/Pages/index.aspx</vt:lpwstr>
      </vt:variant>
      <vt:variant>
        <vt:lpwstr/>
      </vt:variant>
      <vt:variant>
        <vt:i4>655389</vt:i4>
      </vt:variant>
      <vt:variant>
        <vt:i4>342</vt:i4>
      </vt:variant>
      <vt:variant>
        <vt:i4>0</vt:i4>
      </vt:variant>
      <vt:variant>
        <vt:i4>5</vt:i4>
      </vt:variant>
      <vt:variant>
        <vt:lpwstr>https://www.ecdc.europa.eu/sites/default/files/documents/variant-creutzfeldt%E2%88%92jakob-disease-annual-epidemiological-report-2020.pdf</vt:lpwstr>
      </vt:variant>
      <vt:variant>
        <vt:lpwstr/>
      </vt:variant>
      <vt:variant>
        <vt:i4>2949171</vt:i4>
      </vt:variant>
      <vt:variant>
        <vt:i4>339</vt:i4>
      </vt:variant>
      <vt:variant>
        <vt:i4>0</vt:i4>
      </vt:variant>
      <vt:variant>
        <vt:i4>5</vt:i4>
      </vt:variant>
      <vt:variant>
        <vt:lpwstr>http://ecdc.europa.eu/en/healthtopics/Variant_Creutzfeldt-Jakob_disease(vCJD)/Pages/index.aspx</vt:lpwstr>
      </vt:variant>
      <vt:variant>
        <vt:lpwstr/>
      </vt:variant>
      <vt:variant>
        <vt:i4>1638466</vt:i4>
      </vt:variant>
      <vt:variant>
        <vt:i4>336</vt:i4>
      </vt:variant>
      <vt:variant>
        <vt:i4>0</vt:i4>
      </vt:variant>
      <vt:variant>
        <vt:i4>5</vt:i4>
      </vt:variant>
      <vt:variant>
        <vt:lpwstr>https://www.ecdc.europa.eu/sites/default/files/documents/Trichinellosis-AER_2020_Final.pdf</vt:lpwstr>
      </vt:variant>
      <vt:variant>
        <vt:lpwstr/>
      </vt:variant>
      <vt:variant>
        <vt:i4>655377</vt:i4>
      </vt:variant>
      <vt:variant>
        <vt:i4>333</vt:i4>
      </vt:variant>
      <vt:variant>
        <vt:i4>0</vt:i4>
      </vt:variant>
      <vt:variant>
        <vt:i4>5</vt:i4>
      </vt:variant>
      <vt:variant>
        <vt:lpwstr>https://www.ecdc.europa.eu/sites/default/files/documents/EFS2_7666_Rev3.pdf</vt:lpwstr>
      </vt:variant>
      <vt:variant>
        <vt:lpwstr/>
      </vt:variant>
      <vt:variant>
        <vt:i4>2031633</vt:i4>
      </vt:variant>
      <vt:variant>
        <vt:i4>330</vt:i4>
      </vt:variant>
      <vt:variant>
        <vt:i4>0</vt:i4>
      </vt:variant>
      <vt:variant>
        <vt:i4>5</vt:i4>
      </vt:variant>
      <vt:variant>
        <vt:lpwstr>http://www.ecdc.europa.eu/en/healthtopics/trichinellosis/Pages/index.aspx</vt:lpwstr>
      </vt:variant>
      <vt:variant>
        <vt:lpwstr/>
      </vt:variant>
      <vt:variant>
        <vt:i4>4522011</vt:i4>
      </vt:variant>
      <vt:variant>
        <vt:i4>327</vt:i4>
      </vt:variant>
      <vt:variant>
        <vt:i4>0</vt:i4>
      </vt:variant>
      <vt:variant>
        <vt:i4>5</vt:i4>
      </vt:variant>
      <vt:variant>
        <vt:lpwstr>https://www.ecdc.europa.eu/sites/default/files/documents/congenital-toxoplasmosis-annual-epidemiological-report-2019.pdf</vt:lpwstr>
      </vt:variant>
      <vt:variant>
        <vt:lpwstr/>
      </vt:variant>
      <vt:variant>
        <vt:i4>655377</vt:i4>
      </vt:variant>
      <vt:variant>
        <vt:i4>324</vt:i4>
      </vt:variant>
      <vt:variant>
        <vt:i4>0</vt:i4>
      </vt:variant>
      <vt:variant>
        <vt:i4>5</vt:i4>
      </vt:variant>
      <vt:variant>
        <vt:lpwstr>https://www.ecdc.europa.eu/sites/default/files/documents/EFS2_7666_Rev3.pdf</vt:lpwstr>
      </vt:variant>
      <vt:variant>
        <vt:lpwstr/>
      </vt:variant>
      <vt:variant>
        <vt:i4>6094914</vt:i4>
      </vt:variant>
      <vt:variant>
        <vt:i4>321</vt:i4>
      </vt:variant>
      <vt:variant>
        <vt:i4>0</vt:i4>
      </vt:variant>
      <vt:variant>
        <vt:i4>5</vt:i4>
      </vt:variant>
      <vt:variant>
        <vt:lpwstr>http://www.ecdc.europa.eu/en/healthtopics/toxoplasmosis/Pages/index.aspx</vt:lpwstr>
      </vt:variant>
      <vt:variant>
        <vt:lpwstr/>
      </vt:variant>
      <vt:variant>
        <vt:i4>2555962</vt:i4>
      </vt:variant>
      <vt:variant>
        <vt:i4>318</vt:i4>
      </vt:variant>
      <vt:variant>
        <vt:i4>0</vt:i4>
      </vt:variant>
      <vt:variant>
        <vt:i4>5</vt:i4>
      </vt:variant>
      <vt:variant>
        <vt:lpwstr>https://www.ecdc.europa.eu/sites/default/files/documents/Tenth-EQA-STEC.pdf</vt:lpwstr>
      </vt:variant>
      <vt:variant>
        <vt:lpwstr/>
      </vt:variant>
      <vt:variant>
        <vt:i4>2031624</vt:i4>
      </vt:variant>
      <vt:variant>
        <vt:i4>315</vt:i4>
      </vt:variant>
      <vt:variant>
        <vt:i4>0</vt:i4>
      </vt:variant>
      <vt:variant>
        <vt:i4>5</vt:i4>
      </vt:variant>
      <vt:variant>
        <vt:lpwstr>https://www.ecdc.europa.eu/sites/default/files/documents/AER STEC - 2021.pdf</vt:lpwstr>
      </vt:variant>
      <vt:variant>
        <vt:lpwstr/>
      </vt:variant>
      <vt:variant>
        <vt:i4>655377</vt:i4>
      </vt:variant>
      <vt:variant>
        <vt:i4>312</vt:i4>
      </vt:variant>
      <vt:variant>
        <vt:i4>0</vt:i4>
      </vt:variant>
      <vt:variant>
        <vt:i4>5</vt:i4>
      </vt:variant>
      <vt:variant>
        <vt:lpwstr>https://www.ecdc.europa.eu/sites/default/files/documents/EFS2_7666_Rev3.pdf</vt:lpwstr>
      </vt:variant>
      <vt:variant>
        <vt:lpwstr/>
      </vt:variant>
      <vt:variant>
        <vt:i4>5505132</vt:i4>
      </vt:variant>
      <vt:variant>
        <vt:i4>309</vt:i4>
      </vt:variant>
      <vt:variant>
        <vt:i4>0</vt:i4>
      </vt:variant>
      <vt:variant>
        <vt:i4>5</vt:i4>
      </vt:variant>
      <vt:variant>
        <vt:lpwstr>http://www.ecdc.europa.eu/en/healthtopics/escherichia_coli/Pages/index.aspx</vt:lpwstr>
      </vt:variant>
      <vt:variant>
        <vt:lpwstr/>
      </vt:variant>
      <vt:variant>
        <vt:i4>7667826</vt:i4>
      </vt:variant>
      <vt:variant>
        <vt:i4>306</vt:i4>
      </vt:variant>
      <vt:variant>
        <vt:i4>0</vt:i4>
      </vt:variant>
      <vt:variant>
        <vt:i4>5</vt:i4>
      </vt:variant>
      <vt:variant>
        <vt:lpwstr>https://www.ecdc.europa.eu/en/publications-data/shigellosis-annual-epidemiological-report-2020</vt:lpwstr>
      </vt:variant>
      <vt:variant>
        <vt:lpwstr/>
      </vt:variant>
      <vt:variant>
        <vt:i4>2162721</vt:i4>
      </vt:variant>
      <vt:variant>
        <vt:i4>303</vt:i4>
      </vt:variant>
      <vt:variant>
        <vt:i4>0</vt:i4>
      </vt:variant>
      <vt:variant>
        <vt:i4>5</vt:i4>
      </vt:variant>
      <vt:variant>
        <vt:lpwstr>http://www.ecdc.europa.eu/en/healthtopics/shigellosis/Pages/index.aspx</vt:lpwstr>
      </vt:variant>
      <vt:variant>
        <vt:lpwstr/>
      </vt:variant>
      <vt:variant>
        <vt:i4>1310747</vt:i4>
      </vt:variant>
      <vt:variant>
        <vt:i4>300</vt:i4>
      </vt:variant>
      <vt:variant>
        <vt:i4>0</vt:i4>
      </vt:variant>
      <vt:variant>
        <vt:i4>5</vt:i4>
      </vt:variant>
      <vt:variant>
        <vt:lpwstr>https://www.ecdc.europa.eu/en/publications-data/rapid-risk-assessment-increase-extensively-drug-resistant-shigella-sonnei</vt:lpwstr>
      </vt:variant>
      <vt:variant>
        <vt:lpwstr/>
      </vt:variant>
      <vt:variant>
        <vt:i4>3670114</vt:i4>
      </vt:variant>
      <vt:variant>
        <vt:i4>297</vt:i4>
      </vt:variant>
      <vt:variant>
        <vt:i4>0</vt:i4>
      </vt:variant>
      <vt:variant>
        <vt:i4>5</vt:i4>
      </vt:variant>
      <vt:variant>
        <vt:lpwstr>https://www.ecdc.europa.eu/sites/default/files/documents/shigella-sonnei-risk-assessment-february-2023.pdf</vt:lpwstr>
      </vt:variant>
      <vt:variant>
        <vt:lpwstr/>
      </vt:variant>
      <vt:variant>
        <vt:i4>3932160</vt:i4>
      </vt:variant>
      <vt:variant>
        <vt:i4>294</vt:i4>
      </vt:variant>
      <vt:variant>
        <vt:i4>0</vt:i4>
      </vt:variant>
      <vt:variant>
        <vt:i4>5</vt:i4>
      </vt:variant>
      <vt:variant>
        <vt:lpwstr>https://www.ecdc.europa.eu/sites/default/files/documents/AER_2020_SHIG_final.pdf</vt:lpwstr>
      </vt:variant>
      <vt:variant>
        <vt:lpwstr/>
      </vt:variant>
      <vt:variant>
        <vt:i4>2162721</vt:i4>
      </vt:variant>
      <vt:variant>
        <vt:i4>291</vt:i4>
      </vt:variant>
      <vt:variant>
        <vt:i4>0</vt:i4>
      </vt:variant>
      <vt:variant>
        <vt:i4>5</vt:i4>
      </vt:variant>
      <vt:variant>
        <vt:lpwstr>http://www.ecdc.europa.eu/en/healthtopics/shigellosis/Pages/index.aspx</vt:lpwstr>
      </vt:variant>
      <vt:variant>
        <vt:lpwstr/>
      </vt:variant>
      <vt:variant>
        <vt:i4>7798830</vt:i4>
      </vt:variant>
      <vt:variant>
        <vt:i4>288</vt:i4>
      </vt:variant>
      <vt:variant>
        <vt:i4>0</vt:i4>
      </vt:variant>
      <vt:variant>
        <vt:i4>5</vt:i4>
      </vt:variant>
      <vt:variant>
        <vt:lpwstr>https://www.ecdc.europa.eu/en/publications-data/fourth-external-quality-assessment-antimicrobial-susceptibility-testing-salmonella</vt:lpwstr>
      </vt:variant>
      <vt:variant>
        <vt:lpwstr/>
      </vt:variant>
      <vt:variant>
        <vt:i4>3342441</vt:i4>
      </vt:variant>
      <vt:variant>
        <vt:i4>285</vt:i4>
      </vt:variant>
      <vt:variant>
        <vt:i4>0</vt:i4>
      </vt:variant>
      <vt:variant>
        <vt:i4>5</vt:i4>
      </vt:variant>
      <vt:variant>
        <vt:lpwstr>https://www.ecdc.europa.eu/en/publications-data/european-union-summary-report-antimicrobial-resistance-zoonotic-and-indicator-7</vt:lpwstr>
      </vt:variant>
      <vt:variant>
        <vt:lpwstr/>
      </vt:variant>
      <vt:variant>
        <vt:i4>3801189</vt:i4>
      </vt:variant>
      <vt:variant>
        <vt:i4>282</vt:i4>
      </vt:variant>
      <vt:variant>
        <vt:i4>0</vt:i4>
      </vt:variant>
      <vt:variant>
        <vt:i4>5</vt:i4>
      </vt:variant>
      <vt:variant>
        <vt:lpwstr>https://efsa.onlinelibrary.wiley.com/doi/epdf/10.2903/sp.efsa.2021.EN-6652</vt:lpwstr>
      </vt:variant>
      <vt:variant>
        <vt:lpwstr/>
      </vt:variant>
      <vt:variant>
        <vt:i4>4456530</vt:i4>
      </vt:variant>
      <vt:variant>
        <vt:i4>279</vt:i4>
      </vt:variant>
      <vt:variant>
        <vt:i4>0</vt:i4>
      </vt:variant>
      <vt:variant>
        <vt:i4>5</vt:i4>
      </vt:variant>
      <vt:variant>
        <vt:lpwstr>http://www.ecdc.europa.eu/en/healthtopics/typhoid_paratyphoid_fever/pages/index.aspx</vt:lpwstr>
      </vt:variant>
      <vt:variant>
        <vt:lpwstr/>
      </vt:variant>
      <vt:variant>
        <vt:i4>4980811</vt:i4>
      </vt:variant>
      <vt:variant>
        <vt:i4>276</vt:i4>
      </vt:variant>
      <vt:variant>
        <vt:i4>0</vt:i4>
      </vt:variant>
      <vt:variant>
        <vt:i4>5</vt:i4>
      </vt:variant>
      <vt:variant>
        <vt:lpwstr>http://www.ecdc.europa.eu/en/healthtopics/salmonellosis/Pages/index.aspx</vt:lpwstr>
      </vt:variant>
      <vt:variant>
        <vt:lpwstr/>
      </vt:variant>
      <vt:variant>
        <vt:i4>8323187</vt:i4>
      </vt:variant>
      <vt:variant>
        <vt:i4>273</vt:i4>
      </vt:variant>
      <vt:variant>
        <vt:i4>0</vt:i4>
      </vt:variant>
      <vt:variant>
        <vt:i4>5</vt:i4>
      </vt:variant>
      <vt:variant>
        <vt:lpwstr>https://www.ecdc.europa.eu/en/publications-data/multi-country-outbreak-salmonella-enteritidis-sequence-type-st11-infections</vt:lpwstr>
      </vt:variant>
      <vt:variant>
        <vt:lpwstr/>
      </vt:variant>
      <vt:variant>
        <vt:i4>1441880</vt:i4>
      </vt:variant>
      <vt:variant>
        <vt:i4>270</vt:i4>
      </vt:variant>
      <vt:variant>
        <vt:i4>0</vt:i4>
      </vt:variant>
      <vt:variant>
        <vt:i4>5</vt:i4>
      </vt:variant>
      <vt:variant>
        <vt:lpwstr>https://www.ecdc.europa.eu/en/publications-data/multi-country-outbreak-salmonella-mbandaka-st413-possibly-linked-consumption</vt:lpwstr>
      </vt:variant>
      <vt:variant>
        <vt:lpwstr/>
      </vt:variant>
      <vt:variant>
        <vt:i4>1769484</vt:i4>
      </vt:variant>
      <vt:variant>
        <vt:i4>267</vt:i4>
      </vt:variant>
      <vt:variant>
        <vt:i4>0</vt:i4>
      </vt:variant>
      <vt:variant>
        <vt:i4>5</vt:i4>
      </vt:variant>
      <vt:variant>
        <vt:lpwstr>https://www.ecdc.europa.eu/en/publications-data/rapid-outbreak-assessment-multi-country-salmonella-outbreak-first-update</vt:lpwstr>
      </vt:variant>
      <vt:variant>
        <vt:lpwstr/>
      </vt:variant>
      <vt:variant>
        <vt:i4>5963893</vt:i4>
      </vt:variant>
      <vt:variant>
        <vt:i4>264</vt:i4>
      </vt:variant>
      <vt:variant>
        <vt:i4>0</vt:i4>
      </vt:variant>
      <vt:variant>
        <vt:i4>5</vt:i4>
      </vt:variant>
      <vt:variant>
        <vt:lpwstr>https://www.ecdc.europa.eu/sites/default/files/documents/ROA_S_Senftenberg-ST15_2023-FWD-00009.pdf</vt:lpwstr>
      </vt:variant>
      <vt:variant>
        <vt:lpwstr/>
      </vt:variant>
      <vt:variant>
        <vt:i4>7798830</vt:i4>
      </vt:variant>
      <vt:variant>
        <vt:i4>261</vt:i4>
      </vt:variant>
      <vt:variant>
        <vt:i4>0</vt:i4>
      </vt:variant>
      <vt:variant>
        <vt:i4>5</vt:i4>
      </vt:variant>
      <vt:variant>
        <vt:lpwstr>https://www.ecdc.europa.eu/en/publications-data/fourth-external-quality-assessment-antimicrobial-susceptibility-testing-salmonella</vt:lpwstr>
      </vt:variant>
      <vt:variant>
        <vt:lpwstr/>
      </vt:variant>
      <vt:variant>
        <vt:i4>6225926</vt:i4>
      </vt:variant>
      <vt:variant>
        <vt:i4>258</vt:i4>
      </vt:variant>
      <vt:variant>
        <vt:i4>0</vt:i4>
      </vt:variant>
      <vt:variant>
        <vt:i4>5</vt:i4>
      </vt:variant>
      <vt:variant>
        <vt:lpwstr>https://www.ecdc.europa.eu/sites/default/files/documents/Twelfth external quality assessment scheme for Salmonella typing.pdf</vt:lpwstr>
      </vt:variant>
      <vt:variant>
        <vt:lpwstr/>
      </vt:variant>
      <vt:variant>
        <vt:i4>4522055</vt:i4>
      </vt:variant>
      <vt:variant>
        <vt:i4>255</vt:i4>
      </vt:variant>
      <vt:variant>
        <vt:i4>0</vt:i4>
      </vt:variant>
      <vt:variant>
        <vt:i4>5</vt:i4>
      </vt:variant>
      <vt:variant>
        <vt:lpwstr>https://www.ecdc.europa.eu/sites/default/files/documents/typhoid-paratyphoid-fever-annual-epidemiological-report-2019.pdf</vt:lpwstr>
      </vt:variant>
      <vt:variant>
        <vt:lpwstr/>
      </vt:variant>
      <vt:variant>
        <vt:i4>6291560</vt:i4>
      </vt:variant>
      <vt:variant>
        <vt:i4>252</vt:i4>
      </vt:variant>
      <vt:variant>
        <vt:i4>0</vt:i4>
      </vt:variant>
      <vt:variant>
        <vt:i4>5</vt:i4>
      </vt:variant>
      <vt:variant>
        <vt:lpwstr>https://www.ecdc.europa.eu/sites/default/files/documents/SALM_AER_2021.pdf</vt:lpwstr>
      </vt:variant>
      <vt:variant>
        <vt:lpwstr/>
      </vt:variant>
      <vt:variant>
        <vt:i4>65558</vt:i4>
      </vt:variant>
      <vt:variant>
        <vt:i4>246</vt:i4>
      </vt:variant>
      <vt:variant>
        <vt:i4>0</vt:i4>
      </vt:variant>
      <vt:variant>
        <vt:i4>5</vt:i4>
      </vt:variant>
      <vt:variant>
        <vt:lpwstr>https://www.ecdc.europa.eu/sites/default/files/documents/efs2_7209_Rev2.pdf</vt:lpwstr>
      </vt:variant>
      <vt:variant>
        <vt:lpwstr/>
      </vt:variant>
      <vt:variant>
        <vt:i4>655377</vt:i4>
      </vt:variant>
      <vt:variant>
        <vt:i4>243</vt:i4>
      </vt:variant>
      <vt:variant>
        <vt:i4>0</vt:i4>
      </vt:variant>
      <vt:variant>
        <vt:i4>5</vt:i4>
      </vt:variant>
      <vt:variant>
        <vt:lpwstr>https://www.ecdc.europa.eu/sites/default/files/documents/EFS2_7666_Rev3.pdf</vt:lpwstr>
      </vt:variant>
      <vt:variant>
        <vt:lpwstr/>
      </vt:variant>
      <vt:variant>
        <vt:i4>4456530</vt:i4>
      </vt:variant>
      <vt:variant>
        <vt:i4>240</vt:i4>
      </vt:variant>
      <vt:variant>
        <vt:i4>0</vt:i4>
      </vt:variant>
      <vt:variant>
        <vt:i4>5</vt:i4>
      </vt:variant>
      <vt:variant>
        <vt:lpwstr>http://www.ecdc.europa.eu/en/healthtopics/typhoid_paratyphoid_fever/pages/index.aspx</vt:lpwstr>
      </vt:variant>
      <vt:variant>
        <vt:lpwstr/>
      </vt:variant>
      <vt:variant>
        <vt:i4>4980811</vt:i4>
      </vt:variant>
      <vt:variant>
        <vt:i4>237</vt:i4>
      </vt:variant>
      <vt:variant>
        <vt:i4>0</vt:i4>
      </vt:variant>
      <vt:variant>
        <vt:i4>5</vt:i4>
      </vt:variant>
      <vt:variant>
        <vt:lpwstr>http://www.ecdc.europa.eu/en/healthtopics/salmonellosis/Pages/index.aspx</vt:lpwstr>
      </vt:variant>
      <vt:variant>
        <vt:lpwstr/>
      </vt:variant>
      <vt:variant>
        <vt:i4>3997727</vt:i4>
      </vt:variant>
      <vt:variant>
        <vt:i4>234</vt:i4>
      </vt:variant>
      <vt:variant>
        <vt:i4>0</vt:i4>
      </vt:variant>
      <vt:variant>
        <vt:i4>5</vt:i4>
      </vt:variant>
      <vt:variant>
        <vt:lpwstr>https://www.ecdc.europa.eu/sites/default/files/documents/20190423_Joint_ECDC-EFSA_ROA_UI-452_Lm-ST1247.pdf</vt:lpwstr>
      </vt:variant>
      <vt:variant>
        <vt:lpwstr/>
      </vt:variant>
      <vt:variant>
        <vt:i4>262226</vt:i4>
      </vt:variant>
      <vt:variant>
        <vt:i4>231</vt:i4>
      </vt:variant>
      <vt:variant>
        <vt:i4>0</vt:i4>
      </vt:variant>
      <vt:variant>
        <vt:i4>5</vt:i4>
      </vt:variant>
      <vt:variant>
        <vt:lpwstr>https://www.ecdc.europa.eu/sites/default/files/documents/Listeria-rapid-outbreak-assessment-NL-BE.pdf</vt:lpwstr>
      </vt:variant>
      <vt:variant>
        <vt:lpwstr/>
      </vt:variant>
      <vt:variant>
        <vt:i4>262235</vt:i4>
      </vt:variant>
      <vt:variant>
        <vt:i4>228</vt:i4>
      </vt:variant>
      <vt:variant>
        <vt:i4>0</vt:i4>
      </vt:variant>
      <vt:variant>
        <vt:i4>5</vt:i4>
      </vt:variant>
      <vt:variant>
        <vt:lpwstr>http://ecdc.europa.eu/sites/portal/files/documents/Listeria-WGA-2019.pdf</vt:lpwstr>
      </vt:variant>
      <vt:variant>
        <vt:lpwstr/>
      </vt:variant>
      <vt:variant>
        <vt:i4>5046351</vt:i4>
      </vt:variant>
      <vt:variant>
        <vt:i4>225</vt:i4>
      </vt:variant>
      <vt:variant>
        <vt:i4>0</vt:i4>
      </vt:variant>
      <vt:variant>
        <vt:i4>5</vt:i4>
      </vt:variant>
      <vt:variant>
        <vt:lpwstr>https://www.ecdc.europa.eu/sites/default/files/documents/European-listeria-typing-exercise-ELiTE-joint-report.pdf</vt:lpwstr>
      </vt:variant>
      <vt:variant>
        <vt:lpwstr/>
      </vt:variant>
      <vt:variant>
        <vt:i4>1703938</vt:i4>
      </vt:variant>
      <vt:variant>
        <vt:i4>222</vt:i4>
      </vt:variant>
      <vt:variant>
        <vt:i4>0</vt:i4>
      </vt:variant>
      <vt:variant>
        <vt:i4>5</vt:i4>
      </vt:variant>
      <vt:variant>
        <vt:lpwstr>https://www.ecdc.europa.eu/sites/default/files/documents/8th-EQA-scheme-Listeria.pdf</vt:lpwstr>
      </vt:variant>
      <vt:variant>
        <vt:lpwstr/>
      </vt:variant>
      <vt:variant>
        <vt:i4>6946912</vt:i4>
      </vt:variant>
      <vt:variant>
        <vt:i4>219</vt:i4>
      </vt:variant>
      <vt:variant>
        <vt:i4>0</vt:i4>
      </vt:variant>
      <vt:variant>
        <vt:i4>5</vt:i4>
      </vt:variant>
      <vt:variant>
        <vt:lpwstr>https://www.ecdc.europa.eu/sites/default/files/documents/AER listeriosis - 2021.pdf</vt:lpwstr>
      </vt:variant>
      <vt:variant>
        <vt:lpwstr/>
      </vt:variant>
      <vt:variant>
        <vt:i4>655377</vt:i4>
      </vt:variant>
      <vt:variant>
        <vt:i4>213</vt:i4>
      </vt:variant>
      <vt:variant>
        <vt:i4>0</vt:i4>
      </vt:variant>
      <vt:variant>
        <vt:i4>5</vt:i4>
      </vt:variant>
      <vt:variant>
        <vt:lpwstr>https://www.ecdc.europa.eu/sites/default/files/documents/EFS2_7666_Rev3.pdf</vt:lpwstr>
      </vt:variant>
      <vt:variant>
        <vt:lpwstr/>
      </vt:variant>
      <vt:variant>
        <vt:i4>2949153</vt:i4>
      </vt:variant>
      <vt:variant>
        <vt:i4>207</vt:i4>
      </vt:variant>
      <vt:variant>
        <vt:i4>0</vt:i4>
      </vt:variant>
      <vt:variant>
        <vt:i4>5</vt:i4>
      </vt:variant>
      <vt:variant>
        <vt:lpwstr>http://www.ecdc.europa.eu/en/healthtopics/listeriosis/Pages/index.aspx</vt:lpwstr>
      </vt:variant>
      <vt:variant>
        <vt:lpwstr/>
      </vt:variant>
      <vt:variant>
        <vt:i4>4784195</vt:i4>
      </vt:variant>
      <vt:variant>
        <vt:i4>204</vt:i4>
      </vt:variant>
      <vt:variant>
        <vt:i4>0</vt:i4>
      </vt:variant>
      <vt:variant>
        <vt:i4>5</vt:i4>
      </vt:variant>
      <vt:variant>
        <vt:lpwstr>http://www.ecdc.europa.eu/en/healthtopics/leptospirosis/Pages/index.aspx</vt:lpwstr>
      </vt:variant>
      <vt:variant>
        <vt:lpwstr/>
      </vt:variant>
      <vt:variant>
        <vt:i4>6488170</vt:i4>
      </vt:variant>
      <vt:variant>
        <vt:i4>201</vt:i4>
      </vt:variant>
      <vt:variant>
        <vt:i4>0</vt:i4>
      </vt:variant>
      <vt:variant>
        <vt:i4>5</vt:i4>
      </vt:variant>
      <vt:variant>
        <vt:lpwstr>https://ecdc.europa.eu/sites/portal/files/media/en/publications/Publications/hepatitis-a-virus-EU-EEA-1975-2014.pdf</vt:lpwstr>
      </vt:variant>
      <vt:variant>
        <vt:lpwstr/>
      </vt:variant>
      <vt:variant>
        <vt:i4>5308440</vt:i4>
      </vt:variant>
      <vt:variant>
        <vt:i4>198</vt:i4>
      </vt:variant>
      <vt:variant>
        <vt:i4>0</vt:i4>
      </vt:variant>
      <vt:variant>
        <vt:i4>5</vt:i4>
      </vt:variant>
      <vt:variant>
        <vt:lpwstr>https://ecdc.europa.eu/en/news-events/epidemiological-update-hepatitis-outbreak-eueea-mostly-affecting-men-who-have-sex-men-2</vt:lpwstr>
      </vt:variant>
      <vt:variant>
        <vt:lpwstr/>
      </vt:variant>
      <vt:variant>
        <vt:i4>1703944</vt:i4>
      </vt:variant>
      <vt:variant>
        <vt:i4>195</vt:i4>
      </vt:variant>
      <vt:variant>
        <vt:i4>0</vt:i4>
      </vt:variant>
      <vt:variant>
        <vt:i4>5</vt:i4>
      </vt:variant>
      <vt:variant>
        <vt:lpwstr>https://ecdc.europa.eu/en/publications-data/rapid-risk-assessment-hepatitis-outbreak-eueea-mostly-affecting-men-who-have-sex</vt:lpwstr>
      </vt:variant>
      <vt:variant>
        <vt:lpwstr/>
      </vt:variant>
      <vt:variant>
        <vt:i4>917504</vt:i4>
      </vt:variant>
      <vt:variant>
        <vt:i4>192</vt:i4>
      </vt:variant>
      <vt:variant>
        <vt:i4>0</vt:i4>
      </vt:variant>
      <vt:variant>
        <vt:i4>5</vt:i4>
      </vt:variant>
      <vt:variant>
        <vt:lpwstr>https://www.ecdc.europa.eu/sites/default/files/documents/21-05-2018-RRA-Hepatitis-A-multicountry-outbreak-EU.pdf</vt:lpwstr>
      </vt:variant>
      <vt:variant>
        <vt:lpwstr/>
      </vt:variant>
      <vt:variant>
        <vt:i4>1966159</vt:i4>
      </vt:variant>
      <vt:variant>
        <vt:i4>189</vt:i4>
      </vt:variant>
      <vt:variant>
        <vt:i4>0</vt:i4>
      </vt:variant>
      <vt:variant>
        <vt:i4>5</vt:i4>
      </vt:variant>
      <vt:variant>
        <vt:lpwstr>https://www.ecdc.europa.eu/en/news-events/spread-hepatitis-virus-strains-genotype-ib-several-eu-countries-and-united-kingdom</vt:lpwstr>
      </vt:variant>
      <vt:variant>
        <vt:lpwstr/>
      </vt:variant>
      <vt:variant>
        <vt:i4>6750304</vt:i4>
      </vt:variant>
      <vt:variant>
        <vt:i4>186</vt:i4>
      </vt:variant>
      <vt:variant>
        <vt:i4>0</vt:i4>
      </vt:variant>
      <vt:variant>
        <vt:i4>5</vt:i4>
      </vt:variant>
      <vt:variant>
        <vt:lpwstr>https://www.ecdc.europa.eu/sites/default/files/documents/HEPA_AER_2021.pdf</vt:lpwstr>
      </vt:variant>
      <vt:variant>
        <vt:lpwstr/>
      </vt:variant>
      <vt:variant>
        <vt:i4>2031672</vt:i4>
      </vt:variant>
      <vt:variant>
        <vt:i4>183</vt:i4>
      </vt:variant>
      <vt:variant>
        <vt:i4>0</vt:i4>
      </vt:variant>
      <vt:variant>
        <vt:i4>5</vt:i4>
      </vt:variant>
      <vt:variant>
        <vt:lpwstr>http://www.ecdc.europa.eu/en/healthtopics/hepatitis_A/Pages/index.aspx</vt:lpwstr>
      </vt:variant>
      <vt:variant>
        <vt:lpwstr/>
      </vt:variant>
      <vt:variant>
        <vt:i4>1835018</vt:i4>
      </vt:variant>
      <vt:variant>
        <vt:i4>180</vt:i4>
      </vt:variant>
      <vt:variant>
        <vt:i4>0</vt:i4>
      </vt:variant>
      <vt:variant>
        <vt:i4>5</vt:i4>
      </vt:variant>
      <vt:variant>
        <vt:lpwstr>http://www.ecdc.europa.eu/en/healthtopics/giardiasis/Pages/index.aspx</vt:lpwstr>
      </vt:variant>
      <vt:variant>
        <vt:lpwstr/>
      </vt:variant>
      <vt:variant>
        <vt:i4>8192096</vt:i4>
      </vt:variant>
      <vt:variant>
        <vt:i4>177</vt:i4>
      </vt:variant>
      <vt:variant>
        <vt:i4>0</vt:i4>
      </vt:variant>
      <vt:variant>
        <vt:i4>5</vt:i4>
      </vt:variant>
      <vt:variant>
        <vt:lpwstr>https://www.ecdc.europa.eu/sites/default/files/documents/echinococcosis-annual-epidemiolpgical-report-2020.pdf</vt:lpwstr>
      </vt:variant>
      <vt:variant>
        <vt:lpwstr/>
      </vt:variant>
      <vt:variant>
        <vt:i4>458757</vt:i4>
      </vt:variant>
      <vt:variant>
        <vt:i4>174</vt:i4>
      </vt:variant>
      <vt:variant>
        <vt:i4>0</vt:i4>
      </vt:variant>
      <vt:variant>
        <vt:i4>5</vt:i4>
      </vt:variant>
      <vt:variant>
        <vt:lpwstr>http://www.ecdc.europa.eu/en/healthtopics/echinococcosis/Pages/index.aspx</vt:lpwstr>
      </vt:variant>
      <vt:variant>
        <vt:lpwstr/>
      </vt:variant>
      <vt:variant>
        <vt:i4>2031694</vt:i4>
      </vt:variant>
      <vt:variant>
        <vt:i4>168</vt:i4>
      </vt:variant>
      <vt:variant>
        <vt:i4>0</vt:i4>
      </vt:variant>
      <vt:variant>
        <vt:i4>5</vt:i4>
      </vt:variant>
      <vt:variant>
        <vt:lpwstr>https://www.ecdc.europa.eu/sites/default/files/documents/CRYP_AER_2018_Report_0.pdf</vt:lpwstr>
      </vt:variant>
      <vt:variant>
        <vt:lpwstr/>
      </vt:variant>
      <vt:variant>
        <vt:i4>4784192</vt:i4>
      </vt:variant>
      <vt:variant>
        <vt:i4>165</vt:i4>
      </vt:variant>
      <vt:variant>
        <vt:i4>0</vt:i4>
      </vt:variant>
      <vt:variant>
        <vt:i4>5</vt:i4>
      </vt:variant>
      <vt:variant>
        <vt:lpwstr>http://www.ecdc.europa.eu/en/healthtopics/cryptosporidiosis/Pages/index.aspx</vt:lpwstr>
      </vt:variant>
      <vt:variant>
        <vt:lpwstr/>
      </vt:variant>
      <vt:variant>
        <vt:i4>5505033</vt:i4>
      </vt:variant>
      <vt:variant>
        <vt:i4>162</vt:i4>
      </vt:variant>
      <vt:variant>
        <vt:i4>0</vt:i4>
      </vt:variant>
      <vt:variant>
        <vt:i4>5</vt:i4>
      </vt:variant>
      <vt:variant>
        <vt:lpwstr>https://www.ecdc.europa.eu/en/all-topics-z/cholera/surveillance-and-disease-data/cholera-monthly</vt:lpwstr>
      </vt:variant>
      <vt:variant>
        <vt:lpwstr/>
      </vt:variant>
      <vt:variant>
        <vt:i4>3014713</vt:i4>
      </vt:variant>
      <vt:variant>
        <vt:i4>159</vt:i4>
      </vt:variant>
      <vt:variant>
        <vt:i4>0</vt:i4>
      </vt:variant>
      <vt:variant>
        <vt:i4>5</vt:i4>
      </vt:variant>
      <vt:variant>
        <vt:lpwstr>https://www.ecdc.europa.eu/sites/default/files/documents/cholera-annual-epidemiological-report-2021.pdf</vt:lpwstr>
      </vt:variant>
      <vt:variant>
        <vt:lpwstr/>
      </vt:variant>
      <vt:variant>
        <vt:i4>4718681</vt:i4>
      </vt:variant>
      <vt:variant>
        <vt:i4>156</vt:i4>
      </vt:variant>
      <vt:variant>
        <vt:i4>0</vt:i4>
      </vt:variant>
      <vt:variant>
        <vt:i4>5</vt:i4>
      </vt:variant>
      <vt:variant>
        <vt:lpwstr>https://www.ecdc.europa.eu/en/cholera</vt:lpwstr>
      </vt:variant>
      <vt:variant>
        <vt:lpwstr/>
      </vt:variant>
      <vt:variant>
        <vt:i4>917521</vt:i4>
      </vt:variant>
      <vt:variant>
        <vt:i4>153</vt:i4>
      </vt:variant>
      <vt:variant>
        <vt:i4>0</vt:i4>
      </vt:variant>
      <vt:variant>
        <vt:i4>5</vt:i4>
      </vt:variant>
      <vt:variant>
        <vt:lpwstr>https://www.ecdc.europa.eu/sites/default/files/documents/fourth-campylobacter-external-quality-ssessment.pdf</vt:lpwstr>
      </vt:variant>
      <vt:variant>
        <vt:lpwstr/>
      </vt:variant>
      <vt:variant>
        <vt:i4>3342441</vt:i4>
      </vt:variant>
      <vt:variant>
        <vt:i4>150</vt:i4>
      </vt:variant>
      <vt:variant>
        <vt:i4>0</vt:i4>
      </vt:variant>
      <vt:variant>
        <vt:i4>5</vt:i4>
      </vt:variant>
      <vt:variant>
        <vt:lpwstr>https://www.ecdc.europa.eu/en/publications-data/european-union-summary-report-antimicrobial-resistance-zoonotic-and-indicator-7</vt:lpwstr>
      </vt:variant>
      <vt:variant>
        <vt:lpwstr/>
      </vt:variant>
      <vt:variant>
        <vt:i4>1966105</vt:i4>
      </vt:variant>
      <vt:variant>
        <vt:i4>147</vt:i4>
      </vt:variant>
      <vt:variant>
        <vt:i4>0</vt:i4>
      </vt:variant>
      <vt:variant>
        <vt:i4>5</vt:i4>
      </vt:variant>
      <vt:variant>
        <vt:lpwstr>http://www.ecdc.europa.eu/en/healthtopics/campylobacteriosis/Pages/index.aspx</vt:lpwstr>
      </vt:variant>
      <vt:variant>
        <vt:lpwstr/>
      </vt:variant>
      <vt:variant>
        <vt:i4>4456540</vt:i4>
      </vt:variant>
      <vt:variant>
        <vt:i4>144</vt:i4>
      </vt:variant>
      <vt:variant>
        <vt:i4>0</vt:i4>
      </vt:variant>
      <vt:variant>
        <vt:i4>5</vt:i4>
      </vt:variant>
      <vt:variant>
        <vt:lpwstr>https://www.ecdc.europa.eu/sites/default/files/documents/fourth-campylobacter-external-quality-assessment.pdf</vt:lpwstr>
      </vt:variant>
      <vt:variant>
        <vt:lpwstr/>
      </vt:variant>
      <vt:variant>
        <vt:i4>5111881</vt:i4>
      </vt:variant>
      <vt:variant>
        <vt:i4>141</vt:i4>
      </vt:variant>
      <vt:variant>
        <vt:i4>0</vt:i4>
      </vt:variant>
      <vt:variant>
        <vt:i4>5</vt:i4>
      </vt:variant>
      <vt:variant>
        <vt:lpwstr>https://www.ecdc.europa.eu/en/campylobacteriosis</vt:lpwstr>
      </vt:variant>
      <vt:variant>
        <vt:lpwstr/>
      </vt:variant>
      <vt:variant>
        <vt:i4>4128812</vt:i4>
      </vt:variant>
      <vt:variant>
        <vt:i4>138</vt:i4>
      </vt:variant>
      <vt:variant>
        <vt:i4>0</vt:i4>
      </vt:variant>
      <vt:variant>
        <vt:i4>5</vt:i4>
      </vt:variant>
      <vt:variant>
        <vt:lpwstr>http://www.ecdc.europa.eu/en/healthtopics/brucellosis/Pages/index.aspx</vt:lpwstr>
      </vt:variant>
      <vt:variant>
        <vt:lpwstr/>
      </vt:variant>
      <vt:variant>
        <vt:i4>7340137</vt:i4>
      </vt:variant>
      <vt:variant>
        <vt:i4>135</vt:i4>
      </vt:variant>
      <vt:variant>
        <vt:i4>0</vt:i4>
      </vt:variant>
      <vt:variant>
        <vt:i4>5</vt:i4>
      </vt:variant>
      <vt:variant>
        <vt:lpwstr>http://www.ecdc.europa.eu/en/healthtopics/botulism/Pages/index.aspx</vt:lpwstr>
      </vt:variant>
      <vt:variant>
        <vt:lpwstr/>
      </vt:variant>
      <vt:variant>
        <vt:i4>1507370</vt:i4>
      </vt:variant>
      <vt:variant>
        <vt:i4>132</vt:i4>
      </vt:variant>
      <vt:variant>
        <vt:i4>0</vt:i4>
      </vt:variant>
      <vt:variant>
        <vt:i4>5</vt:i4>
      </vt:variant>
      <vt:variant>
        <vt:lpwstr>https://www.ecdc.europa.eu/sites/default/files/documents/AER_Anthrax2020.pdf</vt:lpwstr>
      </vt:variant>
      <vt:variant>
        <vt:lpwstr/>
      </vt:variant>
      <vt:variant>
        <vt:i4>2293876</vt:i4>
      </vt:variant>
      <vt:variant>
        <vt:i4>129</vt:i4>
      </vt:variant>
      <vt:variant>
        <vt:i4>0</vt:i4>
      </vt:variant>
      <vt:variant>
        <vt:i4>5</vt:i4>
      </vt:variant>
      <vt:variant>
        <vt:lpwstr>http://ecdc.europa.eu/en/healthtopics/anthrax/Pages/index.aspx</vt:lpwstr>
      </vt:variant>
      <vt:variant>
        <vt:lpwstr/>
      </vt:variant>
      <vt:variant>
        <vt:i4>1179709</vt:i4>
      </vt:variant>
      <vt:variant>
        <vt:i4>122</vt:i4>
      </vt:variant>
      <vt:variant>
        <vt:i4>0</vt:i4>
      </vt:variant>
      <vt:variant>
        <vt:i4>5</vt:i4>
      </vt:variant>
      <vt:variant>
        <vt:lpwstr/>
      </vt:variant>
      <vt:variant>
        <vt:lpwstr>_Toc127531835</vt:lpwstr>
      </vt:variant>
      <vt:variant>
        <vt:i4>1179709</vt:i4>
      </vt:variant>
      <vt:variant>
        <vt:i4>116</vt:i4>
      </vt:variant>
      <vt:variant>
        <vt:i4>0</vt:i4>
      </vt:variant>
      <vt:variant>
        <vt:i4>5</vt:i4>
      </vt:variant>
      <vt:variant>
        <vt:lpwstr/>
      </vt:variant>
      <vt:variant>
        <vt:lpwstr>_Toc127531834</vt:lpwstr>
      </vt:variant>
      <vt:variant>
        <vt:i4>1179709</vt:i4>
      </vt:variant>
      <vt:variant>
        <vt:i4>110</vt:i4>
      </vt:variant>
      <vt:variant>
        <vt:i4>0</vt:i4>
      </vt:variant>
      <vt:variant>
        <vt:i4>5</vt:i4>
      </vt:variant>
      <vt:variant>
        <vt:lpwstr/>
      </vt:variant>
      <vt:variant>
        <vt:lpwstr>_Toc127531833</vt:lpwstr>
      </vt:variant>
      <vt:variant>
        <vt:i4>1179709</vt:i4>
      </vt:variant>
      <vt:variant>
        <vt:i4>104</vt:i4>
      </vt:variant>
      <vt:variant>
        <vt:i4>0</vt:i4>
      </vt:variant>
      <vt:variant>
        <vt:i4>5</vt:i4>
      </vt:variant>
      <vt:variant>
        <vt:lpwstr/>
      </vt:variant>
      <vt:variant>
        <vt:lpwstr>_Toc127531832</vt:lpwstr>
      </vt:variant>
      <vt:variant>
        <vt:i4>1179709</vt:i4>
      </vt:variant>
      <vt:variant>
        <vt:i4>98</vt:i4>
      </vt:variant>
      <vt:variant>
        <vt:i4>0</vt:i4>
      </vt:variant>
      <vt:variant>
        <vt:i4>5</vt:i4>
      </vt:variant>
      <vt:variant>
        <vt:lpwstr/>
      </vt:variant>
      <vt:variant>
        <vt:lpwstr>_Toc127531831</vt:lpwstr>
      </vt:variant>
      <vt:variant>
        <vt:i4>1179709</vt:i4>
      </vt:variant>
      <vt:variant>
        <vt:i4>92</vt:i4>
      </vt:variant>
      <vt:variant>
        <vt:i4>0</vt:i4>
      </vt:variant>
      <vt:variant>
        <vt:i4>5</vt:i4>
      </vt:variant>
      <vt:variant>
        <vt:lpwstr/>
      </vt:variant>
      <vt:variant>
        <vt:lpwstr>_Toc127531830</vt:lpwstr>
      </vt:variant>
      <vt:variant>
        <vt:i4>1245245</vt:i4>
      </vt:variant>
      <vt:variant>
        <vt:i4>86</vt:i4>
      </vt:variant>
      <vt:variant>
        <vt:i4>0</vt:i4>
      </vt:variant>
      <vt:variant>
        <vt:i4>5</vt:i4>
      </vt:variant>
      <vt:variant>
        <vt:lpwstr/>
      </vt:variant>
      <vt:variant>
        <vt:lpwstr>_Toc127531829</vt:lpwstr>
      </vt:variant>
      <vt:variant>
        <vt:i4>1245245</vt:i4>
      </vt:variant>
      <vt:variant>
        <vt:i4>80</vt:i4>
      </vt:variant>
      <vt:variant>
        <vt:i4>0</vt:i4>
      </vt:variant>
      <vt:variant>
        <vt:i4>5</vt:i4>
      </vt:variant>
      <vt:variant>
        <vt:lpwstr/>
      </vt:variant>
      <vt:variant>
        <vt:lpwstr>_Toc127531828</vt:lpwstr>
      </vt:variant>
      <vt:variant>
        <vt:i4>1245245</vt:i4>
      </vt:variant>
      <vt:variant>
        <vt:i4>74</vt:i4>
      </vt:variant>
      <vt:variant>
        <vt:i4>0</vt:i4>
      </vt:variant>
      <vt:variant>
        <vt:i4>5</vt:i4>
      </vt:variant>
      <vt:variant>
        <vt:lpwstr/>
      </vt:variant>
      <vt:variant>
        <vt:lpwstr>_Toc127531827</vt:lpwstr>
      </vt:variant>
      <vt:variant>
        <vt:i4>1245245</vt:i4>
      </vt:variant>
      <vt:variant>
        <vt:i4>68</vt:i4>
      </vt:variant>
      <vt:variant>
        <vt:i4>0</vt:i4>
      </vt:variant>
      <vt:variant>
        <vt:i4>5</vt:i4>
      </vt:variant>
      <vt:variant>
        <vt:lpwstr/>
      </vt:variant>
      <vt:variant>
        <vt:lpwstr>_Toc127531826</vt:lpwstr>
      </vt:variant>
      <vt:variant>
        <vt:i4>1245245</vt:i4>
      </vt:variant>
      <vt:variant>
        <vt:i4>62</vt:i4>
      </vt:variant>
      <vt:variant>
        <vt:i4>0</vt:i4>
      </vt:variant>
      <vt:variant>
        <vt:i4>5</vt:i4>
      </vt:variant>
      <vt:variant>
        <vt:lpwstr/>
      </vt:variant>
      <vt:variant>
        <vt:lpwstr>_Toc127531825</vt:lpwstr>
      </vt:variant>
      <vt:variant>
        <vt:i4>1245245</vt:i4>
      </vt:variant>
      <vt:variant>
        <vt:i4>56</vt:i4>
      </vt:variant>
      <vt:variant>
        <vt:i4>0</vt:i4>
      </vt:variant>
      <vt:variant>
        <vt:i4>5</vt:i4>
      </vt:variant>
      <vt:variant>
        <vt:lpwstr/>
      </vt:variant>
      <vt:variant>
        <vt:lpwstr>_Toc127531824</vt:lpwstr>
      </vt:variant>
      <vt:variant>
        <vt:i4>1245245</vt:i4>
      </vt:variant>
      <vt:variant>
        <vt:i4>50</vt:i4>
      </vt:variant>
      <vt:variant>
        <vt:i4>0</vt:i4>
      </vt:variant>
      <vt:variant>
        <vt:i4>5</vt:i4>
      </vt:variant>
      <vt:variant>
        <vt:lpwstr/>
      </vt:variant>
      <vt:variant>
        <vt:lpwstr>_Toc127531823</vt:lpwstr>
      </vt:variant>
      <vt:variant>
        <vt:i4>1245245</vt:i4>
      </vt:variant>
      <vt:variant>
        <vt:i4>44</vt:i4>
      </vt:variant>
      <vt:variant>
        <vt:i4>0</vt:i4>
      </vt:variant>
      <vt:variant>
        <vt:i4>5</vt:i4>
      </vt:variant>
      <vt:variant>
        <vt:lpwstr/>
      </vt:variant>
      <vt:variant>
        <vt:lpwstr>_Toc127531822</vt:lpwstr>
      </vt:variant>
      <vt:variant>
        <vt:i4>1245245</vt:i4>
      </vt:variant>
      <vt:variant>
        <vt:i4>38</vt:i4>
      </vt:variant>
      <vt:variant>
        <vt:i4>0</vt:i4>
      </vt:variant>
      <vt:variant>
        <vt:i4>5</vt:i4>
      </vt:variant>
      <vt:variant>
        <vt:lpwstr/>
      </vt:variant>
      <vt:variant>
        <vt:lpwstr>_Toc127531821</vt:lpwstr>
      </vt:variant>
      <vt:variant>
        <vt:i4>1245245</vt:i4>
      </vt:variant>
      <vt:variant>
        <vt:i4>32</vt:i4>
      </vt:variant>
      <vt:variant>
        <vt:i4>0</vt:i4>
      </vt:variant>
      <vt:variant>
        <vt:i4>5</vt:i4>
      </vt:variant>
      <vt:variant>
        <vt:lpwstr/>
      </vt:variant>
      <vt:variant>
        <vt:lpwstr>_Toc127531820</vt:lpwstr>
      </vt:variant>
      <vt:variant>
        <vt:i4>1048637</vt:i4>
      </vt:variant>
      <vt:variant>
        <vt:i4>26</vt:i4>
      </vt:variant>
      <vt:variant>
        <vt:i4>0</vt:i4>
      </vt:variant>
      <vt:variant>
        <vt:i4>5</vt:i4>
      </vt:variant>
      <vt:variant>
        <vt:lpwstr/>
      </vt:variant>
      <vt:variant>
        <vt:lpwstr>_Toc127531819</vt:lpwstr>
      </vt:variant>
      <vt:variant>
        <vt:i4>1048637</vt:i4>
      </vt:variant>
      <vt:variant>
        <vt:i4>20</vt:i4>
      </vt:variant>
      <vt:variant>
        <vt:i4>0</vt:i4>
      </vt:variant>
      <vt:variant>
        <vt:i4>5</vt:i4>
      </vt:variant>
      <vt:variant>
        <vt:lpwstr/>
      </vt:variant>
      <vt:variant>
        <vt:lpwstr>_Toc127531818</vt:lpwstr>
      </vt:variant>
      <vt:variant>
        <vt:i4>1048637</vt:i4>
      </vt:variant>
      <vt:variant>
        <vt:i4>14</vt:i4>
      </vt:variant>
      <vt:variant>
        <vt:i4>0</vt:i4>
      </vt:variant>
      <vt:variant>
        <vt:i4>5</vt:i4>
      </vt:variant>
      <vt:variant>
        <vt:lpwstr/>
      </vt:variant>
      <vt:variant>
        <vt:lpwstr>_Toc127531817</vt:lpwstr>
      </vt:variant>
      <vt:variant>
        <vt:i4>1048637</vt:i4>
      </vt:variant>
      <vt:variant>
        <vt:i4>8</vt:i4>
      </vt:variant>
      <vt:variant>
        <vt:i4>0</vt:i4>
      </vt:variant>
      <vt:variant>
        <vt:i4>5</vt:i4>
      </vt:variant>
      <vt:variant>
        <vt:lpwstr/>
      </vt:variant>
      <vt:variant>
        <vt:lpwstr>_Toc127531816</vt:lpwstr>
      </vt:variant>
      <vt:variant>
        <vt:i4>1048637</vt:i4>
      </vt:variant>
      <vt:variant>
        <vt:i4>2</vt:i4>
      </vt:variant>
      <vt:variant>
        <vt:i4>0</vt:i4>
      </vt:variant>
      <vt:variant>
        <vt:i4>5</vt:i4>
      </vt:variant>
      <vt:variant>
        <vt:lpwstr/>
      </vt:variant>
      <vt:variant>
        <vt:lpwstr>_Toc127531815</vt:lpwstr>
      </vt:variant>
      <vt:variant>
        <vt:i4>2359409</vt:i4>
      </vt:variant>
      <vt:variant>
        <vt:i4>126</vt:i4>
      </vt:variant>
      <vt:variant>
        <vt:i4>0</vt:i4>
      </vt:variant>
      <vt:variant>
        <vt:i4>5</vt:i4>
      </vt:variant>
      <vt:variant>
        <vt:lpwstr>https://ec.europa.eu/eurostat/web/main/home</vt:lpwstr>
      </vt:variant>
      <vt:variant>
        <vt:lpwstr/>
      </vt:variant>
      <vt:variant>
        <vt:i4>4391002</vt:i4>
      </vt:variant>
      <vt:variant>
        <vt:i4>123</vt:i4>
      </vt:variant>
      <vt:variant>
        <vt:i4>0</vt:i4>
      </vt:variant>
      <vt:variant>
        <vt:i4>5</vt:i4>
      </vt:variant>
      <vt:variant>
        <vt:lpwstr>https://eur-lex.europa.eu/legal-content/EN/TXT/PDF/?uri=CELEX:32018D0945&amp;from=EN</vt:lpwstr>
      </vt:variant>
      <vt:variant>
        <vt:lpwstr/>
      </vt:variant>
      <vt:variant>
        <vt:i4>4391002</vt:i4>
      </vt:variant>
      <vt:variant>
        <vt:i4>120</vt:i4>
      </vt:variant>
      <vt:variant>
        <vt:i4>0</vt:i4>
      </vt:variant>
      <vt:variant>
        <vt:i4>5</vt:i4>
      </vt:variant>
      <vt:variant>
        <vt:lpwstr>https://eur-lex.europa.eu/legal-content/EN/TXT/PDF/?uri=CELEX:32018D0945&amp;from=EN</vt:lpwstr>
      </vt:variant>
      <vt:variant>
        <vt:lpwstr/>
      </vt:variant>
      <vt:variant>
        <vt:i4>2359409</vt:i4>
      </vt:variant>
      <vt:variant>
        <vt:i4>117</vt:i4>
      </vt:variant>
      <vt:variant>
        <vt:i4>0</vt:i4>
      </vt:variant>
      <vt:variant>
        <vt:i4>5</vt:i4>
      </vt:variant>
      <vt:variant>
        <vt:lpwstr>https://ec.europa.eu/eurostat/web/main/home</vt:lpwstr>
      </vt:variant>
      <vt:variant>
        <vt:lpwstr/>
      </vt:variant>
      <vt:variant>
        <vt:i4>4391002</vt:i4>
      </vt:variant>
      <vt:variant>
        <vt:i4>114</vt:i4>
      </vt:variant>
      <vt:variant>
        <vt:i4>0</vt:i4>
      </vt:variant>
      <vt:variant>
        <vt:i4>5</vt:i4>
      </vt:variant>
      <vt:variant>
        <vt:lpwstr>https://eur-lex.europa.eu/legal-content/EN/TXT/PDF/?uri=CELEX:32018D0945&amp;from=EN</vt:lpwstr>
      </vt:variant>
      <vt:variant>
        <vt:lpwstr/>
      </vt:variant>
      <vt:variant>
        <vt:i4>2359409</vt:i4>
      </vt:variant>
      <vt:variant>
        <vt:i4>111</vt:i4>
      </vt:variant>
      <vt:variant>
        <vt:i4>0</vt:i4>
      </vt:variant>
      <vt:variant>
        <vt:i4>5</vt:i4>
      </vt:variant>
      <vt:variant>
        <vt:lpwstr>https://ec.europa.eu/eurostat/web/main/home</vt:lpwstr>
      </vt:variant>
      <vt:variant>
        <vt:lpwstr/>
      </vt:variant>
      <vt:variant>
        <vt:i4>4391002</vt:i4>
      </vt:variant>
      <vt:variant>
        <vt:i4>108</vt:i4>
      </vt:variant>
      <vt:variant>
        <vt:i4>0</vt:i4>
      </vt:variant>
      <vt:variant>
        <vt:i4>5</vt:i4>
      </vt:variant>
      <vt:variant>
        <vt:lpwstr>https://eur-lex.europa.eu/legal-content/EN/TXT/PDF/?uri=CELEX:32018D0945&amp;from=EN</vt:lpwstr>
      </vt:variant>
      <vt:variant>
        <vt:lpwstr/>
      </vt:variant>
      <vt:variant>
        <vt:i4>2359409</vt:i4>
      </vt:variant>
      <vt:variant>
        <vt:i4>105</vt:i4>
      </vt:variant>
      <vt:variant>
        <vt:i4>0</vt:i4>
      </vt:variant>
      <vt:variant>
        <vt:i4>5</vt:i4>
      </vt:variant>
      <vt:variant>
        <vt:lpwstr>https://ec.europa.eu/eurostat/web/main/home</vt:lpwstr>
      </vt:variant>
      <vt:variant>
        <vt:lpwstr/>
      </vt:variant>
      <vt:variant>
        <vt:i4>4391002</vt:i4>
      </vt:variant>
      <vt:variant>
        <vt:i4>102</vt:i4>
      </vt:variant>
      <vt:variant>
        <vt:i4>0</vt:i4>
      </vt:variant>
      <vt:variant>
        <vt:i4>5</vt:i4>
      </vt:variant>
      <vt:variant>
        <vt:lpwstr>https://eur-lex.europa.eu/legal-content/EN/TXT/PDF/?uri=CELEX:32018D0945&amp;from=EN</vt:lpwstr>
      </vt:variant>
      <vt:variant>
        <vt:lpwstr/>
      </vt:variant>
      <vt:variant>
        <vt:i4>4391002</vt:i4>
      </vt:variant>
      <vt:variant>
        <vt:i4>99</vt:i4>
      </vt:variant>
      <vt:variant>
        <vt:i4>0</vt:i4>
      </vt:variant>
      <vt:variant>
        <vt:i4>5</vt:i4>
      </vt:variant>
      <vt:variant>
        <vt:lpwstr>https://eur-lex.europa.eu/legal-content/EN/TXT/PDF/?uri=CELEX:32018D0945&amp;from=EN</vt:lpwstr>
      </vt:variant>
      <vt:variant>
        <vt:lpwstr/>
      </vt:variant>
      <vt:variant>
        <vt:i4>2359409</vt:i4>
      </vt:variant>
      <vt:variant>
        <vt:i4>96</vt:i4>
      </vt:variant>
      <vt:variant>
        <vt:i4>0</vt:i4>
      </vt:variant>
      <vt:variant>
        <vt:i4>5</vt:i4>
      </vt:variant>
      <vt:variant>
        <vt:lpwstr>https://ec.europa.eu/eurostat/web/main/home</vt:lpwstr>
      </vt:variant>
      <vt:variant>
        <vt:lpwstr/>
      </vt:variant>
      <vt:variant>
        <vt:i4>4391002</vt:i4>
      </vt:variant>
      <vt:variant>
        <vt:i4>93</vt:i4>
      </vt:variant>
      <vt:variant>
        <vt:i4>0</vt:i4>
      </vt:variant>
      <vt:variant>
        <vt:i4>5</vt:i4>
      </vt:variant>
      <vt:variant>
        <vt:lpwstr>https://eur-lex.europa.eu/legal-content/EN/TXT/PDF/?uri=CELEX:32018D0945&amp;from=EN</vt:lpwstr>
      </vt:variant>
      <vt:variant>
        <vt:lpwstr/>
      </vt:variant>
      <vt:variant>
        <vt:i4>6815862</vt:i4>
      </vt:variant>
      <vt:variant>
        <vt:i4>90</vt:i4>
      </vt:variant>
      <vt:variant>
        <vt:i4>0</vt:i4>
      </vt:variant>
      <vt:variant>
        <vt:i4>5</vt:i4>
      </vt:variant>
      <vt:variant>
        <vt:lpwstr>https://ecdc.europa.eu/en/publications- data/eu-protocol-harmonised-monitoring-antimicrobial-resistance-human-salmonella-and-0</vt:lpwstr>
      </vt:variant>
      <vt:variant>
        <vt:lpwstr/>
      </vt:variant>
      <vt:variant>
        <vt:i4>4391002</vt:i4>
      </vt:variant>
      <vt:variant>
        <vt:i4>87</vt:i4>
      </vt:variant>
      <vt:variant>
        <vt:i4>0</vt:i4>
      </vt:variant>
      <vt:variant>
        <vt:i4>5</vt:i4>
      </vt:variant>
      <vt:variant>
        <vt:lpwstr>https://eur-lex.europa.eu/legal-content/EN/TXT/PDF/?uri=CELEX:32018D0945&amp;from=EN</vt:lpwstr>
      </vt:variant>
      <vt:variant>
        <vt:lpwstr/>
      </vt:variant>
      <vt:variant>
        <vt:i4>2359409</vt:i4>
      </vt:variant>
      <vt:variant>
        <vt:i4>84</vt:i4>
      </vt:variant>
      <vt:variant>
        <vt:i4>0</vt:i4>
      </vt:variant>
      <vt:variant>
        <vt:i4>5</vt:i4>
      </vt:variant>
      <vt:variant>
        <vt:lpwstr>https://ec.europa.eu/eurostat/web/main/home</vt:lpwstr>
      </vt:variant>
      <vt:variant>
        <vt:lpwstr/>
      </vt:variant>
      <vt:variant>
        <vt:i4>6815862</vt:i4>
      </vt:variant>
      <vt:variant>
        <vt:i4>81</vt:i4>
      </vt:variant>
      <vt:variant>
        <vt:i4>0</vt:i4>
      </vt:variant>
      <vt:variant>
        <vt:i4>5</vt:i4>
      </vt:variant>
      <vt:variant>
        <vt:lpwstr>https://ecdc.europa.eu/en/publications- data/eu-protocol-harmonised-monitoring-antimicrobial-resistance-human-salmonella-and-0</vt:lpwstr>
      </vt:variant>
      <vt:variant>
        <vt:lpwstr/>
      </vt:variant>
      <vt:variant>
        <vt:i4>4391002</vt:i4>
      </vt:variant>
      <vt:variant>
        <vt:i4>78</vt:i4>
      </vt:variant>
      <vt:variant>
        <vt:i4>0</vt:i4>
      </vt:variant>
      <vt:variant>
        <vt:i4>5</vt:i4>
      </vt:variant>
      <vt:variant>
        <vt:lpwstr>https://eur-lex.europa.eu/legal-content/EN/TXT/PDF/?uri=CELEX:32018D0945&amp;from=EN</vt:lpwstr>
      </vt:variant>
      <vt:variant>
        <vt:lpwstr/>
      </vt:variant>
      <vt:variant>
        <vt:i4>2359409</vt:i4>
      </vt:variant>
      <vt:variant>
        <vt:i4>75</vt:i4>
      </vt:variant>
      <vt:variant>
        <vt:i4>0</vt:i4>
      </vt:variant>
      <vt:variant>
        <vt:i4>5</vt:i4>
      </vt:variant>
      <vt:variant>
        <vt:lpwstr>https://ec.europa.eu/eurostat/web/main/home</vt:lpwstr>
      </vt:variant>
      <vt:variant>
        <vt:lpwstr/>
      </vt:variant>
      <vt:variant>
        <vt:i4>4391002</vt:i4>
      </vt:variant>
      <vt:variant>
        <vt:i4>72</vt:i4>
      </vt:variant>
      <vt:variant>
        <vt:i4>0</vt:i4>
      </vt:variant>
      <vt:variant>
        <vt:i4>5</vt:i4>
      </vt:variant>
      <vt:variant>
        <vt:lpwstr>https://eur-lex.europa.eu/legal-content/EN/TXT/PDF/?uri=CELEX:32018D0945&amp;from=EN</vt:lpwstr>
      </vt:variant>
      <vt:variant>
        <vt:lpwstr/>
      </vt:variant>
      <vt:variant>
        <vt:i4>2359409</vt:i4>
      </vt:variant>
      <vt:variant>
        <vt:i4>69</vt:i4>
      </vt:variant>
      <vt:variant>
        <vt:i4>0</vt:i4>
      </vt:variant>
      <vt:variant>
        <vt:i4>5</vt:i4>
      </vt:variant>
      <vt:variant>
        <vt:lpwstr>https://ec.europa.eu/eurostat/web/main/home</vt:lpwstr>
      </vt:variant>
      <vt:variant>
        <vt:lpwstr/>
      </vt:variant>
      <vt:variant>
        <vt:i4>4391002</vt:i4>
      </vt:variant>
      <vt:variant>
        <vt:i4>66</vt:i4>
      </vt:variant>
      <vt:variant>
        <vt:i4>0</vt:i4>
      </vt:variant>
      <vt:variant>
        <vt:i4>5</vt:i4>
      </vt:variant>
      <vt:variant>
        <vt:lpwstr>https://eur-lex.europa.eu/legal-content/EN/TXT/PDF/?uri=CELEX:32018D0945&amp;from=EN</vt:lpwstr>
      </vt:variant>
      <vt:variant>
        <vt:lpwstr/>
      </vt:variant>
      <vt:variant>
        <vt:i4>2359409</vt:i4>
      </vt:variant>
      <vt:variant>
        <vt:i4>63</vt:i4>
      </vt:variant>
      <vt:variant>
        <vt:i4>0</vt:i4>
      </vt:variant>
      <vt:variant>
        <vt:i4>5</vt:i4>
      </vt:variant>
      <vt:variant>
        <vt:lpwstr>https://ec.europa.eu/eurostat/web/main/home</vt:lpwstr>
      </vt:variant>
      <vt:variant>
        <vt:lpwstr/>
      </vt:variant>
      <vt:variant>
        <vt:i4>4391002</vt:i4>
      </vt:variant>
      <vt:variant>
        <vt:i4>60</vt:i4>
      </vt:variant>
      <vt:variant>
        <vt:i4>0</vt:i4>
      </vt:variant>
      <vt:variant>
        <vt:i4>5</vt:i4>
      </vt:variant>
      <vt:variant>
        <vt:lpwstr>https://eur-lex.europa.eu/legal-content/EN/TXT/PDF/?uri=CELEX:32018D0945&amp;from=EN</vt:lpwstr>
      </vt:variant>
      <vt:variant>
        <vt:lpwstr/>
      </vt:variant>
      <vt:variant>
        <vt:i4>2359409</vt:i4>
      </vt:variant>
      <vt:variant>
        <vt:i4>54</vt:i4>
      </vt:variant>
      <vt:variant>
        <vt:i4>0</vt:i4>
      </vt:variant>
      <vt:variant>
        <vt:i4>5</vt:i4>
      </vt:variant>
      <vt:variant>
        <vt:lpwstr>https://ec.europa.eu/eurostat/web/main/home</vt:lpwstr>
      </vt:variant>
      <vt:variant>
        <vt:lpwstr/>
      </vt:variant>
      <vt:variant>
        <vt:i4>4391002</vt:i4>
      </vt:variant>
      <vt:variant>
        <vt:i4>51</vt:i4>
      </vt:variant>
      <vt:variant>
        <vt:i4>0</vt:i4>
      </vt:variant>
      <vt:variant>
        <vt:i4>5</vt:i4>
      </vt:variant>
      <vt:variant>
        <vt:lpwstr>https://eur-lex.europa.eu/legal-content/EN/TXT/PDF/?uri=CELEX:32018D0945&amp;from=EN</vt:lpwstr>
      </vt:variant>
      <vt:variant>
        <vt:lpwstr/>
      </vt:variant>
      <vt:variant>
        <vt:i4>2359409</vt:i4>
      </vt:variant>
      <vt:variant>
        <vt:i4>45</vt:i4>
      </vt:variant>
      <vt:variant>
        <vt:i4>0</vt:i4>
      </vt:variant>
      <vt:variant>
        <vt:i4>5</vt:i4>
      </vt:variant>
      <vt:variant>
        <vt:lpwstr>https://ec.europa.eu/eurostat/web/main/home</vt:lpwstr>
      </vt:variant>
      <vt:variant>
        <vt:lpwstr/>
      </vt:variant>
      <vt:variant>
        <vt:i4>4391002</vt:i4>
      </vt:variant>
      <vt:variant>
        <vt:i4>42</vt:i4>
      </vt:variant>
      <vt:variant>
        <vt:i4>0</vt:i4>
      </vt:variant>
      <vt:variant>
        <vt:i4>5</vt:i4>
      </vt:variant>
      <vt:variant>
        <vt:lpwstr>https://eur-lex.europa.eu/legal-content/EN/TXT/PDF/?uri=CELEX:32018D0945&amp;from=EN</vt:lpwstr>
      </vt:variant>
      <vt:variant>
        <vt:lpwstr/>
      </vt:variant>
      <vt:variant>
        <vt:i4>2359409</vt:i4>
      </vt:variant>
      <vt:variant>
        <vt:i4>39</vt:i4>
      </vt:variant>
      <vt:variant>
        <vt:i4>0</vt:i4>
      </vt:variant>
      <vt:variant>
        <vt:i4>5</vt:i4>
      </vt:variant>
      <vt:variant>
        <vt:lpwstr>https://ec.europa.eu/eurostat/web/main/home</vt:lpwstr>
      </vt:variant>
      <vt:variant>
        <vt:lpwstr/>
      </vt:variant>
      <vt:variant>
        <vt:i4>4391002</vt:i4>
      </vt:variant>
      <vt:variant>
        <vt:i4>36</vt:i4>
      </vt:variant>
      <vt:variant>
        <vt:i4>0</vt:i4>
      </vt:variant>
      <vt:variant>
        <vt:i4>5</vt:i4>
      </vt:variant>
      <vt:variant>
        <vt:lpwstr>https://eur-lex.europa.eu/legal-content/EN/TXT/PDF/?uri=CELEX:32018D0945&amp;from=EN</vt:lpwstr>
      </vt:variant>
      <vt:variant>
        <vt:lpwstr/>
      </vt:variant>
      <vt:variant>
        <vt:i4>2359409</vt:i4>
      </vt:variant>
      <vt:variant>
        <vt:i4>33</vt:i4>
      </vt:variant>
      <vt:variant>
        <vt:i4>0</vt:i4>
      </vt:variant>
      <vt:variant>
        <vt:i4>5</vt:i4>
      </vt:variant>
      <vt:variant>
        <vt:lpwstr>https://ec.europa.eu/eurostat/web/main/home</vt:lpwstr>
      </vt:variant>
      <vt:variant>
        <vt:lpwstr/>
      </vt:variant>
      <vt:variant>
        <vt:i4>4391002</vt:i4>
      </vt:variant>
      <vt:variant>
        <vt:i4>30</vt:i4>
      </vt:variant>
      <vt:variant>
        <vt:i4>0</vt:i4>
      </vt:variant>
      <vt:variant>
        <vt:i4>5</vt:i4>
      </vt:variant>
      <vt:variant>
        <vt:lpwstr>https://eur-lex.europa.eu/legal-content/EN/TXT/PDF/?uri=CELEX:32018D0945&amp;from=EN</vt:lpwstr>
      </vt:variant>
      <vt:variant>
        <vt:lpwstr/>
      </vt:variant>
      <vt:variant>
        <vt:i4>6815862</vt:i4>
      </vt:variant>
      <vt:variant>
        <vt:i4>27</vt:i4>
      </vt:variant>
      <vt:variant>
        <vt:i4>0</vt:i4>
      </vt:variant>
      <vt:variant>
        <vt:i4>5</vt:i4>
      </vt:variant>
      <vt:variant>
        <vt:lpwstr>https://ecdc.europa.eu/en/publications- data/eu-protocol-harmonised-monitoring-antimicrobial-resistance-human-salmonella-and-0</vt:lpwstr>
      </vt:variant>
      <vt:variant>
        <vt:lpwstr/>
      </vt:variant>
      <vt:variant>
        <vt:i4>4391002</vt:i4>
      </vt:variant>
      <vt:variant>
        <vt:i4>24</vt:i4>
      </vt:variant>
      <vt:variant>
        <vt:i4>0</vt:i4>
      </vt:variant>
      <vt:variant>
        <vt:i4>5</vt:i4>
      </vt:variant>
      <vt:variant>
        <vt:lpwstr>https://eur-lex.europa.eu/legal-content/EN/TXT/PDF/?uri=CELEX:32018D0945&amp;from=EN</vt:lpwstr>
      </vt:variant>
      <vt:variant>
        <vt:lpwstr/>
      </vt:variant>
      <vt:variant>
        <vt:i4>2359409</vt:i4>
      </vt:variant>
      <vt:variant>
        <vt:i4>21</vt:i4>
      </vt:variant>
      <vt:variant>
        <vt:i4>0</vt:i4>
      </vt:variant>
      <vt:variant>
        <vt:i4>5</vt:i4>
      </vt:variant>
      <vt:variant>
        <vt:lpwstr>https://ec.europa.eu/eurostat/web/main/home</vt:lpwstr>
      </vt:variant>
      <vt:variant>
        <vt:lpwstr/>
      </vt:variant>
      <vt:variant>
        <vt:i4>6815862</vt:i4>
      </vt:variant>
      <vt:variant>
        <vt:i4>18</vt:i4>
      </vt:variant>
      <vt:variant>
        <vt:i4>0</vt:i4>
      </vt:variant>
      <vt:variant>
        <vt:i4>5</vt:i4>
      </vt:variant>
      <vt:variant>
        <vt:lpwstr>https://ecdc.europa.eu/en/publications- data/eu-protocol-harmonised-monitoring-antimicrobial-resistance-human-salmonella-and-0</vt:lpwstr>
      </vt:variant>
      <vt:variant>
        <vt:lpwstr/>
      </vt:variant>
      <vt:variant>
        <vt:i4>4391002</vt:i4>
      </vt:variant>
      <vt:variant>
        <vt:i4>15</vt:i4>
      </vt:variant>
      <vt:variant>
        <vt:i4>0</vt:i4>
      </vt:variant>
      <vt:variant>
        <vt:i4>5</vt:i4>
      </vt:variant>
      <vt:variant>
        <vt:lpwstr>https://eur-lex.europa.eu/legal-content/EN/TXT/PDF/?uri=CELEX:32018D0945&amp;from=EN</vt:lpwstr>
      </vt:variant>
      <vt:variant>
        <vt:lpwstr/>
      </vt:variant>
      <vt:variant>
        <vt:i4>2359409</vt:i4>
      </vt:variant>
      <vt:variant>
        <vt:i4>12</vt:i4>
      </vt:variant>
      <vt:variant>
        <vt:i4>0</vt:i4>
      </vt:variant>
      <vt:variant>
        <vt:i4>5</vt:i4>
      </vt:variant>
      <vt:variant>
        <vt:lpwstr>https://ec.europa.eu/eurostat/web/main/home</vt:lpwstr>
      </vt:variant>
      <vt:variant>
        <vt:lpwstr/>
      </vt:variant>
      <vt:variant>
        <vt:i4>4391002</vt:i4>
      </vt:variant>
      <vt:variant>
        <vt:i4>9</vt:i4>
      </vt:variant>
      <vt:variant>
        <vt:i4>0</vt:i4>
      </vt:variant>
      <vt:variant>
        <vt:i4>5</vt:i4>
      </vt:variant>
      <vt:variant>
        <vt:lpwstr>https://eur-lex.europa.eu/legal-content/EN/TXT/PDF/?uri=CELEX:32018D0945&amp;from=EN</vt:lpwstr>
      </vt:variant>
      <vt:variant>
        <vt:lpwstr/>
      </vt:variant>
      <vt:variant>
        <vt:i4>2359409</vt:i4>
      </vt:variant>
      <vt:variant>
        <vt:i4>6</vt:i4>
      </vt:variant>
      <vt:variant>
        <vt:i4>0</vt:i4>
      </vt:variant>
      <vt:variant>
        <vt:i4>5</vt:i4>
      </vt:variant>
      <vt:variant>
        <vt:lpwstr>https://ec.europa.eu/eurostat/web/main/home</vt:lpwstr>
      </vt:variant>
      <vt:variant>
        <vt:lpwstr/>
      </vt:variant>
      <vt:variant>
        <vt:i4>4391002</vt:i4>
      </vt:variant>
      <vt:variant>
        <vt:i4>3</vt:i4>
      </vt:variant>
      <vt:variant>
        <vt:i4>0</vt:i4>
      </vt:variant>
      <vt:variant>
        <vt:i4>5</vt:i4>
      </vt:variant>
      <vt:variant>
        <vt:lpwstr>https://eur-lex.europa.eu/legal-content/EN/TXT/PDF/?uri=CELEX:32018D0945&amp;from=EN</vt:lpwstr>
      </vt:variant>
      <vt:variant>
        <vt:lpwstr/>
      </vt:variant>
      <vt:variant>
        <vt:i4>4391002</vt:i4>
      </vt:variant>
      <vt:variant>
        <vt:i4>0</vt:i4>
      </vt:variant>
      <vt:variant>
        <vt:i4>0</vt:i4>
      </vt:variant>
      <vt:variant>
        <vt:i4>5</vt:i4>
      </vt:variant>
      <vt:variant>
        <vt:lpwstr>https://eur-lex.europa.eu/legal-content/EN/TXT/PDF/?uri=CELEX:32018D0945&amp;from=EN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Surveillance Atlas FWD Information about the data 2018.docx</dc:title>
  <dc:subject>Not specified</dc:subject>
  <dc:creator>Luisa De Leo</dc:creator>
  <cp:keywords>FWD; 2018; Surveillance ATLAS of Infectious diseases</cp:keywords>
  <dc:description/>
  <cp:lastModifiedBy>Taina Niskanen</cp:lastModifiedBy>
  <cp:revision>362</cp:revision>
  <cp:lastPrinted>2021-11-03T16:06:00Z</cp:lastPrinted>
  <dcterms:created xsi:type="dcterms:W3CDTF">2024-07-31T10:13:00Z</dcterms:created>
  <dcterms:modified xsi:type="dcterms:W3CDTF">2024-08-13T08:22:00Z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0x010100EE95EE7DB3A482488E68FA4A7091999F0068BEDE18BC20DD46BFA0F3F218DAE1CB</vt:lpwstr>
  </property>
  <property fmtid="{D5CDD505-2E9C-101B-9397-08002B2CF9AE}" pid="3" name="ECDC_DMS_Organigramme">
    <vt:lpwstr>595;#Surveillance|e245debe-c0a6-469f-b09a-56488ff7aacd</vt:lpwstr>
  </property>
  <property fmtid="{D5CDD505-2E9C-101B-9397-08002B2CF9AE}" pid="4" name="_dlc_DocIdItemGuid">
    <vt:lpwstr>8b580ee5-6f45-4abf-8001-41b432605cd3</vt:lpwstr>
  </property>
  <property fmtid="{D5CDD505-2E9C-101B-9397-08002B2CF9AE}" pid="5" name="ECDC_Subject_does">
    <vt:lpwstr/>
  </property>
  <property fmtid="{D5CDD505-2E9C-101B-9397-08002B2CF9AE}" pid="6" name="DMS Product">
    <vt:lpwstr/>
  </property>
  <property fmtid="{D5CDD505-2E9C-101B-9397-08002B2CF9AE}" pid="7" name="ECDC_Target_audience">
    <vt:lpwstr/>
  </property>
  <property fmtid="{D5CDD505-2E9C-101B-9397-08002B2CF9AE}" pid="8" name="ECDC_DMS_Country">
    <vt:lpwstr/>
  </property>
  <property fmtid="{D5CDD505-2E9C-101B-9397-08002B2CF9AE}" pid="9" name="ECDC_DMS_Eurosurveillance_Document_Type">
    <vt:lpwstr/>
  </property>
  <property fmtid="{D5CDD505-2E9C-101B-9397-08002B2CF9AE}" pid="10" name="ECDC_DMS_MIS_Activity_code">
    <vt:lpwstr/>
  </property>
  <property fmtid="{D5CDD505-2E9C-101B-9397-08002B2CF9AE}" pid="11" name="ECDC_DMS_Project">
    <vt:lpwstr>940;#Surveillance Atlas implementation project|f2233d01-e742-45e3-9078-8d1921548b0b</vt:lpwstr>
  </property>
  <property fmtid="{D5CDD505-2E9C-101B-9397-08002B2CF9AE}" pid="12" name="ECDC_Subject_who">
    <vt:lpwstr/>
  </property>
  <property fmtid="{D5CDD505-2E9C-101B-9397-08002B2CF9AE}" pid="13" name="Meeting_x0020_Code">
    <vt:lpwstr/>
  </property>
  <property fmtid="{D5CDD505-2E9C-101B-9397-08002B2CF9AE}" pid="14" name="ECDC_Subject_what">
    <vt:lpwstr>1394;#Surveillance Atlas for Infectious Disease|3b1559ec-00bd-4ea9-bd6a-3b76b281ae02;#1878;#Food- and Waterborne Diseases and Zoonoses Programme Group|265cb97b-1a43-409b-ad8b-fdadf8b2901a</vt:lpwstr>
  </property>
  <property fmtid="{D5CDD505-2E9C-101B-9397-08002B2CF9AE}" pid="15" name="ECDC_DMS_Surveillance_Document_Type">
    <vt:lpwstr>265;#Non-classified Surveillance Document|504a86c3-b8aa-4376-9806-04226c98f67d</vt:lpwstr>
  </property>
  <property fmtid="{D5CDD505-2E9C-101B-9397-08002B2CF9AE}" pid="16" name="ECDC_DMS_Eurosurveillance_Document_Type0">
    <vt:lpwstr/>
  </property>
  <property fmtid="{D5CDD505-2E9C-101B-9397-08002B2CF9AE}" pid="17" name="Meeting Code">
    <vt:lpwstr/>
  </property>
  <property fmtid="{D5CDD505-2E9C-101B-9397-08002B2CF9AE}" pid="18" name="ECDC_DMS_RestrictedAccess">
    <vt:lpwstr/>
  </property>
  <property fmtid="{D5CDD505-2E9C-101B-9397-08002B2CF9AE}" pid="19" name="_dlc_DocId">
    <vt:lpwstr>DOI1006-657093380-23</vt:lpwstr>
  </property>
  <property fmtid="{D5CDD505-2E9C-101B-9397-08002B2CF9AE}" pid="20" name="_dlc_DocIdPersistId">
    <vt:bool>false</vt:bool>
  </property>
  <property fmtid="{D5CDD505-2E9C-101B-9397-08002B2CF9AE}" pid="21" name="_dlc_DocIdUrl">
    <vt:lpwstr>http://dms.ecdcnet.europa.eu/sites/srs/surveillance/survgroupa/_layouts/15/DocIdRedir.aspx?ID=DOI1006-657093380-23, DOI1006-657093380-23</vt:lpwstr>
  </property>
  <property fmtid="{D5CDD505-2E9C-101B-9397-08002B2CF9AE}" pid="22" name="edrm_functionTaxHTField0">
    <vt:lpwstr>Not specified|92bcb685-885a-40ff-9744-3825164b3c86</vt:lpwstr>
  </property>
  <property fmtid="{D5CDD505-2E9C-101B-9397-08002B2CF9AE}" pid="23" name="ECDC_DMS_Organization">
    <vt:lpwstr>656;#Surveillance Group A|fab464f9-c9de-4b20-8ccc-45c7e0a244bc</vt:lpwstr>
  </property>
  <property fmtid="{D5CDD505-2E9C-101B-9397-08002B2CF9AE}" pid="24" name="ECDC_DMS_Organization0">
    <vt:lpwstr>Surveillance Group A|fab464f9-c9de-4b20-8ccc-45c7e0a244bc</vt:lpwstr>
  </property>
  <property fmtid="{D5CDD505-2E9C-101B-9397-08002B2CF9AE}" pid="25" name="edrm_diseaseTaxHTField0">
    <vt:lpwstr>Not specified|bad72cf5-edc4-4bad-9035-f5ac84acbef6</vt:lpwstr>
  </property>
  <property fmtid="{D5CDD505-2E9C-101B-9397-08002B2CF9AE}" pid="26" name="edrm_securityTaxHTField0">
    <vt:lpwstr>Restricted:Internal|caa52167-d17e-46dd-9322-12d83d57eefa</vt:lpwstr>
  </property>
  <property fmtid="{D5CDD505-2E9C-101B-9397-08002B2CF9AE}" pid="27" name="edrm_document_typeTaxHTField0">
    <vt:lpwstr>Not specified|581b895d-77e9-46ec-8c5e-850161f4a515</vt:lpwstr>
  </property>
  <property fmtid="{D5CDD505-2E9C-101B-9397-08002B2CF9AE}" pid="28" name="edrm_statusTaxHTField0">
    <vt:lpwstr>Draft|210dfa89-0dc2-4261-944c-0ccc26c12bbd</vt:lpwstr>
  </property>
  <property fmtid="{D5CDD505-2E9C-101B-9397-08002B2CF9AE}" pid="29" name="edrm_languageTaxHTField0">
    <vt:lpwstr>English|f0d96333-3b15-448d-bec3-c97f3b65cb2d</vt:lpwstr>
  </property>
  <property fmtid="{D5CDD505-2E9C-101B-9397-08002B2CF9AE}" pid="30" name="edrm_document_type">
    <vt:lpwstr>150;#Surveillance Document|5c89bbe3-0179-41f1-a713-57952f7642a0</vt:lpwstr>
  </property>
  <property fmtid="{D5CDD505-2E9C-101B-9397-08002B2CF9AE}" pid="31" name="edrm_function">
    <vt:lpwstr>4;#Not specified|92bcb685-885a-40ff-9744-3825164b3c86</vt:lpwstr>
  </property>
  <property fmtid="{D5CDD505-2E9C-101B-9397-08002B2CF9AE}" pid="32" name="edrm_entityTaxHTField0">
    <vt:lpwstr>Surveillance and Response Support Unit|be4aac37-b6fa-4b86-b0a4-9a97852a8676</vt:lpwstr>
  </property>
  <property fmtid="{D5CDD505-2E9C-101B-9397-08002B2CF9AE}" pid="33" name="edrm_disease">
    <vt:lpwstr>5;#Not specified|bad72cf5-edc4-4bad-9035-f5ac84acbef6</vt:lpwstr>
  </property>
  <property fmtid="{D5CDD505-2E9C-101B-9397-08002B2CF9AE}" pid="34" name="edrm_security">
    <vt:lpwstr>7;#Restricted:Internal|caa52167-d17e-46dd-9322-12d83d57eefa</vt:lpwstr>
  </property>
  <property fmtid="{D5CDD505-2E9C-101B-9397-08002B2CF9AE}" pid="35" name="edrm_language">
    <vt:lpwstr>9;#English|f0d96333-3b15-448d-bec3-c97f3b65cb2d</vt:lpwstr>
  </property>
  <property fmtid="{D5CDD505-2E9C-101B-9397-08002B2CF9AE}" pid="36" name="edrm_entity">
    <vt:lpwstr>153;#Surveillance and Response Support Unit|be4aac37-b6fa-4b86-b0a4-9a97852a8676</vt:lpwstr>
  </property>
  <property fmtid="{D5CDD505-2E9C-101B-9397-08002B2CF9AE}" pid="37" name="edrm_status">
    <vt:lpwstr>1;#Draft|210dfa89-0dc2-4261-944c-0ccc26c12bbd</vt:lpwstr>
  </property>
  <property fmtid="{D5CDD505-2E9C-101B-9397-08002B2CF9AE}" pid="38" name="ECDC_DMS_Project0">
    <vt:lpwstr>Surveillance Atlas implementation project|f2233d01-e742-45e3-9078-8d1921548b0b</vt:lpwstr>
  </property>
  <property fmtid="{D5CDD505-2E9C-101B-9397-08002B2CF9AE}" pid="39" name="ECDC_DMS_Group">
    <vt:lpwstr>support</vt:lpwstr>
  </property>
  <property fmtid="{D5CDD505-2E9C-101B-9397-08002B2CF9AE}" pid="40" name="ECDC_DMS_Section">
    <vt:lpwstr>Disease Programmes</vt:lpwstr>
  </property>
  <property fmtid="{D5CDD505-2E9C-101B-9397-08002B2CF9AE}" pid="41" name="ECDC_DMS_Surveillance_Document_Type0">
    <vt:lpwstr>Non-classified Surveillance Document|504a86c3-b8aa-4376-9806-04226c98f67d</vt:lpwstr>
  </property>
  <property fmtid="{D5CDD505-2E9C-101B-9397-08002B2CF9AE}" pid="42" name="ECDC_DMS_Previous_Creation_Date">
    <vt:filetime>2015-03-12T10:11:00Z</vt:filetime>
  </property>
  <property fmtid="{D5CDD505-2E9C-101B-9397-08002B2CF9AE}" pid="43" name="ECDC_DMS_Author">
    <vt:lpwstr>171;#Therese Westrell</vt:lpwstr>
  </property>
  <property fmtid="{D5CDD505-2E9C-101B-9397-08002B2CF9AE}" pid="44" name="m4f2abd528a9430bb1514981700fe204">
    <vt:lpwstr>Surveillance|e245debe-c0a6-469f-b09a-56488ff7aacd</vt:lpwstr>
  </property>
  <property fmtid="{D5CDD505-2E9C-101B-9397-08002B2CF9AE}" pid="45" name="ECDC_Subject_whatTaxHTField0">
    <vt:lpwstr>Surveillance Atlas for Infectious Disease|3b1559ec-00bd-4ea9-bd6a-3b76b281ae02;Food- and Waterborne Diseases and Zoonoses Programme Group|265cb97b-1a43-409b-ad8b-fdadf8b2901a</vt:lpwstr>
  </property>
  <property fmtid="{D5CDD505-2E9C-101B-9397-08002B2CF9AE}" pid="46" name="ECDC_DMS_Is_Public">
    <vt:bool>false</vt:bool>
  </property>
  <property fmtid="{D5CDD505-2E9C-101B-9397-08002B2CF9AE}" pid="47" name="edrm_institution">
    <vt:lpwstr/>
  </property>
  <property fmtid="{D5CDD505-2E9C-101B-9397-08002B2CF9AE}" pid="48" name="edrm_spatial">
    <vt:lpwstr/>
  </property>
  <property fmtid="{D5CDD505-2E9C-101B-9397-08002B2CF9AE}" pid="49" name="TaxKeyword">
    <vt:lpwstr>152;#2018|8d401a62-ff5c-4d3d-80ed-0a86451b6c51;#151;#Surveillance ATLAS of Infectious diseases|8ac704b5-197b-4f48-b0c2-0ccade05acae;#147;#FWD|7c16fa9a-bb15-40ad-b32a-5791a08e5a26</vt:lpwstr>
  </property>
  <property fmtid="{D5CDD505-2E9C-101B-9397-08002B2CF9AE}" pid="50" name="ECDC_Subject_doesTaxHTField0">
    <vt:lpwstr/>
  </property>
  <property fmtid="{D5CDD505-2E9C-101B-9397-08002B2CF9AE}" pid="51" name="ECDC_DMS_Country0">
    <vt:lpwstr/>
  </property>
  <property fmtid="{D5CDD505-2E9C-101B-9397-08002B2CF9AE}" pid="52" name="ECDC_DMS_MIS_Activity_code0">
    <vt:lpwstr/>
  </property>
  <property fmtid="{D5CDD505-2E9C-101B-9397-08002B2CF9AE}" pid="53" name="bf6f88d3567d49708e6ddfea625f3427">
    <vt:lpwstr/>
  </property>
  <property fmtid="{D5CDD505-2E9C-101B-9397-08002B2CF9AE}" pid="54" name="ECDC_Target_audienceTaxHTField0">
    <vt:lpwstr/>
  </property>
  <property fmtid="{D5CDD505-2E9C-101B-9397-08002B2CF9AE}" pid="55" name="ff0459edc9514eb0baaeb2ab50aaa8de">
    <vt:lpwstr/>
  </property>
  <property fmtid="{D5CDD505-2E9C-101B-9397-08002B2CF9AE}" pid="56" name="ECDC_Subject_whoTaxHTField0">
    <vt:lpwstr/>
  </property>
  <property fmtid="{D5CDD505-2E9C-101B-9397-08002B2CF9AE}" pid="57" name="ECMX_ENTITY">
    <vt:lpwstr/>
  </property>
  <property fmtid="{D5CDD505-2E9C-101B-9397-08002B2CF9AE}" pid="58" name="MediaServiceImageTags">
    <vt:lpwstr/>
  </property>
  <property fmtid="{D5CDD505-2E9C-101B-9397-08002B2CF9AE}" pid="59" name="ECMX_LIFECYCLE">
    <vt:lpwstr>2;#Active|50127695-0d4f-4ac1-ab93-ebc716c3e584</vt:lpwstr>
  </property>
  <property fmtid="{D5CDD505-2E9C-101B-9397-08002B2CF9AE}" pid="60" name="ECMX_CATEGORYLABEL">
    <vt:lpwstr>421;#Administration|111e9faa-cbfa-4795-a77a-8126f9ae4d15</vt:lpwstr>
  </property>
  <property fmtid="{D5CDD505-2E9C-101B-9397-08002B2CF9AE}" pid="61" name="ECMX_DOCUMENTSTATUS">
    <vt:lpwstr>1;#Draft|bed60e9a-f1b8-4691-a7e2-534f78067ff3</vt:lpwstr>
  </property>
  <property fmtid="{D5CDD505-2E9C-101B-9397-08002B2CF9AE}" pid="62" name="lcf76f155ced4ddcb4097134ff3c332f">
    <vt:lpwstr/>
  </property>
  <property fmtid="{D5CDD505-2E9C-101B-9397-08002B2CF9AE}" pid="63" name="ECMX_DISEASEPATHOGEN">
    <vt:lpwstr/>
  </property>
  <property fmtid="{D5CDD505-2E9C-101B-9397-08002B2CF9AE}" pid="64" name="ECMX_DOCUMENTTYPE">
    <vt:lpwstr/>
  </property>
</Properties>
</file>